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43E38" w:rsidRPr="00976B90" w14:paraId="4EE6A723" w14:textId="77777777" w:rsidTr="006F4A0F">
        <w:trPr>
          <w:trHeight w:hRule="exact" w:val="418"/>
          <w:jc w:val="center"/>
        </w:trPr>
        <w:tc>
          <w:tcPr>
            <w:tcW w:w="8721" w:type="dxa"/>
            <w:gridSpan w:val="2"/>
          </w:tcPr>
          <w:p w14:paraId="5F5805E2" w14:textId="77777777" w:rsidR="00B43E38" w:rsidRPr="00976B90" w:rsidRDefault="00B43E38" w:rsidP="007A751B">
            <w:pPr>
              <w:pStyle w:val="a3"/>
              <w:jc w:val="center"/>
              <w:rPr>
                <w:rFonts w:ascii="Tahoma" w:hAnsi="Tahoma" w:cs="Tahoma"/>
                <w:color w:val="000080"/>
                <w:rtl/>
              </w:rPr>
            </w:pPr>
            <w:bookmarkStart w:id="0" w:name="LastJudge"/>
            <w:r w:rsidRPr="00976B90">
              <w:rPr>
                <w:rFonts w:ascii="Tahoma" w:hAnsi="Tahoma" w:cs="Tahoma"/>
                <w:b/>
                <w:bCs/>
                <w:color w:val="000080"/>
                <w:rtl/>
              </w:rPr>
              <w:t>בית משפט השלום בעכו</w:t>
            </w:r>
          </w:p>
        </w:tc>
      </w:tr>
      <w:tr w:rsidR="00B43E38" w:rsidRPr="00976B90" w14:paraId="697627C5" w14:textId="77777777" w:rsidTr="006F4A0F">
        <w:trPr>
          <w:trHeight w:val="337"/>
          <w:jc w:val="center"/>
        </w:trPr>
        <w:tc>
          <w:tcPr>
            <w:tcW w:w="5060" w:type="dxa"/>
          </w:tcPr>
          <w:p w14:paraId="01A6C31C" w14:textId="77777777" w:rsidR="00B43E38" w:rsidRPr="00976B90" w:rsidRDefault="00B43E38" w:rsidP="007A751B">
            <w:pPr>
              <w:rPr>
                <w:rFonts w:cs="FrankRuehl"/>
                <w:sz w:val="28"/>
                <w:szCs w:val="28"/>
                <w:rtl/>
              </w:rPr>
            </w:pPr>
            <w:r w:rsidRPr="00976B90">
              <w:rPr>
                <w:rFonts w:cs="FrankRuehl"/>
                <w:sz w:val="28"/>
                <w:szCs w:val="28"/>
                <w:rtl/>
              </w:rPr>
              <w:t>ת"פ</w:t>
            </w:r>
            <w:r w:rsidRPr="00976B90">
              <w:rPr>
                <w:rFonts w:cs="FrankRuehl" w:hint="cs"/>
                <w:sz w:val="28"/>
                <w:szCs w:val="28"/>
                <w:rtl/>
              </w:rPr>
              <w:t xml:space="preserve"> </w:t>
            </w:r>
            <w:r w:rsidRPr="00976B90">
              <w:rPr>
                <w:rFonts w:cs="FrankRuehl"/>
                <w:sz w:val="28"/>
                <w:szCs w:val="28"/>
                <w:rtl/>
              </w:rPr>
              <w:t>20770-11-22</w:t>
            </w:r>
            <w:r w:rsidRPr="00976B90">
              <w:rPr>
                <w:rFonts w:cs="FrankRuehl" w:hint="cs"/>
                <w:sz w:val="28"/>
                <w:szCs w:val="28"/>
                <w:rtl/>
              </w:rPr>
              <w:t xml:space="preserve"> </w:t>
            </w:r>
            <w:r w:rsidRPr="00976B90">
              <w:rPr>
                <w:rFonts w:cs="FrankRuehl"/>
                <w:sz w:val="28"/>
                <w:szCs w:val="28"/>
                <w:rtl/>
              </w:rPr>
              <w:t>מדינת ישראל נ' אבו  ריא(עצור/אסיר בפיקוח)</w:t>
            </w:r>
          </w:p>
          <w:p w14:paraId="7597B108" w14:textId="77777777" w:rsidR="00B43E38" w:rsidRPr="00976B90" w:rsidRDefault="00B43E38" w:rsidP="007A751B">
            <w:pPr>
              <w:pStyle w:val="a3"/>
              <w:rPr>
                <w:rFonts w:cs="FrankRuehl"/>
                <w:sz w:val="28"/>
                <w:szCs w:val="28"/>
                <w:rtl/>
              </w:rPr>
            </w:pPr>
          </w:p>
        </w:tc>
        <w:tc>
          <w:tcPr>
            <w:tcW w:w="3661" w:type="dxa"/>
          </w:tcPr>
          <w:p w14:paraId="576F7206" w14:textId="77777777" w:rsidR="00B43E38" w:rsidRPr="00976B90" w:rsidRDefault="00B43E38" w:rsidP="007A751B">
            <w:pPr>
              <w:pStyle w:val="a3"/>
              <w:jc w:val="right"/>
              <w:rPr>
                <w:rFonts w:cs="FrankRuehl"/>
                <w:sz w:val="28"/>
                <w:szCs w:val="28"/>
                <w:rtl/>
              </w:rPr>
            </w:pPr>
          </w:p>
        </w:tc>
      </w:tr>
    </w:tbl>
    <w:p w14:paraId="74E0975D" w14:textId="77777777" w:rsidR="00B43E38" w:rsidRPr="00976B90" w:rsidRDefault="00B43E38" w:rsidP="00B43E38">
      <w:pPr>
        <w:pStyle w:val="a3"/>
        <w:rPr>
          <w:rtl/>
        </w:rPr>
      </w:pPr>
      <w:r w:rsidRPr="00976B90">
        <w:rPr>
          <w:rFonts w:hint="cs"/>
          <w:rtl/>
        </w:rPr>
        <w:t xml:space="preserve"> </w:t>
      </w:r>
    </w:p>
    <w:p w14:paraId="671BD314" w14:textId="77777777" w:rsidR="00B43E38" w:rsidRPr="00976B90" w:rsidRDefault="00B43E38" w:rsidP="00B43E38">
      <w:pPr>
        <w:rPr>
          <w:rtl/>
        </w:rPr>
      </w:pPr>
    </w:p>
    <w:p w14:paraId="317D8FB1" w14:textId="77777777" w:rsidR="00B43E38" w:rsidRPr="00976B90" w:rsidRDefault="00B43E38" w:rsidP="00B43E3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43E38" w:rsidRPr="00976B90" w14:paraId="190FBE8B" w14:textId="77777777" w:rsidTr="00B43E38">
        <w:trPr>
          <w:trHeight w:val="295"/>
          <w:jc w:val="center"/>
        </w:trPr>
        <w:tc>
          <w:tcPr>
            <w:tcW w:w="923" w:type="dxa"/>
            <w:tcBorders>
              <w:top w:val="nil"/>
              <w:left w:val="nil"/>
              <w:bottom w:val="nil"/>
              <w:right w:val="nil"/>
            </w:tcBorders>
            <w:shd w:val="clear" w:color="auto" w:fill="auto"/>
          </w:tcPr>
          <w:p w14:paraId="38FE4295" w14:textId="77777777" w:rsidR="00B43E38" w:rsidRPr="00976B90" w:rsidRDefault="00B43E38" w:rsidP="00B43E38">
            <w:pPr>
              <w:jc w:val="both"/>
              <w:rPr>
                <w:rFonts w:ascii="David" w:hAnsi="David"/>
                <w:sz w:val="26"/>
                <w:szCs w:val="26"/>
              </w:rPr>
            </w:pPr>
            <w:r w:rsidRPr="00976B90">
              <w:rPr>
                <w:rFonts w:ascii="David" w:hAnsi="David" w:hint="cs"/>
                <w:sz w:val="26"/>
                <w:szCs w:val="26"/>
                <w:rtl/>
              </w:rPr>
              <w:t>ל</w:t>
            </w:r>
            <w:r w:rsidRPr="00976B9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D4D1A56" w14:textId="77777777" w:rsidR="00B43E38" w:rsidRPr="00976B90" w:rsidRDefault="00B43E38" w:rsidP="007A751B">
            <w:pPr>
              <w:rPr>
                <w:rFonts w:ascii="David" w:hAnsi="David"/>
                <w:b/>
                <w:bCs/>
                <w:sz w:val="26"/>
                <w:szCs w:val="26"/>
                <w:rtl/>
              </w:rPr>
            </w:pPr>
            <w:r w:rsidRPr="00976B90">
              <w:rPr>
                <w:rFonts w:ascii="David" w:hAnsi="David"/>
                <w:b/>
                <w:bCs/>
                <w:sz w:val="26"/>
                <w:szCs w:val="26"/>
                <w:rtl/>
              </w:rPr>
              <w:t>כבוד השופטת  ג'ני טנוס</w:t>
            </w:r>
          </w:p>
          <w:p w14:paraId="61F7FE4D" w14:textId="77777777" w:rsidR="00B43E38" w:rsidRPr="00976B90" w:rsidRDefault="00B43E38" w:rsidP="007A751B">
            <w:pPr>
              <w:rPr>
                <w:rFonts w:ascii="David" w:hAnsi="David"/>
                <w:sz w:val="26"/>
                <w:szCs w:val="26"/>
                <w:rtl/>
              </w:rPr>
            </w:pPr>
          </w:p>
          <w:p w14:paraId="01E3BE7F" w14:textId="77777777" w:rsidR="00B43E38" w:rsidRPr="00976B90" w:rsidRDefault="00B43E38" w:rsidP="00B43E38">
            <w:pPr>
              <w:jc w:val="both"/>
              <w:rPr>
                <w:rFonts w:ascii="David" w:hAnsi="David"/>
                <w:sz w:val="26"/>
                <w:szCs w:val="26"/>
              </w:rPr>
            </w:pPr>
          </w:p>
        </w:tc>
      </w:tr>
      <w:tr w:rsidR="00B43E38" w:rsidRPr="00976B90" w14:paraId="24D11B26" w14:textId="77777777" w:rsidTr="00B43E38">
        <w:trPr>
          <w:trHeight w:val="355"/>
          <w:jc w:val="center"/>
        </w:trPr>
        <w:tc>
          <w:tcPr>
            <w:tcW w:w="923" w:type="dxa"/>
            <w:tcBorders>
              <w:top w:val="nil"/>
              <w:left w:val="nil"/>
              <w:bottom w:val="nil"/>
              <w:right w:val="nil"/>
            </w:tcBorders>
            <w:shd w:val="clear" w:color="auto" w:fill="auto"/>
          </w:tcPr>
          <w:p w14:paraId="0C0D9B04" w14:textId="77777777" w:rsidR="00B43E38" w:rsidRPr="00976B90" w:rsidRDefault="00B43E38" w:rsidP="00B43E38">
            <w:pPr>
              <w:jc w:val="both"/>
              <w:rPr>
                <w:rFonts w:ascii="David" w:hAnsi="David"/>
                <w:sz w:val="26"/>
                <w:szCs w:val="26"/>
              </w:rPr>
            </w:pPr>
            <w:bookmarkStart w:id="1" w:name="FirstAppellant"/>
            <w:r w:rsidRPr="00976B90">
              <w:rPr>
                <w:rFonts w:ascii="David" w:hAnsi="David"/>
                <w:sz w:val="26"/>
                <w:szCs w:val="26"/>
                <w:rtl/>
              </w:rPr>
              <w:t>בעניין:</w:t>
            </w:r>
          </w:p>
        </w:tc>
        <w:tc>
          <w:tcPr>
            <w:tcW w:w="3219" w:type="dxa"/>
            <w:tcBorders>
              <w:top w:val="nil"/>
              <w:left w:val="nil"/>
              <w:bottom w:val="nil"/>
              <w:right w:val="nil"/>
            </w:tcBorders>
            <w:shd w:val="clear" w:color="auto" w:fill="auto"/>
          </w:tcPr>
          <w:p w14:paraId="01009BA2" w14:textId="77777777" w:rsidR="00B43E38" w:rsidRPr="00976B90" w:rsidRDefault="00B43E38" w:rsidP="00B43E38">
            <w:pPr>
              <w:suppressLineNumbers/>
            </w:pPr>
            <w:r w:rsidRPr="00976B90">
              <w:rPr>
                <w:rFonts w:ascii="Arial" w:hAnsi="Arial" w:hint="cs"/>
                <w:b/>
                <w:bCs/>
                <w:sz w:val="26"/>
                <w:szCs w:val="26"/>
                <w:rtl/>
              </w:rPr>
              <w:t>ה</w:t>
            </w:r>
            <w:r w:rsidRPr="00976B90">
              <w:rPr>
                <w:rFonts w:ascii="Arial" w:hAnsi="Arial"/>
                <w:b/>
                <w:bCs/>
                <w:sz w:val="26"/>
                <w:szCs w:val="26"/>
                <w:rtl/>
              </w:rPr>
              <w:t>מאשימה</w:t>
            </w:r>
          </w:p>
          <w:p w14:paraId="0F5F4BA7" w14:textId="77777777" w:rsidR="00B43E38" w:rsidRPr="00976B90" w:rsidRDefault="00B43E38" w:rsidP="007A751B">
            <w:pPr>
              <w:rPr>
                <w:rFonts w:ascii="David" w:hAnsi="David"/>
                <w:sz w:val="26"/>
                <w:szCs w:val="26"/>
              </w:rPr>
            </w:pPr>
          </w:p>
        </w:tc>
        <w:tc>
          <w:tcPr>
            <w:tcW w:w="4678" w:type="dxa"/>
            <w:tcBorders>
              <w:top w:val="nil"/>
              <w:left w:val="nil"/>
              <w:bottom w:val="nil"/>
              <w:right w:val="nil"/>
            </w:tcBorders>
            <w:shd w:val="clear" w:color="auto" w:fill="auto"/>
            <w:vAlign w:val="center"/>
          </w:tcPr>
          <w:p w14:paraId="55E6092E" w14:textId="77777777" w:rsidR="00B43E38" w:rsidRPr="00976B90" w:rsidRDefault="00B43E38" w:rsidP="00B43E38">
            <w:pPr>
              <w:suppressLineNumbers/>
              <w:rPr>
                <w:rFonts w:ascii="Arial" w:hAnsi="Arial"/>
                <w:b/>
                <w:bCs/>
                <w:sz w:val="26"/>
                <w:szCs w:val="26"/>
                <w:rtl/>
              </w:rPr>
            </w:pPr>
            <w:r w:rsidRPr="00976B90">
              <w:rPr>
                <w:rFonts w:ascii="Arial" w:hAnsi="Arial"/>
                <w:b/>
                <w:bCs/>
                <w:sz w:val="26"/>
                <w:szCs w:val="26"/>
                <w:rtl/>
              </w:rPr>
              <w:t>מדינת ישראל</w:t>
            </w:r>
            <w:r w:rsidRPr="00976B90">
              <w:rPr>
                <w:rFonts w:ascii="Arial" w:hAnsi="Arial" w:hint="cs"/>
                <w:b/>
                <w:bCs/>
                <w:sz w:val="26"/>
                <w:szCs w:val="26"/>
                <w:rtl/>
              </w:rPr>
              <w:t xml:space="preserve"> </w:t>
            </w:r>
          </w:p>
          <w:p w14:paraId="74FB01F0" w14:textId="77777777" w:rsidR="00B43E38" w:rsidRPr="00976B90" w:rsidRDefault="00B43E38" w:rsidP="00B43E38">
            <w:pPr>
              <w:suppressLineNumbers/>
              <w:rPr>
                <w:sz w:val="22"/>
                <w:szCs w:val="22"/>
              </w:rPr>
            </w:pPr>
            <w:r w:rsidRPr="00976B90">
              <w:rPr>
                <w:rFonts w:ascii="Arial" w:hAnsi="Arial"/>
                <w:rtl/>
              </w:rPr>
              <w:t xml:space="preserve">ע"י </w:t>
            </w:r>
            <w:r w:rsidRPr="00976B90">
              <w:rPr>
                <w:rFonts w:ascii="Arial" w:hAnsi="Arial" w:hint="cs"/>
                <w:rtl/>
              </w:rPr>
              <w:t>שלוחת תביעות גליל צפון</w:t>
            </w:r>
          </w:p>
          <w:p w14:paraId="5C863CA3" w14:textId="77777777" w:rsidR="00B43E38" w:rsidRPr="00976B90" w:rsidRDefault="00B43E38" w:rsidP="007A751B">
            <w:pPr>
              <w:rPr>
                <w:rFonts w:ascii="David" w:hAnsi="David"/>
                <w:sz w:val="26"/>
                <w:szCs w:val="26"/>
              </w:rPr>
            </w:pPr>
          </w:p>
        </w:tc>
      </w:tr>
      <w:bookmarkEnd w:id="1"/>
      <w:tr w:rsidR="00B43E38" w:rsidRPr="00976B90" w14:paraId="09911ADD" w14:textId="77777777" w:rsidTr="00B43E38">
        <w:trPr>
          <w:trHeight w:val="355"/>
          <w:jc w:val="center"/>
        </w:trPr>
        <w:tc>
          <w:tcPr>
            <w:tcW w:w="923" w:type="dxa"/>
            <w:tcBorders>
              <w:top w:val="nil"/>
              <w:left w:val="nil"/>
              <w:bottom w:val="nil"/>
              <w:right w:val="nil"/>
            </w:tcBorders>
            <w:shd w:val="clear" w:color="auto" w:fill="auto"/>
          </w:tcPr>
          <w:p w14:paraId="050B43CB" w14:textId="77777777" w:rsidR="00B43E38" w:rsidRPr="00976B90" w:rsidRDefault="00B43E38" w:rsidP="00B43E3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C34850F" w14:textId="77777777" w:rsidR="00B43E38" w:rsidRPr="00976B90" w:rsidRDefault="00B43E38" w:rsidP="00B43E38">
            <w:pPr>
              <w:jc w:val="center"/>
              <w:rPr>
                <w:rFonts w:ascii="David" w:hAnsi="David"/>
                <w:b/>
                <w:bCs/>
                <w:sz w:val="26"/>
                <w:szCs w:val="26"/>
                <w:rtl/>
              </w:rPr>
            </w:pPr>
          </w:p>
          <w:p w14:paraId="25E160C6" w14:textId="77777777" w:rsidR="00B43E38" w:rsidRPr="00976B90" w:rsidRDefault="00B43E38" w:rsidP="00B43E38">
            <w:pPr>
              <w:jc w:val="center"/>
              <w:rPr>
                <w:rFonts w:ascii="David" w:hAnsi="David"/>
                <w:b/>
                <w:bCs/>
                <w:sz w:val="26"/>
                <w:szCs w:val="26"/>
                <w:rtl/>
              </w:rPr>
            </w:pPr>
            <w:r w:rsidRPr="00976B90">
              <w:rPr>
                <w:rFonts w:ascii="David" w:hAnsi="David"/>
                <w:b/>
                <w:bCs/>
                <w:sz w:val="26"/>
                <w:szCs w:val="26"/>
                <w:rtl/>
              </w:rPr>
              <w:t>נגד</w:t>
            </w:r>
          </w:p>
          <w:p w14:paraId="524A5AFA" w14:textId="77777777" w:rsidR="00B43E38" w:rsidRPr="00976B90" w:rsidRDefault="00B43E38" w:rsidP="00B43E38">
            <w:pPr>
              <w:jc w:val="both"/>
              <w:rPr>
                <w:rFonts w:ascii="David" w:hAnsi="David"/>
                <w:sz w:val="26"/>
                <w:szCs w:val="26"/>
              </w:rPr>
            </w:pPr>
          </w:p>
        </w:tc>
      </w:tr>
      <w:tr w:rsidR="00B43E38" w:rsidRPr="00976B90" w14:paraId="46210CA4" w14:textId="77777777" w:rsidTr="00B43E38">
        <w:trPr>
          <w:trHeight w:val="355"/>
          <w:jc w:val="center"/>
        </w:trPr>
        <w:tc>
          <w:tcPr>
            <w:tcW w:w="923" w:type="dxa"/>
            <w:tcBorders>
              <w:top w:val="nil"/>
              <w:left w:val="nil"/>
              <w:bottom w:val="nil"/>
              <w:right w:val="nil"/>
            </w:tcBorders>
            <w:shd w:val="clear" w:color="auto" w:fill="auto"/>
          </w:tcPr>
          <w:p w14:paraId="1EC0554C" w14:textId="77777777" w:rsidR="00B43E38" w:rsidRPr="00976B90" w:rsidRDefault="00B43E38" w:rsidP="007A751B">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53950340" w14:textId="77777777" w:rsidR="00B43E38" w:rsidRPr="00976B90" w:rsidRDefault="00B43E38" w:rsidP="007A751B">
            <w:pPr>
              <w:rPr>
                <w:rFonts w:ascii="Arial" w:hAnsi="Arial"/>
                <w:b/>
                <w:bCs/>
                <w:sz w:val="26"/>
                <w:szCs w:val="26"/>
                <w:rtl/>
              </w:rPr>
            </w:pPr>
            <w:r w:rsidRPr="00976B9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6AA8266" w14:textId="77777777" w:rsidR="00B43E38" w:rsidRPr="00976B90" w:rsidRDefault="00B43E38" w:rsidP="00B43E38">
            <w:pPr>
              <w:suppressLineNumbers/>
              <w:rPr>
                <w:rFonts w:ascii="Arial" w:hAnsi="Arial"/>
                <w:b/>
                <w:bCs/>
                <w:sz w:val="26"/>
                <w:szCs w:val="26"/>
                <w:rtl/>
              </w:rPr>
            </w:pPr>
            <w:r w:rsidRPr="00976B90">
              <w:rPr>
                <w:rFonts w:ascii="Arial" w:hAnsi="Arial"/>
                <w:b/>
                <w:bCs/>
                <w:sz w:val="26"/>
                <w:szCs w:val="26"/>
                <w:rtl/>
              </w:rPr>
              <w:t>טארק אבו  ריא (עצור/אסיר בפיקוח)</w:t>
            </w:r>
            <w:r w:rsidRPr="00976B90">
              <w:rPr>
                <w:rFonts w:ascii="Arial" w:hAnsi="Arial" w:hint="cs"/>
                <w:b/>
                <w:bCs/>
                <w:sz w:val="26"/>
                <w:szCs w:val="26"/>
                <w:rtl/>
              </w:rPr>
              <w:t xml:space="preserve"> </w:t>
            </w:r>
          </w:p>
          <w:p w14:paraId="265935DC" w14:textId="77777777" w:rsidR="00B43E38" w:rsidRPr="00976B90" w:rsidRDefault="00B43E38" w:rsidP="00B43E38">
            <w:pPr>
              <w:suppressLineNumbers/>
              <w:rPr>
                <w:sz w:val="22"/>
                <w:szCs w:val="22"/>
              </w:rPr>
            </w:pPr>
            <w:r w:rsidRPr="00976B90">
              <w:rPr>
                <w:rFonts w:ascii="Arial" w:hAnsi="Arial"/>
                <w:rtl/>
              </w:rPr>
              <w:t>ע"י ב"כ עוה"ד</w:t>
            </w:r>
            <w:r w:rsidRPr="00976B90">
              <w:rPr>
                <w:rFonts w:ascii="Arial" w:hAnsi="Arial" w:hint="cs"/>
                <w:rtl/>
              </w:rPr>
              <w:t xml:space="preserve"> באסל פלאח</w:t>
            </w:r>
          </w:p>
          <w:p w14:paraId="4773F23E" w14:textId="77777777" w:rsidR="00B43E38" w:rsidRPr="00976B90" w:rsidRDefault="00B43E38" w:rsidP="007A751B">
            <w:pPr>
              <w:rPr>
                <w:rFonts w:ascii="David" w:hAnsi="David"/>
                <w:sz w:val="26"/>
                <w:szCs w:val="26"/>
              </w:rPr>
            </w:pPr>
          </w:p>
        </w:tc>
      </w:tr>
      <w:bookmarkEnd w:id="2"/>
      <w:tr w:rsidR="00B43E38" w:rsidRPr="00976B90" w14:paraId="47CAD9F4" w14:textId="77777777" w:rsidTr="00B43E38">
        <w:trPr>
          <w:trHeight w:val="355"/>
          <w:jc w:val="center"/>
        </w:trPr>
        <w:tc>
          <w:tcPr>
            <w:tcW w:w="923" w:type="dxa"/>
            <w:tcBorders>
              <w:top w:val="nil"/>
              <w:left w:val="nil"/>
              <w:bottom w:val="nil"/>
              <w:right w:val="nil"/>
            </w:tcBorders>
            <w:shd w:val="clear" w:color="auto" w:fill="auto"/>
          </w:tcPr>
          <w:p w14:paraId="7CEEBA6E" w14:textId="77777777" w:rsidR="00B43E38" w:rsidRPr="00976B90" w:rsidRDefault="00B43E38" w:rsidP="00B43E38">
            <w:pPr>
              <w:jc w:val="both"/>
              <w:rPr>
                <w:rFonts w:ascii="David" w:hAnsi="David"/>
                <w:sz w:val="26"/>
                <w:szCs w:val="26"/>
                <w:rtl/>
              </w:rPr>
            </w:pPr>
          </w:p>
        </w:tc>
        <w:tc>
          <w:tcPr>
            <w:tcW w:w="3219" w:type="dxa"/>
            <w:tcBorders>
              <w:top w:val="nil"/>
              <w:left w:val="nil"/>
              <w:bottom w:val="nil"/>
              <w:right w:val="nil"/>
            </w:tcBorders>
            <w:shd w:val="clear" w:color="auto" w:fill="auto"/>
          </w:tcPr>
          <w:p w14:paraId="6D72F968" w14:textId="77777777" w:rsidR="00B43E38" w:rsidRPr="00976B90" w:rsidRDefault="00B43E38" w:rsidP="00B43E38">
            <w:pPr>
              <w:jc w:val="both"/>
              <w:rPr>
                <w:rFonts w:ascii="David" w:hAnsi="David"/>
                <w:sz w:val="26"/>
                <w:szCs w:val="26"/>
                <w:rtl/>
              </w:rPr>
            </w:pPr>
          </w:p>
        </w:tc>
        <w:tc>
          <w:tcPr>
            <w:tcW w:w="4678" w:type="dxa"/>
            <w:tcBorders>
              <w:top w:val="nil"/>
              <w:left w:val="nil"/>
              <w:bottom w:val="nil"/>
              <w:right w:val="nil"/>
            </w:tcBorders>
            <w:shd w:val="clear" w:color="auto" w:fill="auto"/>
          </w:tcPr>
          <w:p w14:paraId="6ED6F6E6" w14:textId="77777777" w:rsidR="00B43E38" w:rsidRPr="00976B90" w:rsidRDefault="00B43E38" w:rsidP="00B43E38">
            <w:pPr>
              <w:jc w:val="right"/>
              <w:rPr>
                <w:rFonts w:ascii="David" w:hAnsi="David"/>
                <w:sz w:val="26"/>
                <w:szCs w:val="26"/>
              </w:rPr>
            </w:pPr>
          </w:p>
        </w:tc>
      </w:tr>
    </w:tbl>
    <w:p w14:paraId="4C183DFB" w14:textId="77777777" w:rsidR="006F4A0F" w:rsidRDefault="006F4A0F" w:rsidP="00976B90">
      <w:pPr>
        <w:rPr>
          <w:sz w:val="26"/>
          <w:szCs w:val="26"/>
          <w:rtl/>
        </w:rPr>
      </w:pPr>
      <w:bookmarkStart w:id="3" w:name="LawTable"/>
      <w:bookmarkEnd w:id="3"/>
    </w:p>
    <w:p w14:paraId="590EA5F1" w14:textId="77777777" w:rsidR="006F4A0F" w:rsidRPr="006F4A0F" w:rsidRDefault="006F4A0F" w:rsidP="006F4A0F">
      <w:pPr>
        <w:spacing w:after="120" w:line="240" w:lineRule="exact"/>
        <w:ind w:left="283" w:hanging="283"/>
        <w:jc w:val="both"/>
        <w:rPr>
          <w:rFonts w:ascii="FrankRuehl" w:hAnsi="FrankRuehl" w:cs="FrankRuehl"/>
          <w:rtl/>
        </w:rPr>
      </w:pPr>
    </w:p>
    <w:p w14:paraId="2200EDA3" w14:textId="77777777" w:rsidR="006F4A0F" w:rsidRPr="006F4A0F" w:rsidRDefault="006F4A0F" w:rsidP="006F4A0F">
      <w:pPr>
        <w:spacing w:after="120" w:line="240" w:lineRule="exact"/>
        <w:ind w:left="283" w:hanging="283"/>
        <w:jc w:val="both"/>
        <w:rPr>
          <w:rFonts w:ascii="FrankRuehl" w:hAnsi="FrankRuehl" w:cs="FrankRuehl"/>
          <w:rtl/>
        </w:rPr>
      </w:pPr>
      <w:r w:rsidRPr="006F4A0F">
        <w:rPr>
          <w:rFonts w:ascii="FrankRuehl" w:hAnsi="FrankRuehl" w:cs="FrankRuehl"/>
          <w:rtl/>
        </w:rPr>
        <w:t xml:space="preserve">חקיקה שאוזכרה: </w:t>
      </w:r>
    </w:p>
    <w:p w14:paraId="18A94CF3" w14:textId="77777777" w:rsidR="006F4A0F" w:rsidRPr="006F4A0F" w:rsidRDefault="006F4A0F" w:rsidP="006F4A0F">
      <w:pPr>
        <w:spacing w:after="120" w:line="240" w:lineRule="exact"/>
        <w:ind w:left="283" w:hanging="283"/>
        <w:jc w:val="both"/>
        <w:rPr>
          <w:rFonts w:ascii="FrankRuehl" w:hAnsi="FrankRuehl" w:cs="FrankRuehl"/>
          <w:rtl/>
        </w:rPr>
      </w:pPr>
      <w:hyperlink r:id="rId7" w:history="1">
        <w:r w:rsidRPr="006F4A0F">
          <w:rPr>
            <w:rFonts w:ascii="FrankRuehl" w:hAnsi="FrankRuehl" w:cs="FrankRuehl"/>
            <w:color w:val="0000FF"/>
            <w:u w:val="single"/>
            <w:rtl/>
          </w:rPr>
          <w:t>חוק העונשין, תשל"ז-1977</w:t>
        </w:r>
      </w:hyperlink>
      <w:r w:rsidRPr="006F4A0F">
        <w:rPr>
          <w:rFonts w:ascii="FrankRuehl" w:hAnsi="FrankRuehl" w:cs="FrankRuehl"/>
          <w:rtl/>
        </w:rPr>
        <w:t xml:space="preserve">: סע'  </w:t>
      </w:r>
      <w:hyperlink r:id="rId8" w:history="1">
        <w:r w:rsidRPr="006F4A0F">
          <w:rPr>
            <w:rFonts w:ascii="FrankRuehl" w:hAnsi="FrankRuehl" w:cs="FrankRuehl"/>
            <w:color w:val="0000FF"/>
            <w:u w:val="single"/>
            <w:rtl/>
          </w:rPr>
          <w:t>144(א)</w:t>
        </w:r>
      </w:hyperlink>
    </w:p>
    <w:p w14:paraId="31F9CBBD" w14:textId="77777777" w:rsidR="006F4A0F" w:rsidRPr="006F4A0F" w:rsidRDefault="006F4A0F" w:rsidP="006F4A0F">
      <w:pPr>
        <w:spacing w:after="120" w:line="240" w:lineRule="exact"/>
        <w:ind w:left="283" w:hanging="283"/>
        <w:jc w:val="both"/>
        <w:rPr>
          <w:rFonts w:ascii="FrankRuehl" w:hAnsi="FrankRuehl" w:cs="FrankRuehl"/>
          <w:rtl/>
        </w:rPr>
      </w:pPr>
    </w:p>
    <w:p w14:paraId="5709D3BF" w14:textId="77777777" w:rsidR="006F4A0F" w:rsidRPr="006F4A0F" w:rsidRDefault="006F4A0F" w:rsidP="00976B90">
      <w:pPr>
        <w:rPr>
          <w:sz w:val="26"/>
          <w:szCs w:val="26"/>
          <w:rtl/>
        </w:rPr>
      </w:pPr>
      <w:bookmarkStart w:id="4" w:name="LawTable_End"/>
      <w:bookmarkEnd w:id="4"/>
    </w:p>
    <w:p w14:paraId="2F0D282B" w14:textId="77777777" w:rsidR="00976B90" w:rsidRPr="00976B90" w:rsidRDefault="00976B90" w:rsidP="00976B90">
      <w:pPr>
        <w:rPr>
          <w:sz w:val="26"/>
          <w:szCs w:val="26"/>
          <w:rtl/>
        </w:rPr>
      </w:pPr>
    </w:p>
    <w:p w14:paraId="26CAD509" w14:textId="77777777" w:rsidR="00B43E38" w:rsidRPr="00976B90" w:rsidRDefault="00B43E38" w:rsidP="00B43E3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3E38" w14:paraId="24DC212A" w14:textId="77777777" w:rsidTr="00B43E38">
        <w:trPr>
          <w:trHeight w:val="355"/>
          <w:jc w:val="center"/>
        </w:trPr>
        <w:tc>
          <w:tcPr>
            <w:tcW w:w="8820" w:type="dxa"/>
            <w:tcBorders>
              <w:top w:val="nil"/>
              <w:left w:val="nil"/>
              <w:bottom w:val="nil"/>
              <w:right w:val="nil"/>
            </w:tcBorders>
            <w:shd w:val="clear" w:color="auto" w:fill="auto"/>
          </w:tcPr>
          <w:p w14:paraId="4E5B84D3" w14:textId="77777777" w:rsidR="00976B90" w:rsidRPr="00976B90" w:rsidRDefault="00976B90" w:rsidP="00976B90">
            <w:pPr>
              <w:jc w:val="center"/>
              <w:rPr>
                <w:rFonts w:ascii="David" w:hAnsi="David"/>
                <w:b/>
                <w:bCs/>
                <w:sz w:val="32"/>
                <w:szCs w:val="32"/>
                <w:u w:val="single"/>
                <w:rtl/>
              </w:rPr>
            </w:pPr>
            <w:bookmarkStart w:id="5" w:name="PsakDin" w:colFirst="0" w:colLast="0"/>
            <w:bookmarkEnd w:id="0"/>
            <w:r w:rsidRPr="00976B90">
              <w:rPr>
                <w:rFonts w:ascii="David" w:hAnsi="David"/>
                <w:b/>
                <w:bCs/>
                <w:sz w:val="32"/>
                <w:szCs w:val="32"/>
                <w:u w:val="single"/>
                <w:rtl/>
              </w:rPr>
              <w:t>גזר דין</w:t>
            </w:r>
          </w:p>
          <w:p w14:paraId="2803623A" w14:textId="77777777" w:rsidR="00B43E38" w:rsidRPr="00976B90" w:rsidRDefault="00B43E38" w:rsidP="00976B90">
            <w:pPr>
              <w:jc w:val="center"/>
              <w:rPr>
                <w:rFonts w:ascii="David" w:hAnsi="David"/>
                <w:bCs/>
                <w:sz w:val="32"/>
                <w:szCs w:val="32"/>
                <w:u w:val="single"/>
                <w:rtl/>
              </w:rPr>
            </w:pPr>
          </w:p>
        </w:tc>
      </w:tr>
      <w:bookmarkEnd w:id="5"/>
    </w:tbl>
    <w:p w14:paraId="2BF116C9" w14:textId="77777777" w:rsidR="00B43E38" w:rsidRPr="000F2247" w:rsidRDefault="00B43E38" w:rsidP="00B43E38">
      <w:pPr>
        <w:rPr>
          <w:rFonts w:ascii="Arial" w:hAnsi="Arial"/>
          <w:b/>
          <w:bCs/>
          <w:sz w:val="26"/>
          <w:szCs w:val="26"/>
          <w:rtl/>
        </w:rPr>
      </w:pPr>
    </w:p>
    <w:p w14:paraId="5B03DE48" w14:textId="77777777" w:rsidR="00B43E38" w:rsidRDefault="00B43E38" w:rsidP="00B43E38">
      <w:pPr>
        <w:spacing w:line="360" w:lineRule="auto"/>
        <w:jc w:val="both"/>
        <w:rPr>
          <w:rFonts w:ascii="Arial" w:hAnsi="Arial"/>
        </w:rPr>
      </w:pPr>
      <w:bookmarkStart w:id="6" w:name="ABSTRACT_START"/>
      <w:bookmarkEnd w:id="6"/>
      <w:r>
        <w:rPr>
          <w:rFonts w:ascii="Arial" w:hAnsi="Arial"/>
          <w:rtl/>
        </w:rPr>
        <w:t xml:space="preserve">הנאשם הורשע על פי הודאתו ברכישת/ החזקת נשק שלא כדין, עבירה לפי </w:t>
      </w:r>
      <w:hyperlink r:id="rId9" w:history="1">
        <w:r w:rsidR="006F4A0F" w:rsidRPr="006F4A0F">
          <w:rPr>
            <w:rFonts w:ascii="Arial" w:hAnsi="Arial"/>
            <w:color w:val="0000FF"/>
            <w:u w:val="single"/>
            <w:rtl/>
          </w:rPr>
          <w:t>סעיף 144(א)</w:t>
        </w:r>
      </w:hyperlink>
      <w:r>
        <w:rPr>
          <w:rFonts w:ascii="Arial" w:hAnsi="Arial"/>
          <w:rtl/>
        </w:rPr>
        <w:t xml:space="preserve"> רישא ל</w:t>
      </w:r>
      <w:hyperlink r:id="rId10" w:history="1">
        <w:r w:rsidR="00976B90" w:rsidRPr="00976B90">
          <w:rPr>
            <w:rFonts w:ascii="Arial" w:hAnsi="Arial"/>
            <w:color w:val="0000FF"/>
            <w:u w:val="single"/>
            <w:rtl/>
          </w:rPr>
          <w:t>חוק העונשין</w:t>
        </w:r>
      </w:hyperlink>
      <w:r>
        <w:rPr>
          <w:rFonts w:ascii="Arial" w:hAnsi="Arial"/>
          <w:rtl/>
        </w:rPr>
        <w:t>, תשל"ז- 1977 (להלן: "</w:t>
      </w:r>
      <w:r>
        <w:rPr>
          <w:rFonts w:ascii="Arial" w:hAnsi="Arial"/>
          <w:b/>
          <w:bCs/>
          <w:rtl/>
        </w:rPr>
        <w:t>חוק העונשין</w:t>
      </w:r>
      <w:r>
        <w:rPr>
          <w:rFonts w:ascii="Arial" w:hAnsi="Arial"/>
          <w:rtl/>
        </w:rPr>
        <w:t xml:space="preserve">") וברכישת /החזקת חלק של נשק או תחמושת, עבירה לפי </w:t>
      </w:r>
      <w:hyperlink r:id="rId11" w:history="1">
        <w:r w:rsidR="006F4A0F" w:rsidRPr="006F4A0F">
          <w:rPr>
            <w:rFonts w:ascii="Arial" w:hAnsi="Arial"/>
            <w:color w:val="0000FF"/>
            <w:u w:val="single"/>
            <w:rtl/>
          </w:rPr>
          <w:t>סעיף 144(א)</w:t>
        </w:r>
      </w:hyperlink>
      <w:r>
        <w:rPr>
          <w:rFonts w:ascii="Arial" w:hAnsi="Arial"/>
          <w:rtl/>
        </w:rPr>
        <w:t xml:space="preserve"> סיפא לחוק העונשין.</w:t>
      </w:r>
    </w:p>
    <w:p w14:paraId="3E735203" w14:textId="77777777" w:rsidR="00B43E38" w:rsidRDefault="00B43E38" w:rsidP="00B43E38">
      <w:pPr>
        <w:spacing w:line="360" w:lineRule="auto"/>
        <w:jc w:val="both"/>
        <w:rPr>
          <w:rFonts w:ascii="Arial" w:hAnsi="Arial"/>
          <w:rtl/>
        </w:rPr>
      </w:pPr>
      <w:bookmarkStart w:id="7" w:name="ABSTRACT_END"/>
      <w:bookmarkEnd w:id="7"/>
    </w:p>
    <w:p w14:paraId="691E1F78" w14:textId="77777777" w:rsidR="00B43E38" w:rsidRDefault="00B43E38" w:rsidP="00B43E38">
      <w:pPr>
        <w:spacing w:line="360" w:lineRule="auto"/>
        <w:jc w:val="both"/>
        <w:rPr>
          <w:rFonts w:ascii="Arial" w:hAnsi="Arial"/>
          <w:rtl/>
        </w:rPr>
      </w:pPr>
      <w:r>
        <w:rPr>
          <w:rFonts w:ascii="Arial" w:hAnsi="Arial"/>
          <w:rtl/>
        </w:rPr>
        <w:t xml:space="preserve">בהתאם לעובדות כתב האישום המתוקן, ביום 30.10.2022 נערך בידי שוטרים חיפוש כדין בביתו של הנאשם. במעמד זה נמצא כי הנאשם מחזיק בביתו ללא רשות על פי דין להחזקתם את הפריטים הבאים: אקדח חצי אוטומט מסוג </w:t>
      </w:r>
      <w:r>
        <w:rPr>
          <w:rFonts w:ascii="Arial" w:hAnsi="Arial"/>
        </w:rPr>
        <w:t>DDG</w:t>
      </w:r>
      <w:r>
        <w:rPr>
          <w:rFonts w:ascii="Arial" w:hAnsi="Arial"/>
          <w:rtl/>
        </w:rPr>
        <w:t xml:space="preserve">, מספר סידורי </w:t>
      </w:r>
      <w:r>
        <w:rPr>
          <w:rFonts w:ascii="Arial" w:hAnsi="Arial"/>
        </w:rPr>
        <w:t>D110462</w:t>
      </w:r>
      <w:r>
        <w:rPr>
          <w:rFonts w:ascii="Arial" w:hAnsi="Arial"/>
          <w:rtl/>
        </w:rPr>
        <w:t xml:space="preserve"> עם מחסנית בהכנס ובתוכה 11 כדורים בקוטר 9 מ"מ, קופסת כדורים המכילה 39 כדורים 9 מ"מ וכן תפזורת של 38 כדורים 9 מ"מ.</w:t>
      </w:r>
    </w:p>
    <w:p w14:paraId="43AA2B64" w14:textId="77777777" w:rsidR="00B43E38" w:rsidRDefault="00B43E38" w:rsidP="00B43E38">
      <w:pPr>
        <w:spacing w:line="360" w:lineRule="auto"/>
        <w:jc w:val="both"/>
        <w:rPr>
          <w:rFonts w:ascii="Arial" w:hAnsi="Arial"/>
          <w:rtl/>
        </w:rPr>
      </w:pPr>
    </w:p>
    <w:p w14:paraId="724F6B46" w14:textId="77777777" w:rsidR="00B43E38" w:rsidRDefault="00B43E38" w:rsidP="00B43E38">
      <w:pPr>
        <w:spacing w:line="360" w:lineRule="auto"/>
        <w:jc w:val="both"/>
        <w:rPr>
          <w:rFonts w:ascii="Arial" w:hAnsi="Arial"/>
          <w:b/>
          <w:bCs/>
          <w:u w:val="single"/>
          <w:rtl/>
        </w:rPr>
      </w:pPr>
      <w:r>
        <w:rPr>
          <w:rFonts w:ascii="Arial" w:hAnsi="Arial"/>
          <w:b/>
          <w:bCs/>
          <w:u w:val="single"/>
          <w:rtl/>
        </w:rPr>
        <w:t>תסקיר שירות המבחן:</w:t>
      </w:r>
    </w:p>
    <w:p w14:paraId="6BD3555D" w14:textId="77777777" w:rsidR="00B43E38" w:rsidRDefault="00B43E38" w:rsidP="00B43E38">
      <w:pPr>
        <w:spacing w:line="360" w:lineRule="auto"/>
        <w:jc w:val="both"/>
        <w:rPr>
          <w:rFonts w:ascii="Arial" w:hAnsi="Arial"/>
          <w:rtl/>
        </w:rPr>
      </w:pPr>
      <w:r>
        <w:rPr>
          <w:rFonts w:ascii="Arial" w:hAnsi="Arial"/>
          <w:rtl/>
        </w:rPr>
        <w:lastRenderedPageBreak/>
        <w:t>בעניינו של הנאשם הוגש תסקיר מטעם שירות המבחן. התסקיר סקר את נסיבות חייו האישיים והמשפחתיים של הנאשם, וממנו עולה כי הנאשם רווק בן 45 שנים, ללא עבר פלילי אך לחובתו 14 הרשעות קודמות בתחום התעבורה.</w:t>
      </w:r>
    </w:p>
    <w:p w14:paraId="257EB138" w14:textId="77777777" w:rsidR="00B43E38" w:rsidRDefault="00B43E38" w:rsidP="00B43E38">
      <w:pPr>
        <w:spacing w:line="360" w:lineRule="auto"/>
        <w:jc w:val="both"/>
        <w:rPr>
          <w:rFonts w:ascii="Arial" w:hAnsi="Arial"/>
          <w:rtl/>
        </w:rPr>
      </w:pPr>
    </w:p>
    <w:p w14:paraId="0861827F" w14:textId="77777777" w:rsidR="00B43E38" w:rsidRDefault="00B43E38" w:rsidP="00B43E38">
      <w:pPr>
        <w:spacing w:line="360" w:lineRule="auto"/>
        <w:jc w:val="both"/>
        <w:rPr>
          <w:rFonts w:ascii="Arial" w:hAnsi="Arial"/>
          <w:rtl/>
        </w:rPr>
      </w:pPr>
      <w:r>
        <w:rPr>
          <w:rFonts w:ascii="Arial" w:hAnsi="Arial"/>
          <w:rtl/>
        </w:rPr>
        <w:t>בהתייחס לעבירות נשוא כתב האישום המתוקן, הנאשם הביע חרטה ובושה בגין מעורבותו בעבירה ושלל קשרים עם חברה שולית וסכסוך קודם, טען שלמד את הלקח המתבקש ממעשיו וכי מעצרו הרתיע אותו.</w:t>
      </w:r>
    </w:p>
    <w:p w14:paraId="1FD7EAC0" w14:textId="77777777" w:rsidR="00B43E38" w:rsidRDefault="00B43E38" w:rsidP="00B43E38">
      <w:pPr>
        <w:spacing w:line="360" w:lineRule="auto"/>
        <w:jc w:val="both"/>
        <w:rPr>
          <w:rFonts w:ascii="Arial" w:hAnsi="Arial"/>
          <w:rtl/>
        </w:rPr>
      </w:pPr>
    </w:p>
    <w:p w14:paraId="39558C76" w14:textId="77777777" w:rsidR="00B43E38" w:rsidRDefault="00B43E38" w:rsidP="00B43E38">
      <w:pPr>
        <w:spacing w:line="360" w:lineRule="auto"/>
        <w:jc w:val="both"/>
        <w:rPr>
          <w:rFonts w:ascii="Arial" w:hAnsi="Arial"/>
          <w:rtl/>
        </w:rPr>
      </w:pPr>
      <w:r>
        <w:rPr>
          <w:rFonts w:ascii="Arial" w:hAnsi="Arial"/>
          <w:rtl/>
        </w:rPr>
        <w:t>עוד ציינה קצינת המבחן, כי בהתאם להחלטת בית המשפט מיום 19.3.2023 הנאשם הועבר למעצר בית באיזוק אלקטרוני בבית אחותו בגוש חלב  ומעיון בדו"ח ההפרות עולה כי נרשמה לחובתו הפרה לא מהותית אחת בגינה הוזהר. כמו כן, הנאשם שיתף כי לא הביע נזקקות בפני העובדת הסוציאלית מטעם מנהלת הפיקוח האלקטרוני לליווי של גורמי טיפול.</w:t>
      </w:r>
    </w:p>
    <w:p w14:paraId="21FA5400" w14:textId="77777777" w:rsidR="00B43E38" w:rsidRDefault="00B43E38" w:rsidP="00B43E38">
      <w:pPr>
        <w:spacing w:line="360" w:lineRule="auto"/>
        <w:jc w:val="both"/>
        <w:rPr>
          <w:rFonts w:ascii="Arial" w:hAnsi="Arial"/>
          <w:rtl/>
        </w:rPr>
      </w:pPr>
    </w:p>
    <w:p w14:paraId="1B754245" w14:textId="77777777" w:rsidR="00B43E38" w:rsidRDefault="00B43E38" w:rsidP="00B43E38">
      <w:pPr>
        <w:spacing w:line="360" w:lineRule="auto"/>
        <w:jc w:val="both"/>
        <w:rPr>
          <w:rFonts w:ascii="Arial" w:hAnsi="Arial"/>
          <w:rtl/>
        </w:rPr>
      </w:pPr>
      <w:r>
        <w:rPr>
          <w:rFonts w:ascii="Arial" w:hAnsi="Arial"/>
          <w:rtl/>
        </w:rPr>
        <w:t xml:space="preserve">באשר להערכת הסיכון והסיכוי לשיקום, לאחר שקצינת המבחן העריכה את כל גורמי הסיכון להישנות ביצוע העבירות וכן את גורמי הסיכוי לשיקום, תוך התייחסות לפרמטרים שונים הקשורים לאישיותו של הנאשם, תפקודו, דפוסי ניהול קשרים בין אישיים אצלו, מאפייני העבירות הנוכחיות ולהיסטוריה העבריינית שלו, היא התרשמה כי אין באפשרותה לשלול סיכון להישנות עבירות דומות בעתיד, ועל כן נמענה מהמלצה על חלופה עונשית במסגרת הקהילה אשר יש בה כדי להפחית מרמת הסיכון הנשקף ממנו. </w:t>
      </w:r>
    </w:p>
    <w:p w14:paraId="7C7C025E" w14:textId="77777777" w:rsidR="00B43E38" w:rsidRDefault="00B43E38" w:rsidP="00B43E38">
      <w:pPr>
        <w:spacing w:line="360" w:lineRule="auto"/>
        <w:jc w:val="both"/>
        <w:rPr>
          <w:rFonts w:ascii="Arial" w:hAnsi="Arial"/>
          <w:rtl/>
        </w:rPr>
      </w:pPr>
    </w:p>
    <w:p w14:paraId="3C73BDEB" w14:textId="77777777" w:rsidR="00B43E38" w:rsidRDefault="00B43E38" w:rsidP="00B43E38">
      <w:pPr>
        <w:spacing w:line="360" w:lineRule="auto"/>
        <w:jc w:val="both"/>
        <w:rPr>
          <w:rFonts w:ascii="Arial" w:hAnsi="Arial"/>
          <w:b/>
          <w:bCs/>
          <w:u w:val="single"/>
          <w:rtl/>
        </w:rPr>
      </w:pPr>
      <w:r>
        <w:rPr>
          <w:rFonts w:ascii="Arial" w:hAnsi="Arial"/>
          <w:b/>
          <w:bCs/>
          <w:u w:val="single"/>
          <w:rtl/>
        </w:rPr>
        <w:t>טיעוני ב"כ המאשימה לעונש:</w:t>
      </w:r>
    </w:p>
    <w:p w14:paraId="3F49BE42" w14:textId="77777777" w:rsidR="00B43E38" w:rsidRDefault="00B43E38" w:rsidP="00B43E38">
      <w:pPr>
        <w:spacing w:line="360" w:lineRule="auto"/>
        <w:jc w:val="both"/>
        <w:rPr>
          <w:rFonts w:ascii="Arial" w:hAnsi="Arial"/>
          <w:rtl/>
        </w:rPr>
      </w:pPr>
      <w:r>
        <w:rPr>
          <w:rFonts w:ascii="Arial" w:hAnsi="Arial"/>
          <w:rtl/>
        </w:rPr>
        <w:t xml:space="preserve"> ב"כ המאשימה הגיש טיעונים בכתב, והשלים את טיעוניו בפניי.</w:t>
      </w:r>
    </w:p>
    <w:p w14:paraId="0B14B44F" w14:textId="77777777" w:rsidR="00B43E38" w:rsidRDefault="00B43E38" w:rsidP="00B43E38">
      <w:pPr>
        <w:spacing w:line="360" w:lineRule="auto"/>
        <w:jc w:val="both"/>
        <w:rPr>
          <w:rFonts w:ascii="Arial" w:hAnsi="Arial"/>
          <w:rtl/>
        </w:rPr>
      </w:pPr>
    </w:p>
    <w:p w14:paraId="3455F55E" w14:textId="77777777" w:rsidR="00B43E38" w:rsidRDefault="00B43E38" w:rsidP="00B43E38">
      <w:pPr>
        <w:spacing w:line="360" w:lineRule="auto"/>
        <w:jc w:val="both"/>
        <w:rPr>
          <w:rFonts w:ascii="Arial" w:hAnsi="Arial"/>
          <w:rtl/>
        </w:rPr>
      </w:pPr>
      <w:r>
        <w:rPr>
          <w:rFonts w:ascii="Arial" w:hAnsi="Arial"/>
          <w:rtl/>
        </w:rPr>
        <w:t>בטיעוניו, הפנה ב"כ המאשימה לערכים המוגנים שנפגעו כתוצאה ממעשיו של הנאשם וטען כי מידת הפגיעה בהם היא גבוהה לאור האלימות הקשה בחברה הישראלית ומקרי האלימות והרצח הרבים המתרחשים תוך שימוש בנשק.</w:t>
      </w:r>
    </w:p>
    <w:p w14:paraId="60B2F99A" w14:textId="77777777" w:rsidR="00B43E38" w:rsidRDefault="00B43E38" w:rsidP="00B43E38">
      <w:pPr>
        <w:spacing w:line="360" w:lineRule="auto"/>
        <w:jc w:val="both"/>
        <w:rPr>
          <w:rFonts w:ascii="Arial" w:hAnsi="Arial"/>
          <w:rtl/>
        </w:rPr>
      </w:pPr>
    </w:p>
    <w:p w14:paraId="4D1E7CB6" w14:textId="77777777" w:rsidR="00B43E38" w:rsidRDefault="00B43E38" w:rsidP="00B43E38">
      <w:pPr>
        <w:spacing w:line="360" w:lineRule="auto"/>
        <w:jc w:val="both"/>
        <w:rPr>
          <w:rFonts w:ascii="Arial" w:hAnsi="Arial"/>
          <w:rtl/>
        </w:rPr>
      </w:pPr>
      <w:r>
        <w:rPr>
          <w:rFonts w:ascii="Arial" w:hAnsi="Arial"/>
          <w:rtl/>
        </w:rPr>
        <w:t>באשר לנסיבות הקשורות בביצוע העבירה, ב"כ המאשימה הפנה לחומרת המעשים כפי שהיא משתקפת מעובדות כתב האישום המתוקן ולעובדה שמדובר באקדח שהיה טעון במחסנית שהכילה 11 כדורים וכן מספר לא מבוטל של כדורים שנתפסו.</w:t>
      </w:r>
    </w:p>
    <w:p w14:paraId="25A31DF2" w14:textId="77777777" w:rsidR="00B43E38" w:rsidRDefault="00B43E38" w:rsidP="00B43E38">
      <w:pPr>
        <w:spacing w:line="360" w:lineRule="auto"/>
        <w:jc w:val="both"/>
        <w:rPr>
          <w:rFonts w:ascii="Arial" w:hAnsi="Arial"/>
          <w:rtl/>
        </w:rPr>
      </w:pPr>
    </w:p>
    <w:p w14:paraId="7DC09FDB" w14:textId="77777777" w:rsidR="00B43E38" w:rsidRDefault="00B43E38" w:rsidP="00B43E38">
      <w:pPr>
        <w:spacing w:line="360" w:lineRule="auto"/>
        <w:jc w:val="both"/>
        <w:rPr>
          <w:rFonts w:ascii="Arial" w:hAnsi="Arial"/>
          <w:rtl/>
        </w:rPr>
      </w:pPr>
      <w:r>
        <w:rPr>
          <w:rFonts w:ascii="Arial" w:hAnsi="Arial"/>
          <w:rtl/>
        </w:rPr>
        <w:t>ב"כ המאשימה הפנה לפסיקה לעניין מדיניות הענישה הנהוגה וטען כי מתחם העונש ההולם נע בין 20 חודשי מאסר ועד ל-40 חודשי מאסר לצד ענישה נלווית.</w:t>
      </w:r>
    </w:p>
    <w:p w14:paraId="61C197AE" w14:textId="77777777" w:rsidR="00B43E38" w:rsidRDefault="00B43E38" w:rsidP="00B43E38">
      <w:pPr>
        <w:spacing w:line="360" w:lineRule="auto"/>
        <w:jc w:val="both"/>
        <w:rPr>
          <w:rFonts w:ascii="Arial" w:hAnsi="Arial"/>
          <w:rtl/>
        </w:rPr>
      </w:pPr>
    </w:p>
    <w:p w14:paraId="5AE4E99E" w14:textId="77777777" w:rsidR="00B43E38" w:rsidRDefault="00B43E38" w:rsidP="00B43E38">
      <w:pPr>
        <w:spacing w:line="360" w:lineRule="auto"/>
        <w:jc w:val="both"/>
        <w:rPr>
          <w:rFonts w:ascii="Arial" w:hAnsi="Arial"/>
          <w:rtl/>
        </w:rPr>
      </w:pPr>
      <w:r>
        <w:rPr>
          <w:rFonts w:ascii="Arial" w:hAnsi="Arial"/>
          <w:rtl/>
        </w:rPr>
        <w:lastRenderedPageBreak/>
        <w:t>באשר לנסיבות שאינן קשורות בביצוע העבירה, טען ב"כ המאשימה כי אין לנאשם הרשעות קודמות וכי תסקיר שירות המבחן בעניינו לא שלל סיכון להישנות עבירות דומות בעתיד.</w:t>
      </w:r>
    </w:p>
    <w:p w14:paraId="1AE33276" w14:textId="77777777" w:rsidR="00B43E38" w:rsidRDefault="00B43E38" w:rsidP="00B43E38">
      <w:pPr>
        <w:spacing w:line="360" w:lineRule="auto"/>
        <w:jc w:val="both"/>
        <w:rPr>
          <w:rFonts w:ascii="Arial" w:hAnsi="Arial"/>
          <w:rtl/>
        </w:rPr>
      </w:pPr>
    </w:p>
    <w:p w14:paraId="1913871A" w14:textId="77777777" w:rsidR="00B43E38" w:rsidRDefault="00B43E38" w:rsidP="00B43E38">
      <w:pPr>
        <w:spacing w:line="360" w:lineRule="auto"/>
        <w:jc w:val="both"/>
        <w:rPr>
          <w:rFonts w:ascii="Arial" w:hAnsi="Arial"/>
          <w:rtl/>
        </w:rPr>
      </w:pPr>
      <w:r>
        <w:rPr>
          <w:rFonts w:ascii="Arial" w:hAnsi="Arial"/>
          <w:rtl/>
        </w:rPr>
        <w:t>לאור האמור, ב"כ המאשימה עתר להטיל על הנאשם את העונשים הבאים: מאסר בפועל ברף הבינוני של המתחם לו עתר, מאסר על תנאי ארוך ומרתיע, קנס שלא יפחת מ- 10,000 ₪ והתחייבות.</w:t>
      </w:r>
    </w:p>
    <w:p w14:paraId="1D32A6B2" w14:textId="77777777" w:rsidR="00B43E38" w:rsidRDefault="00B43E38" w:rsidP="00B43E38">
      <w:pPr>
        <w:spacing w:line="360" w:lineRule="auto"/>
        <w:jc w:val="both"/>
        <w:rPr>
          <w:rFonts w:ascii="Arial" w:hAnsi="Arial"/>
          <w:b/>
          <w:bCs/>
          <w:u w:val="single"/>
          <w:rtl/>
        </w:rPr>
      </w:pPr>
    </w:p>
    <w:p w14:paraId="3B31C19F" w14:textId="77777777" w:rsidR="00B43E38" w:rsidRDefault="00B43E38" w:rsidP="00B43E38">
      <w:pPr>
        <w:spacing w:line="360" w:lineRule="auto"/>
        <w:jc w:val="both"/>
        <w:rPr>
          <w:rFonts w:ascii="Arial" w:hAnsi="Arial"/>
          <w:b/>
          <w:bCs/>
          <w:u w:val="single"/>
          <w:rtl/>
        </w:rPr>
      </w:pPr>
      <w:r>
        <w:rPr>
          <w:rFonts w:ascii="Arial" w:hAnsi="Arial"/>
          <w:b/>
          <w:bCs/>
          <w:u w:val="single"/>
          <w:rtl/>
        </w:rPr>
        <w:t>טיעוני הסנגור לעונש:</w:t>
      </w:r>
    </w:p>
    <w:p w14:paraId="7EDDCB1F" w14:textId="77777777" w:rsidR="00B43E38" w:rsidRDefault="00B43E38" w:rsidP="00B43E38">
      <w:pPr>
        <w:spacing w:line="360" w:lineRule="auto"/>
        <w:jc w:val="both"/>
        <w:rPr>
          <w:rFonts w:ascii="Arial" w:hAnsi="Arial"/>
          <w:rtl/>
        </w:rPr>
      </w:pPr>
      <w:r>
        <w:rPr>
          <w:rFonts w:ascii="Arial" w:hAnsi="Arial"/>
          <w:rtl/>
        </w:rPr>
        <w:t>לעניין מדיניות הענישה ומתחם העונש ההולם, הסנגור התנגד לפסיקה אליה הפנה ב"כ המאשימה בטענה כי היא מתייחסת למקרים חמורים יותר והוסיף כי אין התאמה בין הפסיקה אליה מפנה ב"כ המאשימה למתחם העונש אליו הוא טוען. לדידו, מתחם העונש ההולם בהתאם לפסיקה עליה הסתמך מתחיל ממספר חודשים בודדים של מאסר.</w:t>
      </w:r>
    </w:p>
    <w:p w14:paraId="1DC666B7" w14:textId="77777777" w:rsidR="00B43E38" w:rsidRDefault="00B43E38" w:rsidP="00B43E38">
      <w:pPr>
        <w:spacing w:line="360" w:lineRule="auto"/>
        <w:jc w:val="both"/>
        <w:rPr>
          <w:rFonts w:ascii="Arial" w:hAnsi="Arial"/>
          <w:rtl/>
        </w:rPr>
      </w:pPr>
    </w:p>
    <w:p w14:paraId="5F5F3719" w14:textId="77777777" w:rsidR="00B43E38" w:rsidRDefault="00B43E38" w:rsidP="00B43E38">
      <w:pPr>
        <w:spacing w:line="360" w:lineRule="auto"/>
        <w:jc w:val="both"/>
        <w:rPr>
          <w:rFonts w:ascii="Arial" w:hAnsi="Arial"/>
          <w:rtl/>
        </w:rPr>
      </w:pPr>
      <w:r>
        <w:rPr>
          <w:rFonts w:ascii="Arial" w:hAnsi="Arial"/>
          <w:rtl/>
        </w:rPr>
        <w:t xml:space="preserve">אשר לנסיבות שאינן קשורות בביצוע העבירה, טען הסנגור כי לנאשם אין הרשעות קודמות ואין חשש שנעשה או שייעשה שימוש בנשק. לטענתו, מזה כשנה וחצי הוא נמצא במעצר בית בפיקוח אלקטרוני ולא נרשמו לחובתו הפרות. הנאשם מטפל באחותו שסובלת מתסמונת דאון והיא נמצאת יחד עמו במקום מעצר הבית. זאת ועוד, הנאשם לא עובד בעקבות תאונה שעבר, והוא שרוי בדיכאון משום שחווה מוות של חבר לידו. </w:t>
      </w:r>
    </w:p>
    <w:p w14:paraId="62D191E5" w14:textId="77777777" w:rsidR="00B43E38" w:rsidRDefault="00B43E38" w:rsidP="00B43E38">
      <w:pPr>
        <w:spacing w:line="360" w:lineRule="auto"/>
        <w:jc w:val="both"/>
        <w:rPr>
          <w:rFonts w:ascii="Arial" w:hAnsi="Arial"/>
          <w:rtl/>
        </w:rPr>
      </w:pPr>
    </w:p>
    <w:p w14:paraId="1CD6F9E7" w14:textId="77777777" w:rsidR="00B43E38" w:rsidRDefault="00B43E38" w:rsidP="00B43E38">
      <w:pPr>
        <w:spacing w:line="360" w:lineRule="auto"/>
        <w:jc w:val="both"/>
        <w:rPr>
          <w:rFonts w:ascii="Arial" w:hAnsi="Arial"/>
          <w:rtl/>
        </w:rPr>
      </w:pPr>
      <w:r>
        <w:rPr>
          <w:rFonts w:ascii="Arial" w:hAnsi="Arial"/>
          <w:rtl/>
        </w:rPr>
        <w:t>הסנגור ציין, כי הנאשם הודה בהזדמנות הראשונה וחסך זמן שיפוטי. כמו כן, הנאשם היה במעצר לתקופה של כ-5 חודשים ובמשך שנה וחצי בפיקוח אלקטרוני כך שלמעשה במשך שנתיים שהה בתנאים מגבילים קשים. לעניין התסקיר, טען הסנגור כי אומנם לא מדובר בתסקיר חיובי אך גם לא בתסקיר שלילי.</w:t>
      </w:r>
    </w:p>
    <w:p w14:paraId="7E3DC21F" w14:textId="77777777" w:rsidR="00B43E38" w:rsidRDefault="00B43E38" w:rsidP="00B43E38">
      <w:pPr>
        <w:spacing w:line="360" w:lineRule="auto"/>
        <w:jc w:val="both"/>
        <w:rPr>
          <w:rFonts w:ascii="Arial" w:hAnsi="Arial"/>
          <w:rtl/>
        </w:rPr>
      </w:pPr>
    </w:p>
    <w:p w14:paraId="224D09BD" w14:textId="77777777" w:rsidR="00B43E38" w:rsidRDefault="00B43E38" w:rsidP="00B43E38">
      <w:pPr>
        <w:spacing w:line="360" w:lineRule="auto"/>
        <w:jc w:val="both"/>
        <w:rPr>
          <w:rFonts w:ascii="Arial" w:hAnsi="Arial"/>
          <w:rtl/>
        </w:rPr>
      </w:pPr>
      <w:r>
        <w:rPr>
          <w:rFonts w:ascii="Arial" w:hAnsi="Arial"/>
          <w:rtl/>
        </w:rPr>
        <w:t>לסיום, הסנגור ביקש שלא למצות את הדין עם הנאשם ולהטיל עליו עונש ברף הנמוך של המתחם ובחפיפה לתקופת המעצר.</w:t>
      </w:r>
    </w:p>
    <w:p w14:paraId="007B4F7C" w14:textId="77777777" w:rsidR="00B43E38" w:rsidRDefault="00B43E38" w:rsidP="00B43E38">
      <w:pPr>
        <w:spacing w:line="360" w:lineRule="auto"/>
        <w:jc w:val="both"/>
        <w:rPr>
          <w:rFonts w:ascii="Arial" w:hAnsi="Arial"/>
          <w:rtl/>
        </w:rPr>
      </w:pPr>
    </w:p>
    <w:p w14:paraId="15A507E4" w14:textId="77777777" w:rsidR="00B43E38" w:rsidRDefault="00B43E38" w:rsidP="00B43E38">
      <w:pPr>
        <w:spacing w:line="360" w:lineRule="auto"/>
        <w:jc w:val="both"/>
        <w:rPr>
          <w:rFonts w:ascii="Arial" w:hAnsi="Arial"/>
          <w:b/>
          <w:bCs/>
          <w:u w:val="single"/>
          <w:rtl/>
        </w:rPr>
      </w:pPr>
      <w:r>
        <w:rPr>
          <w:rFonts w:ascii="Arial" w:hAnsi="Arial"/>
          <w:b/>
          <w:bCs/>
          <w:u w:val="single"/>
          <w:rtl/>
        </w:rPr>
        <w:t>דיון:</w:t>
      </w:r>
    </w:p>
    <w:p w14:paraId="772C6003" w14:textId="77777777" w:rsidR="00B43E38" w:rsidRDefault="00B43E38" w:rsidP="00B43E38">
      <w:pPr>
        <w:pStyle w:val="a9"/>
        <w:spacing w:line="360" w:lineRule="auto"/>
        <w:jc w:val="both"/>
        <w:rPr>
          <w:rtl/>
        </w:rPr>
      </w:pPr>
      <w:r>
        <w:rPr>
          <w:rFonts w:ascii="Arial" w:hAnsi="Arial" w:hint="cs"/>
          <w:rtl/>
        </w:rPr>
        <w:t xml:space="preserve">העבירות בהן הורשע הנאשם הן חמורות ופוגעות בערך החברתי של שלום הציבור וביטחונו, </w:t>
      </w:r>
      <w:r>
        <w:rPr>
          <w:rFonts w:hint="cs"/>
          <w:rtl/>
        </w:rPr>
        <w:t xml:space="preserve">שכן שימוש בנשק שלא כדין עלול להוביל לתוצאות הרות אסון. לצערנו, אנו עדים לאלימות גואה מדי יום תוך שימוש בנשק חם באופן שפוגע בשלום גופם ושלוות נפשם של הציבור, ולצערנו אף לקיפוח חיי אדם. </w:t>
      </w:r>
      <w:r>
        <w:rPr>
          <w:rFonts w:hint="cs"/>
          <w:b/>
          <w:bCs/>
          <w:rtl/>
          <w:lang w:eastAsia="he-IL"/>
        </w:rPr>
        <w:t xml:space="preserve"> </w:t>
      </w:r>
      <w:r>
        <w:rPr>
          <w:rFonts w:hint="cs"/>
          <w:rtl/>
        </w:rPr>
        <w:t>הפסיקה התייחסה לא אחת לכך כי שיקולי ההלימה מחייבים העדפת האינטרס הציבורי על פני האינטרס האישי והאינדיווידואלי של הנאשם, וכי הענישה הראויה בעבירות מסוג זה כוללת מאסר לריצוי בפועל גם כשמדובר במי שזו לו עבירתו הראשונה (</w:t>
      </w:r>
      <w:hyperlink r:id="rId12" w:history="1">
        <w:r w:rsidR="00976B90" w:rsidRPr="00976B90">
          <w:rPr>
            <w:color w:val="0000FF"/>
            <w:u w:val="single"/>
            <w:rtl/>
          </w:rPr>
          <w:t>ע"פ 5681/14</w:t>
        </w:r>
      </w:hyperlink>
      <w:r>
        <w:rPr>
          <w:rFonts w:hint="cs"/>
          <w:rtl/>
        </w:rPr>
        <w:t xml:space="preserve"> </w:t>
      </w:r>
      <w:r>
        <w:rPr>
          <w:rFonts w:hint="cs"/>
          <w:b/>
          <w:bCs/>
          <w:rtl/>
        </w:rPr>
        <w:t>מדינת ישראל נ' טאטור</w:t>
      </w:r>
      <w:r>
        <w:rPr>
          <w:rFonts w:hint="cs"/>
          <w:rtl/>
        </w:rPr>
        <w:t xml:space="preserve">, מיום 1.2.2015). </w:t>
      </w:r>
    </w:p>
    <w:p w14:paraId="7C6C428B" w14:textId="77777777" w:rsidR="00B43E38" w:rsidRDefault="00B43E38" w:rsidP="00B43E38">
      <w:pPr>
        <w:pStyle w:val="a9"/>
        <w:spacing w:line="360" w:lineRule="auto"/>
        <w:jc w:val="both"/>
        <w:rPr>
          <w:rtl/>
        </w:rPr>
      </w:pPr>
    </w:p>
    <w:p w14:paraId="6041C2DC" w14:textId="77777777" w:rsidR="00B43E38" w:rsidRDefault="00B43E38" w:rsidP="00B43E38">
      <w:pPr>
        <w:spacing w:line="360" w:lineRule="auto"/>
        <w:jc w:val="both"/>
        <w:rPr>
          <w:rFonts w:ascii="Arial" w:hAnsi="Arial"/>
        </w:rPr>
      </w:pPr>
      <w:r>
        <w:rPr>
          <w:rFonts w:ascii="Arial" w:hAnsi="Arial"/>
          <w:rtl/>
        </w:rPr>
        <w:t>על חומרת עבירות הנשק עמד בית המשפט העליון ב</w:t>
      </w:r>
      <w:hyperlink r:id="rId13" w:history="1">
        <w:r w:rsidR="00976B90" w:rsidRPr="00976B90">
          <w:rPr>
            <w:rFonts w:ascii="Arial" w:hAnsi="Arial"/>
            <w:color w:val="0000FF"/>
            <w:u w:val="single"/>
            <w:rtl/>
          </w:rPr>
          <w:t>ע"פ 4945/13</w:t>
        </w:r>
      </w:hyperlink>
      <w:r>
        <w:rPr>
          <w:rFonts w:ascii="Arial" w:hAnsi="Arial"/>
          <w:rtl/>
        </w:rPr>
        <w:t xml:space="preserve"> </w:t>
      </w:r>
      <w:r>
        <w:rPr>
          <w:rFonts w:ascii="Arial" w:hAnsi="Arial"/>
          <w:b/>
          <w:bCs/>
          <w:rtl/>
        </w:rPr>
        <w:t>מדינת ישראל נ' עבד אל כרים סלימאן</w:t>
      </w:r>
      <w:r>
        <w:rPr>
          <w:rFonts w:ascii="Arial" w:hAnsi="Arial"/>
          <w:rtl/>
        </w:rPr>
        <w:t xml:space="preserve"> (ניתן ביום 19.1.2014) בו נקבע כי:</w:t>
      </w:r>
    </w:p>
    <w:p w14:paraId="55DD4F35" w14:textId="77777777" w:rsidR="00B43E38" w:rsidRDefault="00B43E38" w:rsidP="00B43E38">
      <w:pPr>
        <w:spacing w:line="360" w:lineRule="auto"/>
        <w:ind w:left="1077" w:right="993"/>
        <w:jc w:val="both"/>
        <w:rPr>
          <w:b/>
          <w:bCs/>
        </w:rPr>
      </w:pPr>
      <w:r>
        <w:rPr>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26348391" w14:textId="77777777" w:rsidR="00B43E38" w:rsidRDefault="00B43E38" w:rsidP="00B43E38">
      <w:pPr>
        <w:spacing w:line="360" w:lineRule="auto"/>
        <w:jc w:val="both"/>
        <w:rPr>
          <w:rtl/>
        </w:rPr>
      </w:pPr>
    </w:p>
    <w:p w14:paraId="47A806F3" w14:textId="77777777" w:rsidR="00B43E38" w:rsidRDefault="00B43E38" w:rsidP="00B43E38">
      <w:pPr>
        <w:spacing w:line="360" w:lineRule="auto"/>
        <w:jc w:val="both"/>
        <w:rPr>
          <w:rtl/>
        </w:rPr>
      </w:pPr>
      <w:r>
        <w:rPr>
          <w:rtl/>
        </w:rPr>
        <w:t>בית המשפט העליון חזר בעניין סובח והדגיש את מגמת ההחמרה בעבירות נשק, על סוגיהן השונים, וקבע כדלקמן:</w:t>
      </w:r>
    </w:p>
    <w:p w14:paraId="141F77BD" w14:textId="77777777" w:rsidR="00B43E38" w:rsidRDefault="00B43E38" w:rsidP="00B43E38">
      <w:pPr>
        <w:spacing w:line="360" w:lineRule="auto"/>
        <w:ind w:left="1077" w:right="993"/>
        <w:jc w:val="both"/>
      </w:pPr>
      <w:r>
        <w:rPr>
          <w:b/>
          <w:bCs/>
          <w:rtl/>
        </w:rPr>
        <w:t xml:space="preserve">"נוכח ריבוי מקרי הירי, יש לנקוט במדיניות ענישה מחמירה כלפי ביצוע עבירות החזקת נשק שלא כדין..." </w:t>
      </w:r>
      <w:r>
        <w:rPr>
          <w:rtl/>
        </w:rPr>
        <w:t>(</w:t>
      </w:r>
      <w:hyperlink r:id="rId14" w:history="1">
        <w:r w:rsidR="00976B90" w:rsidRPr="00976B90">
          <w:rPr>
            <w:color w:val="0000FF"/>
            <w:u w:val="single"/>
            <w:rtl/>
          </w:rPr>
          <w:t>ע"פ 4406/19</w:t>
        </w:r>
      </w:hyperlink>
      <w:r>
        <w:rPr>
          <w:rtl/>
        </w:rPr>
        <w:t xml:space="preserve"> </w:t>
      </w:r>
      <w:r>
        <w:rPr>
          <w:b/>
          <w:bCs/>
          <w:rtl/>
        </w:rPr>
        <w:t>מדינת ישראל נ' סובח</w:t>
      </w:r>
      <w:r>
        <w:rPr>
          <w:rtl/>
        </w:rPr>
        <w:t>,  מיום 5.11.2019).</w:t>
      </w:r>
    </w:p>
    <w:p w14:paraId="164150E0" w14:textId="77777777" w:rsidR="00B43E38" w:rsidRDefault="00B43E38" w:rsidP="00B43E38">
      <w:pPr>
        <w:spacing w:line="360" w:lineRule="auto"/>
        <w:ind w:right="993"/>
        <w:jc w:val="both"/>
        <w:rPr>
          <w:b/>
          <w:bCs/>
        </w:rPr>
      </w:pPr>
    </w:p>
    <w:p w14:paraId="62C8523A" w14:textId="77777777" w:rsidR="00B43E38" w:rsidRDefault="00B43E38" w:rsidP="00B43E38">
      <w:pPr>
        <w:spacing w:line="360" w:lineRule="auto"/>
        <w:jc w:val="both"/>
        <w:rPr>
          <w:rtl/>
        </w:rPr>
      </w:pPr>
      <w:r>
        <w:rPr>
          <w:rtl/>
        </w:rPr>
        <w:t>עמדה זהה הובעה גם בעניין הוארי בו קבע בית המשפט העליון כי:</w:t>
      </w:r>
    </w:p>
    <w:p w14:paraId="3A076565" w14:textId="77777777" w:rsidR="00B43E38" w:rsidRDefault="00B43E38" w:rsidP="00B43E38">
      <w:pPr>
        <w:spacing w:line="360" w:lineRule="auto"/>
        <w:ind w:left="1077" w:right="993"/>
        <w:jc w:val="both"/>
      </w:pPr>
      <w:r>
        <w:rPr>
          <w:b/>
          <w:bCs/>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r>
        <w:rPr>
          <w:rtl/>
        </w:rPr>
        <w:t>(</w:t>
      </w:r>
      <w:hyperlink r:id="rId15" w:history="1">
        <w:r w:rsidR="00976B90" w:rsidRPr="00976B90">
          <w:rPr>
            <w:color w:val="0000FF"/>
            <w:u w:val="single"/>
            <w:rtl/>
          </w:rPr>
          <w:t>ע"פ 5446/19</w:t>
        </w:r>
      </w:hyperlink>
      <w:r>
        <w:rPr>
          <w:rtl/>
        </w:rPr>
        <w:t xml:space="preserve"> </w:t>
      </w:r>
      <w:r>
        <w:rPr>
          <w:b/>
          <w:bCs/>
          <w:rtl/>
        </w:rPr>
        <w:t>מדינת ישראל נ' הוארי</w:t>
      </w:r>
      <w:r>
        <w:rPr>
          <w:rtl/>
        </w:rPr>
        <w:t>, מיום</w:t>
      </w:r>
      <w:r>
        <w:rPr>
          <w:b/>
          <w:bCs/>
          <w:rtl/>
        </w:rPr>
        <w:t xml:space="preserve"> </w:t>
      </w:r>
      <w:r>
        <w:rPr>
          <w:rtl/>
        </w:rPr>
        <w:t>25.11.2019).</w:t>
      </w:r>
    </w:p>
    <w:p w14:paraId="48C9A3DD" w14:textId="77777777" w:rsidR="00B43E38" w:rsidRDefault="00B43E38" w:rsidP="00B43E38">
      <w:pPr>
        <w:spacing w:line="360" w:lineRule="auto"/>
        <w:jc w:val="both"/>
        <w:rPr>
          <w:rtl/>
        </w:rPr>
      </w:pPr>
    </w:p>
    <w:p w14:paraId="7AA03CC2" w14:textId="77777777" w:rsidR="00B43E38" w:rsidRDefault="00B43E38" w:rsidP="00B43E38">
      <w:pPr>
        <w:spacing w:line="360" w:lineRule="auto"/>
        <w:jc w:val="both"/>
        <w:rPr>
          <w:rtl/>
        </w:rPr>
      </w:pPr>
      <w:r>
        <w:rPr>
          <w:rtl/>
        </w:rPr>
        <w:t>ע</w:t>
      </w:r>
      <w:r>
        <w:rPr>
          <w:rFonts w:ascii="David" w:hAnsi="David"/>
          <w:rtl/>
        </w:rPr>
        <w:t xml:space="preserve">ל מידת הפגיעה בערכים המוגנים ניתן ללמוד מנסיבות ביצוע העבירה. בגדר כך אציין כי הנאשם החזיק בביתו באקדח חצי אוטומטי טעון כאשר המחסנית במצב הכנס ובה 11 כדורי תחמושת ועוד עשרות כדורי תחמושת בנפרד. ברור אם כן שפוטנציאל הנזק בנסיבות אלו הוא גדול מאוד, שכן מדובר בהחזקת נשק טעון </w:t>
      </w:r>
      <w:r>
        <w:rPr>
          <w:rtl/>
        </w:rPr>
        <w:t>ומוכן לירי מידי, ולמעשה רק לחיצה על ההדק הפרידה בין ההחזקה באקדח לבין אפשרות השימוש בו. העובדה כי לצד הנשק נתפסו עוד עשרות כדורים תואמים לאקדח מעצימה את החומרה הגלומה במעשה העבירה, שכן היקף כזה של כדורים מלמד על פוטנציאל שימוש נרחב מאוד באקדח.</w:t>
      </w:r>
    </w:p>
    <w:p w14:paraId="7047D8C2" w14:textId="77777777" w:rsidR="00B43E38" w:rsidRDefault="00B43E38" w:rsidP="00B43E38">
      <w:pPr>
        <w:spacing w:line="360" w:lineRule="auto"/>
        <w:jc w:val="both"/>
        <w:rPr>
          <w:rtl/>
        </w:rPr>
      </w:pPr>
    </w:p>
    <w:p w14:paraId="0F53751A" w14:textId="77777777" w:rsidR="00B43E38" w:rsidRDefault="00B43E38" w:rsidP="00B43E38">
      <w:pPr>
        <w:spacing w:line="360" w:lineRule="auto"/>
        <w:jc w:val="both"/>
        <w:rPr>
          <w:rtl/>
        </w:rPr>
      </w:pPr>
      <w:r>
        <w:rPr>
          <w:rtl/>
        </w:rPr>
        <w:t>בחינת הפסיקה הנוהגת מצביעה כי ברוב המכריע של המקרים המתייחסים לעבירה שבנדון הוטלו עונשי מאסר ממשיים לתקופות שונות. אין ספק שמגמת הפסיקה מהשנים האחרונות היא לגזור עונשים בפועל מאחורי סורג ובריח גם אם בעבר הנטייה הייתה לגזור את המאסר בדרך של עבודות שירות. אביא להלן מקבץ את פסיקה רלוונטית שמשקפת את רמת הענישה במועד ביצוע העבירה:</w:t>
      </w:r>
    </w:p>
    <w:p w14:paraId="0FC02C35" w14:textId="77777777" w:rsidR="00B43E38" w:rsidRDefault="00B43E38" w:rsidP="00B43E38">
      <w:pPr>
        <w:spacing w:after="120" w:line="360" w:lineRule="auto"/>
        <w:ind w:right="426"/>
        <w:jc w:val="both"/>
        <w:rPr>
          <w:rFonts w:ascii="David" w:hAnsi="David"/>
          <w:color w:val="000000"/>
        </w:rPr>
      </w:pPr>
    </w:p>
    <w:p w14:paraId="5A6CA4D9" w14:textId="77777777" w:rsidR="00B43E38" w:rsidRDefault="00976B90" w:rsidP="00B43E38">
      <w:pPr>
        <w:pStyle w:val="aa"/>
        <w:numPr>
          <w:ilvl w:val="0"/>
          <w:numId w:val="1"/>
        </w:numPr>
        <w:spacing w:after="120" w:line="360" w:lineRule="auto"/>
        <w:jc w:val="both"/>
        <w:rPr>
          <w:rFonts w:ascii="David" w:hAnsi="David"/>
          <w:color w:val="000000"/>
          <w:rtl/>
        </w:rPr>
      </w:pPr>
      <w:hyperlink r:id="rId16" w:history="1">
        <w:r w:rsidRPr="00976B90">
          <w:rPr>
            <w:rFonts w:ascii="David" w:hAnsi="David"/>
            <w:color w:val="0000FF"/>
            <w:u w:val="single"/>
            <w:rtl/>
          </w:rPr>
          <w:t>ע"פ 2015/21</w:t>
        </w:r>
      </w:hyperlink>
      <w:r w:rsidR="00B43E38">
        <w:rPr>
          <w:rFonts w:ascii="David" w:hAnsi="David"/>
          <w:color w:val="000000"/>
          <w:rtl/>
        </w:rPr>
        <w:t xml:space="preserve"> </w:t>
      </w:r>
      <w:r w:rsidR="00B43E38">
        <w:rPr>
          <w:rFonts w:ascii="David" w:hAnsi="David"/>
          <w:b/>
          <w:bCs/>
          <w:color w:val="000000"/>
          <w:rtl/>
        </w:rPr>
        <w:t>אחמד אזברגה נ' מדינת ישראל</w:t>
      </w:r>
      <w:r w:rsidR="00B43E38">
        <w:rPr>
          <w:rFonts w:ascii="David" w:hAnsi="David"/>
          <w:color w:val="000000"/>
          <w:rtl/>
        </w:rPr>
        <w:t xml:space="preserve"> (9.12.2021), נדחה ערעור שהוגש על גזר דינו של בית המשפט המחוזי. הנאשם הור</w:t>
      </w:r>
      <w:r w:rsidR="00B43E38">
        <w:rPr>
          <w:rFonts w:ascii="David" w:hAnsi="David" w:hint="cs"/>
          <w:color w:val="000000"/>
          <w:rtl/>
        </w:rPr>
        <w:t>ש</w:t>
      </w:r>
      <w:r w:rsidR="00B43E38">
        <w:rPr>
          <w:rFonts w:ascii="David" w:hAnsi="David"/>
          <w:color w:val="000000"/>
          <w:rtl/>
        </w:rPr>
        <w:t>ע על פי הודאתו בעבירות נשק בכך שהוא החזיק ברכבו שני אקדחים. בית המשפט המח</w:t>
      </w:r>
      <w:r w:rsidR="00B43E38">
        <w:rPr>
          <w:rFonts w:ascii="David" w:hAnsi="David" w:hint="cs"/>
          <w:color w:val="000000"/>
          <w:rtl/>
        </w:rPr>
        <w:t>ו</w:t>
      </w:r>
      <w:r w:rsidR="00B43E38">
        <w:rPr>
          <w:rFonts w:ascii="David" w:hAnsi="David"/>
          <w:color w:val="000000"/>
          <w:rtl/>
        </w:rPr>
        <w:t>זי קבע כי מתחם העונש ההולם נע בין 12-30 חודשי מאסר. והשית על הנאשם שנעדר עבר פלילי ותוך שקילת המלצת שירות המבחן להשתת עונש מאסר בעבודות שירות משיקולי שיקום,  16 חודשי מאסר בפועל לצד ענישה נלווית.</w:t>
      </w:r>
    </w:p>
    <w:p w14:paraId="14FD107F" w14:textId="77777777" w:rsidR="00B43E38" w:rsidRDefault="00976B90" w:rsidP="00B43E38">
      <w:pPr>
        <w:pStyle w:val="aa"/>
        <w:numPr>
          <w:ilvl w:val="0"/>
          <w:numId w:val="1"/>
        </w:numPr>
        <w:spacing w:after="120" w:line="360" w:lineRule="auto"/>
        <w:jc w:val="both"/>
        <w:rPr>
          <w:rFonts w:ascii="David" w:hAnsi="David"/>
          <w:color w:val="000000"/>
        </w:rPr>
      </w:pPr>
      <w:hyperlink r:id="rId17" w:history="1">
        <w:r w:rsidRPr="00976B90">
          <w:rPr>
            <w:rFonts w:ascii="David" w:hAnsi="David"/>
            <w:color w:val="0000FF"/>
            <w:u w:val="single"/>
            <w:rtl/>
          </w:rPr>
          <w:t>רע"פ 6265/20</w:t>
        </w:r>
      </w:hyperlink>
      <w:r w:rsidR="00B43E38">
        <w:rPr>
          <w:rFonts w:ascii="David" w:hAnsi="David"/>
          <w:color w:val="000000"/>
          <w:rtl/>
        </w:rPr>
        <w:t xml:space="preserve"> </w:t>
      </w:r>
      <w:r w:rsidR="00B43E38">
        <w:rPr>
          <w:rFonts w:ascii="David" w:hAnsi="David"/>
          <w:b/>
          <w:bCs/>
          <w:color w:val="000000"/>
          <w:rtl/>
        </w:rPr>
        <w:t>ווספי אבו אלקיעאן נ' מדינת ישראל</w:t>
      </w:r>
      <w:r w:rsidR="00B43E38">
        <w:rPr>
          <w:rFonts w:ascii="David" w:hAnsi="David"/>
          <w:color w:val="000000"/>
          <w:rtl/>
        </w:rPr>
        <w:t xml:space="preserve"> (15.9.2020), מדובר בבקשת רשות ערעור על פסק דינו של בית המשפט המחוזי שקיבל חלקית ערעור על גזר דינו של בית המשפט השלום.  המבקש הורשע לאחר ניהול הוכחות בביצוע עבירות של החזקת נשק ותחמושת לפי </w:t>
      </w:r>
      <w:hyperlink r:id="rId18" w:history="1">
        <w:r w:rsidR="006F4A0F" w:rsidRPr="006F4A0F">
          <w:rPr>
            <w:rFonts w:ascii="David" w:hAnsi="David"/>
            <w:color w:val="0000FF"/>
            <w:u w:val="single"/>
            <w:rtl/>
          </w:rPr>
          <w:t>סעיפים 144(א)</w:t>
        </w:r>
      </w:hyperlink>
      <w:r w:rsidR="00B43E38">
        <w:rPr>
          <w:rFonts w:ascii="David" w:hAnsi="David"/>
          <w:color w:val="000000"/>
          <w:rtl/>
        </w:rPr>
        <w:t xml:space="preserve"> רישא וסיפא בכך שהחזיק בנשק מסוג אקדח חצי אוטומט ברטה, אשר נמצא מתחת לכיסא הנהג ברכבו בצירו</w:t>
      </w:r>
      <w:r w:rsidR="00B43E38">
        <w:rPr>
          <w:rFonts w:ascii="David" w:hAnsi="David" w:hint="cs"/>
          <w:color w:val="000000"/>
          <w:rtl/>
        </w:rPr>
        <w:t>ף</w:t>
      </w:r>
      <w:r w:rsidR="00B43E38">
        <w:rPr>
          <w:rFonts w:ascii="David" w:hAnsi="David"/>
          <w:color w:val="000000"/>
          <w:rtl/>
        </w:rPr>
        <w:t xml:space="preserve"> מחסנית ובה כדורים. בית המשפט השלום קבע כי מתחם העונש ההולם נע בין 15-30 חודשי מאסר בפועל והשית על הנאשם 15 חודשי מאסר בפועל ערעור שהגיש המבקש לבית המשפט המח</w:t>
      </w:r>
      <w:r w:rsidR="00B43E38">
        <w:rPr>
          <w:rFonts w:ascii="David" w:hAnsi="David" w:hint="cs"/>
          <w:color w:val="000000"/>
          <w:rtl/>
        </w:rPr>
        <w:t>ו</w:t>
      </w:r>
      <w:r w:rsidR="00B43E38">
        <w:rPr>
          <w:rFonts w:ascii="David" w:hAnsi="David"/>
          <w:color w:val="000000"/>
          <w:rtl/>
        </w:rPr>
        <w:t>זי התקבל בחלקית בכך שהוקל עונשו וע</w:t>
      </w:r>
      <w:r w:rsidR="00B43E38">
        <w:rPr>
          <w:rFonts w:ascii="David" w:hAnsi="David" w:hint="cs"/>
          <w:color w:val="000000"/>
          <w:rtl/>
        </w:rPr>
        <w:t>מ</w:t>
      </w:r>
      <w:r w:rsidR="00B43E38">
        <w:rPr>
          <w:rFonts w:ascii="David" w:hAnsi="David"/>
          <w:color w:val="000000"/>
          <w:rtl/>
        </w:rPr>
        <w:t>ד על 12 חודשי מאסר בפועל. בקש רשות ערעור שהוגשה לבית המשפט העליון, נדחתה.</w:t>
      </w:r>
    </w:p>
    <w:p w14:paraId="4B6E8EAF" w14:textId="77777777" w:rsidR="00B43E38" w:rsidRDefault="00976B90" w:rsidP="00B43E38">
      <w:pPr>
        <w:pStyle w:val="aa"/>
        <w:numPr>
          <w:ilvl w:val="0"/>
          <w:numId w:val="1"/>
        </w:numPr>
        <w:spacing w:after="120" w:line="360" w:lineRule="auto"/>
        <w:jc w:val="both"/>
        <w:rPr>
          <w:rFonts w:ascii="David" w:hAnsi="David"/>
          <w:color w:val="000000"/>
        </w:rPr>
      </w:pPr>
      <w:hyperlink r:id="rId19" w:history="1">
        <w:r w:rsidRPr="00976B90">
          <w:rPr>
            <w:rFonts w:ascii="David" w:hAnsi="David"/>
            <w:color w:val="0000FF"/>
            <w:u w:val="single"/>
            <w:rtl/>
          </w:rPr>
          <w:t>ת"פ (מרכז) 58852-03-21</w:t>
        </w:r>
      </w:hyperlink>
      <w:r w:rsidR="00B43E38">
        <w:rPr>
          <w:rFonts w:ascii="David" w:hAnsi="David"/>
          <w:color w:val="000000"/>
          <w:rtl/>
        </w:rPr>
        <w:t xml:space="preserve"> </w:t>
      </w:r>
      <w:r w:rsidR="00B43E38">
        <w:rPr>
          <w:rFonts w:ascii="David" w:hAnsi="David"/>
          <w:b/>
          <w:bCs/>
          <w:color w:val="000000"/>
          <w:rtl/>
        </w:rPr>
        <w:t>מדינת ישראל נ' אסף פדידה</w:t>
      </w:r>
      <w:r w:rsidR="00B43E38">
        <w:rPr>
          <w:rFonts w:ascii="David" w:hAnsi="David"/>
          <w:color w:val="000000"/>
          <w:rtl/>
        </w:rPr>
        <w:t xml:space="preserve"> (11.8.2022), הנאשם הורשע על פי הודאתו במסגרת הסדר טיעון בעבירה של החזקת נשק ותחמושת לפי </w:t>
      </w:r>
      <w:hyperlink r:id="rId20" w:history="1">
        <w:r w:rsidR="006F4A0F" w:rsidRPr="006F4A0F">
          <w:rPr>
            <w:rFonts w:ascii="David" w:hAnsi="David"/>
            <w:color w:val="0000FF"/>
            <w:u w:val="single"/>
            <w:rtl/>
          </w:rPr>
          <w:t>סעיף 144(א)</w:t>
        </w:r>
      </w:hyperlink>
      <w:r w:rsidR="00B43E38">
        <w:rPr>
          <w:rFonts w:ascii="David" w:hAnsi="David"/>
          <w:color w:val="000000"/>
          <w:rtl/>
        </w:rPr>
        <w:t xml:space="preserve"> רישא וסיפר בכך שהחזיק במשאית שבבעלות אקדח מסוג הזנקה שהוסב לירי תחמושת קליעית טעון במחסנית ובה 8 כדורים. בית המשפט גזר על הנאשם 11 חודשי מאסר בפועל.</w:t>
      </w:r>
    </w:p>
    <w:p w14:paraId="6B64B267" w14:textId="77777777" w:rsidR="00B43E38" w:rsidRDefault="00976B90" w:rsidP="00B43E38">
      <w:pPr>
        <w:pStyle w:val="aa"/>
        <w:numPr>
          <w:ilvl w:val="0"/>
          <w:numId w:val="1"/>
        </w:numPr>
        <w:spacing w:after="120" w:line="360" w:lineRule="auto"/>
        <w:jc w:val="both"/>
        <w:rPr>
          <w:rFonts w:ascii="David" w:hAnsi="David"/>
          <w:color w:val="000000"/>
        </w:rPr>
      </w:pPr>
      <w:hyperlink r:id="rId21" w:history="1">
        <w:r w:rsidRPr="00976B90">
          <w:rPr>
            <w:rFonts w:ascii="David" w:hAnsi="David"/>
            <w:color w:val="0000FF"/>
            <w:u w:val="single"/>
            <w:rtl/>
          </w:rPr>
          <w:t>רע"פ 5613/20</w:t>
        </w:r>
      </w:hyperlink>
      <w:r w:rsidR="00B43E38">
        <w:rPr>
          <w:rFonts w:ascii="David" w:hAnsi="David"/>
          <w:color w:val="000000"/>
          <w:rtl/>
        </w:rPr>
        <w:t xml:space="preserve"> </w:t>
      </w:r>
      <w:r w:rsidR="00B43E38">
        <w:rPr>
          <w:rFonts w:ascii="David" w:hAnsi="David"/>
          <w:b/>
          <w:bCs/>
          <w:color w:val="000000"/>
          <w:rtl/>
        </w:rPr>
        <w:t>זאקי אלהוזייל נ' מדינת ישראל</w:t>
      </w:r>
      <w:r w:rsidR="00B43E38">
        <w:rPr>
          <w:rFonts w:ascii="David" w:hAnsi="David"/>
          <w:color w:val="000000"/>
          <w:rtl/>
        </w:rPr>
        <w:t xml:space="preserve"> (25.8.2020), בקשת רשות ערעור על פסק דינו של בית המשפט המחוזי בגדרו נדחה ערעור על גזר דינו של בית המשפט השלום. המבקש הורשע על פי הודאתו בעבירות של החזקת נשק לפי </w:t>
      </w:r>
      <w:hyperlink r:id="rId22" w:history="1">
        <w:r w:rsidR="006F4A0F" w:rsidRPr="006F4A0F">
          <w:rPr>
            <w:rFonts w:ascii="David" w:hAnsi="David"/>
            <w:color w:val="0000FF"/>
            <w:u w:val="single"/>
            <w:rtl/>
          </w:rPr>
          <w:t>סעיף 144(א)</w:t>
        </w:r>
      </w:hyperlink>
      <w:r w:rsidR="00B43E38">
        <w:rPr>
          <w:rFonts w:ascii="David" w:hAnsi="David"/>
          <w:color w:val="000000"/>
          <w:rtl/>
        </w:rPr>
        <w:t xml:space="preserve"> רישא וסיפא בכך שנמצא מחזיק במקום מגוריו אקדח מסוג </w:t>
      </w:r>
      <w:r w:rsidR="00B43E38">
        <w:rPr>
          <w:rFonts w:ascii="David" w:hAnsi="David"/>
          <w:color w:val="000000"/>
        </w:rPr>
        <w:t xml:space="preserve">FN </w:t>
      </w:r>
      <w:r w:rsidR="00B43E38">
        <w:rPr>
          <w:rFonts w:ascii="David" w:hAnsi="David"/>
          <w:color w:val="000000"/>
          <w:rtl/>
        </w:rPr>
        <w:t xml:space="preserve"> בקוטר 9 מ"מ וכן 20 כדורים בעלי קוטר זהה. בית המשפט השלום קבע כי מתחם העונש ההולם נע בין 11-33 חודשי מאסר בפועל. וגזר על המבקש 12 חודשי מאסר בפועל. בית המשפט המחוזי כאמור דחה את הערעור על חומרת העונש. בקשת רשות ערעור לבית המשפט העליון גם נדחתה. (אוזכר מטעם המאשימה)</w:t>
      </w:r>
      <w:r w:rsidR="00B43E38">
        <w:rPr>
          <w:rFonts w:ascii="David" w:hAnsi="David"/>
          <w:b/>
          <w:bCs/>
          <w:color w:val="000000"/>
          <w:rtl/>
        </w:rPr>
        <w:t>.</w:t>
      </w:r>
    </w:p>
    <w:p w14:paraId="111D09AA" w14:textId="77777777" w:rsidR="00B43E38" w:rsidRDefault="00976B90" w:rsidP="00B43E38">
      <w:pPr>
        <w:pStyle w:val="aa"/>
        <w:numPr>
          <w:ilvl w:val="0"/>
          <w:numId w:val="1"/>
        </w:numPr>
        <w:spacing w:after="120" w:line="360" w:lineRule="auto"/>
        <w:jc w:val="both"/>
        <w:rPr>
          <w:rFonts w:ascii="David" w:hAnsi="David"/>
          <w:color w:val="000000"/>
        </w:rPr>
      </w:pPr>
      <w:hyperlink r:id="rId23" w:history="1">
        <w:r w:rsidRPr="00976B90">
          <w:rPr>
            <w:rFonts w:ascii="David" w:hAnsi="David"/>
            <w:color w:val="0000FF"/>
            <w:u w:val="single"/>
            <w:rtl/>
          </w:rPr>
          <w:t>עפ"ג 45044-04-23</w:t>
        </w:r>
      </w:hyperlink>
      <w:r w:rsidR="00B43E38">
        <w:rPr>
          <w:rFonts w:ascii="David" w:hAnsi="David"/>
          <w:color w:val="000000"/>
          <w:rtl/>
        </w:rPr>
        <w:t xml:space="preserve"> </w:t>
      </w:r>
      <w:r w:rsidR="00B43E38">
        <w:rPr>
          <w:rFonts w:ascii="David" w:hAnsi="David"/>
          <w:b/>
          <w:bCs/>
          <w:color w:val="000000"/>
          <w:rtl/>
        </w:rPr>
        <w:t>מדינת ישראל נ' מוחמד עודה</w:t>
      </w:r>
      <w:r w:rsidR="00B43E38">
        <w:rPr>
          <w:rFonts w:ascii="David" w:hAnsi="David"/>
          <w:color w:val="000000"/>
          <w:rtl/>
        </w:rPr>
        <w:t xml:space="preserve"> (3.5.2023), נתקבל ערעור על גזר דינו של בית המשפט השלום. מדובר בנאשם אשר הורשע על פי הודאתו בעבירות של החזקת נשק וכן תחמושת בכך שנמצא מחזיק בבית העסק ששי</w:t>
      </w:r>
      <w:r w:rsidR="00B43E38">
        <w:rPr>
          <w:rFonts w:ascii="David" w:hAnsi="David" w:hint="cs"/>
          <w:color w:val="000000"/>
          <w:rtl/>
        </w:rPr>
        <w:t>י</w:t>
      </w:r>
      <w:r w:rsidR="00B43E38">
        <w:rPr>
          <w:rFonts w:ascii="David" w:hAnsi="David"/>
          <w:color w:val="000000"/>
          <w:rtl/>
        </w:rPr>
        <w:t xml:space="preserve">ך לו אקדח חצי אוטומטי מסוג </w:t>
      </w:r>
      <w:r w:rsidR="00B43E38">
        <w:rPr>
          <w:rFonts w:ascii="David" w:hAnsi="David"/>
          <w:color w:val="000000"/>
        </w:rPr>
        <w:t>FN</w:t>
      </w:r>
      <w:r w:rsidR="00B43E38">
        <w:rPr>
          <w:rFonts w:ascii="David" w:hAnsi="David"/>
          <w:color w:val="000000"/>
          <w:rtl/>
        </w:rPr>
        <w:t xml:space="preserve"> ובתוכו מחסנית וכן שקית ובה 9 כדורים בקוטר 9 מ"מ. בית המשפט גזר על הנאשם 10 חודשי מאסר בפועל. בערעור שהוגש הוחמר העונש ל-15 חודשי מאסר בפועל.</w:t>
      </w:r>
    </w:p>
    <w:p w14:paraId="22087622" w14:textId="77777777" w:rsidR="00B43E38" w:rsidRDefault="00976B90" w:rsidP="00B43E38">
      <w:pPr>
        <w:pStyle w:val="aa"/>
        <w:numPr>
          <w:ilvl w:val="0"/>
          <w:numId w:val="2"/>
        </w:numPr>
        <w:spacing w:after="120" w:line="360" w:lineRule="auto"/>
        <w:jc w:val="both"/>
      </w:pPr>
      <w:hyperlink r:id="rId24" w:history="1">
        <w:r w:rsidRPr="00976B90">
          <w:rPr>
            <w:rFonts w:ascii="David" w:hAnsi="David"/>
            <w:color w:val="0000FF"/>
            <w:u w:val="single"/>
            <w:rtl/>
          </w:rPr>
          <w:t>ע"פ 6011/21</w:t>
        </w:r>
      </w:hyperlink>
      <w:r w:rsidR="00B43E38">
        <w:rPr>
          <w:rFonts w:ascii="David" w:hAnsi="David"/>
          <w:color w:val="000000"/>
          <w:rtl/>
        </w:rPr>
        <w:t xml:space="preserve"> </w:t>
      </w:r>
      <w:r w:rsidR="00B43E38">
        <w:rPr>
          <w:rFonts w:ascii="David" w:hAnsi="David"/>
          <w:b/>
          <w:bCs/>
          <w:color w:val="000000"/>
          <w:rtl/>
        </w:rPr>
        <w:t>חאלד דסוקי נ' מדינת ישראל</w:t>
      </w:r>
      <w:r w:rsidR="00B43E38">
        <w:rPr>
          <w:rFonts w:ascii="David" w:hAnsi="David"/>
          <w:color w:val="000000"/>
          <w:rtl/>
        </w:rPr>
        <w:t xml:space="preserve"> (25.11.2021), נדחה ערעור שהגיש המבקש על חומרת העונש שהושת עליו בבית המשפט המחוזי. מדובר במבקש שהחזיק על גופו אקדח טעון במחסנית עם 13 כדורים תואמים. בית המשפט המח</w:t>
      </w:r>
      <w:r w:rsidR="00B43E38">
        <w:rPr>
          <w:rFonts w:ascii="David" w:hAnsi="David" w:hint="cs"/>
          <w:color w:val="000000"/>
          <w:rtl/>
        </w:rPr>
        <w:t>ו</w:t>
      </w:r>
      <w:r w:rsidR="00B43E38">
        <w:rPr>
          <w:rFonts w:ascii="David" w:hAnsi="David"/>
          <w:color w:val="000000"/>
          <w:rtl/>
        </w:rPr>
        <w:t>זי גזר על הנאשם 13 חודשי מאסר בפועל.</w:t>
      </w:r>
    </w:p>
    <w:p w14:paraId="39A8B2BF" w14:textId="77777777" w:rsidR="00B43E38" w:rsidRDefault="00976B90" w:rsidP="00B43E38">
      <w:pPr>
        <w:pStyle w:val="aa"/>
        <w:numPr>
          <w:ilvl w:val="0"/>
          <w:numId w:val="2"/>
        </w:numPr>
        <w:spacing w:after="120" w:line="360" w:lineRule="auto"/>
        <w:jc w:val="both"/>
      </w:pPr>
      <w:hyperlink r:id="rId25" w:history="1">
        <w:r w:rsidRPr="00976B90">
          <w:rPr>
            <w:color w:val="0000FF"/>
            <w:u w:val="single"/>
            <w:rtl/>
          </w:rPr>
          <w:t>ת"פ (שלום עכו) 17925-07-19</w:t>
        </w:r>
      </w:hyperlink>
      <w:r w:rsidR="00B43E38">
        <w:rPr>
          <w:rtl/>
        </w:rPr>
        <w:t xml:space="preserve"> </w:t>
      </w:r>
      <w:r w:rsidR="00B43E38">
        <w:rPr>
          <w:b/>
          <w:bCs/>
          <w:rtl/>
        </w:rPr>
        <w:t>מדינת ישראל נ' חג'אזי</w:t>
      </w:r>
      <w:r w:rsidR="00B43E38">
        <w:rPr>
          <w:rtl/>
        </w:rPr>
        <w:t xml:space="preserve"> (3.5.2020) – הנאשם הורשע עפ"י הודאתו בהחזקת אקדח טעון על גופו. מדובר בנאשם צעיר נטול עבר פלילי ובית המשפט גזר עליו 15 חודשי מאסר לצד ענישה נלווית. ערעור על חומרת העונש נדחה בבית המשפט המחוזי בחיפה (</w:t>
      </w:r>
      <w:hyperlink r:id="rId26" w:history="1">
        <w:r w:rsidRPr="00976B90">
          <w:rPr>
            <w:color w:val="0000FF"/>
            <w:u w:val="single"/>
            <w:rtl/>
          </w:rPr>
          <w:t>עפ"ג 24796-06-20</w:t>
        </w:r>
      </w:hyperlink>
      <w:r w:rsidR="00B43E38">
        <w:rPr>
          <w:rtl/>
        </w:rPr>
        <w:t>).</w:t>
      </w:r>
    </w:p>
    <w:p w14:paraId="17DE0C4D" w14:textId="77777777" w:rsidR="00B43E38" w:rsidRDefault="00976B90" w:rsidP="00B43E38">
      <w:pPr>
        <w:pStyle w:val="aa"/>
        <w:numPr>
          <w:ilvl w:val="0"/>
          <w:numId w:val="2"/>
        </w:numPr>
        <w:spacing w:after="120" w:line="360" w:lineRule="auto"/>
        <w:jc w:val="both"/>
      </w:pPr>
      <w:hyperlink r:id="rId27" w:history="1">
        <w:r w:rsidRPr="00976B90">
          <w:rPr>
            <w:color w:val="0000FF"/>
            <w:u w:val="single"/>
            <w:rtl/>
          </w:rPr>
          <w:t>ת"פ (שלום עכו) 16129-03-22</w:t>
        </w:r>
      </w:hyperlink>
      <w:r w:rsidR="00B43E38">
        <w:rPr>
          <w:rtl/>
        </w:rPr>
        <w:t xml:space="preserve"> </w:t>
      </w:r>
      <w:r w:rsidR="00B43E38">
        <w:rPr>
          <w:b/>
          <w:bCs/>
          <w:rtl/>
        </w:rPr>
        <w:t>מדינה ישראל נ' שיח' מוחמד</w:t>
      </w:r>
      <w:r w:rsidR="00B43E38">
        <w:rPr>
          <w:rtl/>
        </w:rPr>
        <w:t xml:space="preserve"> (26.5.2024) - הנאשם הורשע עפ"י הודאתו בהחזקת אקדח ובו מחסנית ריקה ועוד מחסנית ריקה נוספת וכן משתיק קול. מדובר בנאשם נטול עבר פלילי ובית המשפט גזר עליו 20 חודשי מאסר לצד ענישה נלווית. ערעור על חומרת העונש נדחה בבית המשפט המחוזי בחיפה (</w:t>
      </w:r>
      <w:hyperlink r:id="rId28" w:history="1">
        <w:r w:rsidRPr="00976B90">
          <w:rPr>
            <w:color w:val="0000FF"/>
            <w:u w:val="single"/>
            <w:rtl/>
          </w:rPr>
          <w:t>עפ"ג 26387-07-24</w:t>
        </w:r>
      </w:hyperlink>
      <w:r w:rsidR="00B43E38">
        <w:rPr>
          <w:rtl/>
        </w:rPr>
        <w:t>).</w:t>
      </w:r>
    </w:p>
    <w:p w14:paraId="3C8AA151" w14:textId="77777777" w:rsidR="00B43E38" w:rsidRDefault="00976B90" w:rsidP="00B43E38">
      <w:pPr>
        <w:pStyle w:val="aa"/>
        <w:numPr>
          <w:ilvl w:val="0"/>
          <w:numId w:val="2"/>
        </w:numPr>
        <w:spacing w:after="120" w:line="360" w:lineRule="auto"/>
        <w:jc w:val="both"/>
      </w:pPr>
      <w:hyperlink r:id="rId29" w:history="1">
        <w:r w:rsidRPr="00976B90">
          <w:rPr>
            <w:color w:val="0000FF"/>
            <w:u w:val="single"/>
            <w:rtl/>
          </w:rPr>
          <w:t>ת"פ (מחוזי חיפה) 15148-03-12</w:t>
        </w:r>
      </w:hyperlink>
      <w:r w:rsidR="00B43E38">
        <w:rPr>
          <w:rtl/>
        </w:rPr>
        <w:t xml:space="preserve"> </w:t>
      </w:r>
      <w:r w:rsidR="00B43E38">
        <w:rPr>
          <w:b/>
          <w:bCs/>
          <w:rtl/>
        </w:rPr>
        <w:t>מדינת ישראל נ' כבהה</w:t>
      </w:r>
      <w:r w:rsidR="00B43E38">
        <w:rPr>
          <w:rtl/>
        </w:rPr>
        <w:t xml:space="preserve"> (19.2.2013) – הנאשם הורשע עפ"י הודאתו בכך שהחזיק ברכב אקדח, מחסנית ובה 11 כדורים ואקדח דמה עם משתיק קול דמה ובכך שזייף את לוחית הזיהוי של הרכב. בית המשפט קבע מתחם שנע בין 2-4 שנות מאסר, ולאור גילו הצעיר של הנאשם ועברו הנקי נגזרו עליו שנתיים מאסר לצד ענישה נלווית. </w:t>
      </w:r>
    </w:p>
    <w:p w14:paraId="2D5B74DF" w14:textId="77777777" w:rsidR="00B43E38" w:rsidRDefault="00976B90" w:rsidP="00B43E38">
      <w:pPr>
        <w:pStyle w:val="aa"/>
        <w:numPr>
          <w:ilvl w:val="0"/>
          <w:numId w:val="2"/>
        </w:numPr>
        <w:spacing w:after="120" w:line="360" w:lineRule="auto"/>
        <w:jc w:val="both"/>
      </w:pPr>
      <w:hyperlink r:id="rId30" w:history="1">
        <w:r w:rsidRPr="00976B90">
          <w:rPr>
            <w:color w:val="0000FF"/>
            <w:u w:val="single"/>
            <w:rtl/>
          </w:rPr>
          <w:t>ת"פ 62062-06-20</w:t>
        </w:r>
      </w:hyperlink>
      <w:r w:rsidR="00B43E38">
        <w:rPr>
          <w:rtl/>
        </w:rPr>
        <w:t xml:space="preserve"> (שלום ירושלים) </w:t>
      </w:r>
      <w:r w:rsidR="00B43E38">
        <w:rPr>
          <w:b/>
          <w:bCs/>
          <w:rtl/>
        </w:rPr>
        <w:t>מדינת ישראל נ' טבול</w:t>
      </w:r>
      <w:r w:rsidR="00B43E38">
        <w:rPr>
          <w:rtl/>
        </w:rPr>
        <w:t xml:space="preserve"> (4.3.2021) – הנאשם הורשע עפ"י הודאתו בכך שרכש מחנות כפפות, מסכות, גז פלפל וסליל של סרט בידוד ולאחר מכן עת נערך חיפוש ברכבו נמצא כי החזיק ברכב אקדח, מחסנית ובה 6 כדורים ובכך שזייף את לוחית הזיהוי של הרכב. בית המשפט קבע מתחם שנע בין 2-4 שנות מאסר. הנאשם בעל עבר פלילי ובית המשפט גזר עליו 32 חודשי מאסר לצד ענישה נלווית. </w:t>
      </w:r>
    </w:p>
    <w:p w14:paraId="289F5DB0" w14:textId="77777777" w:rsidR="00B43E38" w:rsidRDefault="00B43E38" w:rsidP="00B43E38">
      <w:pPr>
        <w:spacing w:line="360" w:lineRule="auto"/>
        <w:jc w:val="both"/>
      </w:pPr>
    </w:p>
    <w:p w14:paraId="04D9F824" w14:textId="77777777" w:rsidR="00B43E38" w:rsidRDefault="00B43E38" w:rsidP="00B43E38">
      <w:pPr>
        <w:spacing w:line="360" w:lineRule="auto"/>
        <w:jc w:val="both"/>
        <w:rPr>
          <w:rtl/>
        </w:rPr>
      </w:pPr>
      <w:r>
        <w:rPr>
          <w:rtl/>
        </w:rPr>
        <w:t>בהתחשב בערכים החברתיים שנפגעו ומידת הפגיעה בהם ובשים לב לנסיבות ביצוע העבירה אשר מתייחסות כאמור להחזקת נשק תקני טעון במחסנית ובכדורים, לצד כדורים רבים שהוחזקו בנפרד, ובהתחשב במידת אשמו של הנאשם כמי שהיה האחראי היחיד והבלעדי למעשים, אני סבורה כי מתחם העונש ההולם בעניינו נע בין 20-30 חודשי מאסר בפועל לצד ענישה נלווית. ויודגש, המתחם שקבעתי לקח בחשבון את מועד ביצוע העבירה בשנת 2022, שכן מגמת הענישה הוחמרה מאז, ואלמלא כך הרף התחתון של המתחם היה עומד על 24 חודשים.</w:t>
      </w:r>
    </w:p>
    <w:p w14:paraId="39113054" w14:textId="77777777" w:rsidR="00B43E38" w:rsidRDefault="00B43E38" w:rsidP="00B43E38">
      <w:pPr>
        <w:spacing w:line="360" w:lineRule="auto"/>
        <w:jc w:val="both"/>
        <w:rPr>
          <w:rtl/>
        </w:rPr>
      </w:pPr>
    </w:p>
    <w:p w14:paraId="6377E9A5" w14:textId="77777777" w:rsidR="00B43E38" w:rsidRDefault="00B43E38" w:rsidP="00B43E38">
      <w:pPr>
        <w:spacing w:line="360" w:lineRule="auto"/>
        <w:jc w:val="both"/>
        <w:rPr>
          <w:rtl/>
        </w:rPr>
      </w:pPr>
      <w:r>
        <w:rPr>
          <w:rtl/>
        </w:rPr>
        <w:t>נתתי את דעתי לגזר הדין אליו הפנה הסנגור אשר ניתן לאחרונה על ידי בית המשפט המחוזי בחיפה בעבירה דומה בגין החזקה שלא כדין של אקדח טעון במחסנית עם 17 כדורים ומחסנית נוספת ובה 30 כדורים (</w:t>
      </w:r>
      <w:hyperlink r:id="rId31" w:history="1">
        <w:r w:rsidR="00976B90" w:rsidRPr="00976B90">
          <w:rPr>
            <w:color w:val="0000FF"/>
            <w:u w:val="single"/>
            <w:rtl/>
          </w:rPr>
          <w:t>ת"פ 59298-02-24</w:t>
        </w:r>
      </w:hyperlink>
      <w:r>
        <w:rPr>
          <w:rtl/>
        </w:rPr>
        <w:t xml:space="preserve"> </w:t>
      </w:r>
      <w:r>
        <w:rPr>
          <w:b/>
          <w:bCs/>
          <w:rtl/>
        </w:rPr>
        <w:t>מדינת ישראל נ' קומימי,</w:t>
      </w:r>
      <w:r>
        <w:rPr>
          <w:rtl/>
        </w:rPr>
        <w:t xml:space="preserve"> מיום 24.10.2024). באותו עניין הטיל בית המשפט על הנאשם שם 10 חודשי מאסר בפועל לצד ענישה נלווית תוך שקבע מתחם שנע בין 10 ל-18 חודשי מאסר. עם זאת, נסיבות המקרה שם אינן דומות לנסיבות התיק דנן משום שבאותו מקרה בית המשפט קיבל את הטענה שהשליכה מן הסתם על קביעת המתחם, לפיה הנשק הטעון לא הוחזק על ידי הנאשם ממניעים שליליים – טענה שלא נטענה וממילא לא הוכחה במקרה שבפניי. </w:t>
      </w:r>
    </w:p>
    <w:p w14:paraId="0A4B44B3" w14:textId="77777777" w:rsidR="00B43E38" w:rsidRDefault="00B43E38" w:rsidP="00B43E38">
      <w:pPr>
        <w:spacing w:line="360" w:lineRule="auto"/>
        <w:jc w:val="both"/>
        <w:rPr>
          <w:rtl/>
        </w:rPr>
      </w:pPr>
    </w:p>
    <w:p w14:paraId="04972DC5" w14:textId="77777777" w:rsidR="00B43E38" w:rsidRDefault="00B43E38" w:rsidP="00B43E38">
      <w:pPr>
        <w:spacing w:line="360" w:lineRule="auto"/>
        <w:jc w:val="both"/>
        <w:rPr>
          <w:rtl/>
        </w:rPr>
      </w:pPr>
      <w:r>
        <w:rPr>
          <w:rtl/>
        </w:rPr>
        <w:t xml:space="preserve">באשר לנסיבות שאינן קשורות בביצוע העבירה, לקחתי בחשבון לקולה את הודאת הנאשם אשר חסכה מזמנו של בית המשפט, וכן העובדה כי הנאשם נעדר הרשעות פליליות קודמות והוא נמצא במעצר בית באיזוק אלקטרוני תקופה ארוכה ולא נרשמה לחובתו הפרות מלבד הפרה אחת שאינה מהותית. </w:t>
      </w:r>
    </w:p>
    <w:p w14:paraId="36C38E85" w14:textId="77777777" w:rsidR="00B43E38" w:rsidRDefault="00B43E38" w:rsidP="00B43E38">
      <w:pPr>
        <w:spacing w:line="360" w:lineRule="auto"/>
        <w:jc w:val="both"/>
        <w:rPr>
          <w:rtl/>
        </w:rPr>
      </w:pPr>
    </w:p>
    <w:p w14:paraId="073F67C0" w14:textId="77777777" w:rsidR="00B43E38" w:rsidRDefault="00B43E38" w:rsidP="00B43E38">
      <w:pPr>
        <w:spacing w:line="360" w:lineRule="auto"/>
        <w:jc w:val="both"/>
        <w:rPr>
          <w:rtl/>
        </w:rPr>
      </w:pPr>
      <w:r>
        <w:rPr>
          <w:rtl/>
        </w:rPr>
        <w:t xml:space="preserve">לחומרה, אני לוקחת בחשבון את המסקנות העולות מתסקיר שירות המבחן והתרשמותו שאין לשלול סיכון להישנות עבירות דומות בעתיד. </w:t>
      </w:r>
    </w:p>
    <w:p w14:paraId="267BE5A7" w14:textId="77777777" w:rsidR="00B43E38" w:rsidRDefault="00B43E38" w:rsidP="00B43E38">
      <w:pPr>
        <w:spacing w:line="360" w:lineRule="auto"/>
        <w:jc w:val="both"/>
        <w:rPr>
          <w:rtl/>
        </w:rPr>
      </w:pPr>
    </w:p>
    <w:p w14:paraId="7A25F448" w14:textId="77777777" w:rsidR="00B43E38" w:rsidRDefault="00B43E38" w:rsidP="00B43E38">
      <w:pPr>
        <w:spacing w:line="360" w:lineRule="auto"/>
        <w:jc w:val="both"/>
        <w:rPr>
          <w:rtl/>
        </w:rPr>
      </w:pPr>
      <w:r>
        <w:rPr>
          <w:rtl/>
        </w:rPr>
        <w:t xml:space="preserve">מסקנות התסקיר מצדיקות קביעת העונש המתאים שלא על הרף הנמוך של המתחם אלא קרוב אליו, אולם לנוכח הזמן הרב בו נתון הנאשם במעצר בפיקוח אלקטרוני – תקופה שלא ניתן לנכותה מתקופת המאסר – שוכנעתי בסופו של דבר לגזור על הנאשם עונש ברף התחתון של המתחם. </w:t>
      </w:r>
    </w:p>
    <w:p w14:paraId="1D196C57" w14:textId="77777777" w:rsidR="00B43E38" w:rsidRDefault="00B43E38" w:rsidP="00B43E38">
      <w:pPr>
        <w:spacing w:line="360" w:lineRule="auto"/>
        <w:jc w:val="both"/>
        <w:rPr>
          <w:rtl/>
        </w:rPr>
      </w:pPr>
    </w:p>
    <w:p w14:paraId="735DF495" w14:textId="77777777" w:rsidR="00B43E38" w:rsidRDefault="00B43E38" w:rsidP="00B43E38">
      <w:pPr>
        <w:spacing w:line="360" w:lineRule="auto"/>
        <w:jc w:val="both"/>
        <w:rPr>
          <w:u w:val="single"/>
          <w:rtl/>
        </w:rPr>
      </w:pPr>
      <w:r>
        <w:rPr>
          <w:u w:val="single"/>
          <w:rtl/>
        </w:rPr>
        <w:t>אשר על כן, אני גוזרת על הנאשם את העונשים הבאים:</w:t>
      </w:r>
    </w:p>
    <w:p w14:paraId="767CF40F" w14:textId="77777777" w:rsidR="00B43E38" w:rsidRDefault="00B43E38" w:rsidP="00B43E38">
      <w:pPr>
        <w:pStyle w:val="aa"/>
        <w:numPr>
          <w:ilvl w:val="0"/>
          <w:numId w:val="3"/>
        </w:numPr>
        <w:spacing w:line="360" w:lineRule="auto"/>
        <w:jc w:val="both"/>
        <w:rPr>
          <w:rtl/>
        </w:rPr>
      </w:pPr>
      <w:r>
        <w:rPr>
          <w:rtl/>
        </w:rPr>
        <w:t>מאסר בפועל למשך 20 חודשים בניכוי תקופת מעצרו מיום</w:t>
      </w:r>
      <w:r>
        <w:rPr>
          <w:rFonts w:hint="cs"/>
          <w:rtl/>
        </w:rPr>
        <w:t xml:space="preserve"> 30.10.2022 </w:t>
      </w:r>
      <w:r>
        <w:rPr>
          <w:rtl/>
        </w:rPr>
        <w:t>ועד ליום</w:t>
      </w:r>
      <w:r>
        <w:rPr>
          <w:rFonts w:hint="cs"/>
          <w:rtl/>
        </w:rPr>
        <w:t xml:space="preserve"> 21.3.2023.</w:t>
      </w:r>
    </w:p>
    <w:p w14:paraId="32ABCE13" w14:textId="77777777" w:rsidR="00B43E38" w:rsidRDefault="00B43E38" w:rsidP="00B43E38">
      <w:pPr>
        <w:pStyle w:val="a9"/>
        <w:numPr>
          <w:ilvl w:val="0"/>
          <w:numId w:val="3"/>
        </w:numPr>
        <w:spacing w:line="360" w:lineRule="auto"/>
        <w:jc w:val="both"/>
      </w:pPr>
      <w:r>
        <w:rPr>
          <w:rFonts w:hint="cs"/>
          <w:rtl/>
        </w:rPr>
        <w:t>מאסר על תנאי של 8 חודשים למשך שלוש שנים, והתנאי הוא כי הנאשם לא יבצע בתקופה זו עבירת נשק מסוג פשע, ויורשע בגינה.</w:t>
      </w:r>
    </w:p>
    <w:p w14:paraId="040D74AA" w14:textId="77777777" w:rsidR="00B43E38" w:rsidRDefault="00B43E38" w:rsidP="00B43E38">
      <w:pPr>
        <w:pStyle w:val="a9"/>
        <w:numPr>
          <w:ilvl w:val="0"/>
          <w:numId w:val="3"/>
        </w:numPr>
        <w:spacing w:line="360" w:lineRule="auto"/>
        <w:jc w:val="both"/>
      </w:pPr>
      <w:r>
        <w:rPr>
          <w:rFonts w:hint="cs"/>
          <w:rtl/>
        </w:rPr>
        <w:t>מאסר על תנאי של 6 חודשים למשך שלוש שנים, והתנאי הוא כי הנאשם לא יבצע בתקופה זו עבירת נשק מסוג עוון, ויורשע בגינה.</w:t>
      </w:r>
    </w:p>
    <w:p w14:paraId="1341555C" w14:textId="77777777" w:rsidR="00B43E38" w:rsidRDefault="00B43E38" w:rsidP="00B43E38">
      <w:pPr>
        <w:spacing w:line="360" w:lineRule="auto"/>
        <w:ind w:left="720" w:hanging="351"/>
        <w:jc w:val="both"/>
      </w:pPr>
      <w:r>
        <w:rPr>
          <w:rtl/>
        </w:rPr>
        <w:t>4.</w:t>
      </w:r>
      <w:r>
        <w:rPr>
          <w:rtl/>
        </w:rPr>
        <w:tab/>
        <w:t>קנס בסכום של 10,000 ₪ או 100 ימי מאסר תמורתו. הקנס ישולם תוך 6 חודשים מיום שחרורו ממאסר. הקנס ישולם באחת מהדרכים הבאות:</w:t>
      </w:r>
    </w:p>
    <w:p w14:paraId="4C74555B" w14:textId="77777777" w:rsidR="00B43E38" w:rsidRDefault="00B43E38" w:rsidP="00B43E38">
      <w:pPr>
        <w:spacing w:line="360" w:lineRule="auto"/>
        <w:ind w:left="720" w:hanging="720"/>
        <w:jc w:val="both"/>
      </w:pPr>
      <w:r>
        <w:rPr>
          <w:b/>
          <w:bCs/>
          <w:rtl/>
        </w:rPr>
        <w:t>*</w:t>
      </w:r>
      <w:r>
        <w:rPr>
          <w:b/>
          <w:bCs/>
          <w:rtl/>
        </w:rPr>
        <w:tab/>
        <w:t>בכרטיס אשראי</w:t>
      </w:r>
      <w:r>
        <w:rPr>
          <w:rtl/>
        </w:rPr>
        <w:t xml:space="preserve"> – באתר המקוון של רשות האכיפה והגבייה, </w:t>
      </w:r>
      <w:hyperlink r:id="rId32" w:history="1">
        <w:r>
          <w:rPr>
            <w:rStyle w:val="Hyperlink"/>
          </w:rPr>
          <w:t>www.eca.gov.il</w:t>
        </w:r>
      </w:hyperlink>
      <w:r>
        <w:rPr>
          <w:rtl/>
        </w:rPr>
        <w:t xml:space="preserve"> </w:t>
      </w:r>
      <w:r>
        <w:rPr>
          <w:rFonts w:hint="cs"/>
          <w:rtl/>
        </w:rPr>
        <w:t xml:space="preserve">(ניתן לשלם בפריסה של עד 18 תשלומים בהסדר קרדיט) או חפש בגוגל "תשלום גביית קנסות". </w:t>
      </w:r>
    </w:p>
    <w:p w14:paraId="25FB60F9" w14:textId="77777777" w:rsidR="00B43E38" w:rsidRDefault="00B43E38" w:rsidP="00B43E38">
      <w:pPr>
        <w:spacing w:line="360" w:lineRule="auto"/>
        <w:ind w:left="720" w:hanging="720"/>
        <w:jc w:val="both"/>
      </w:pPr>
      <w:r>
        <w:rPr>
          <w:b/>
          <w:bCs/>
          <w:rtl/>
        </w:rPr>
        <w:t>*</w:t>
      </w:r>
      <w:r>
        <w:rPr>
          <w:b/>
          <w:bCs/>
          <w:rtl/>
        </w:rPr>
        <w:tab/>
        <w:t>מוקד שירות טלפוני בשירות עצמי (מרכז גבייה)</w:t>
      </w:r>
      <w:r>
        <w:rPr>
          <w:rtl/>
        </w:rPr>
        <w:t xml:space="preserve"> – בטלפון *35592 או בטלפון: 073-2055000.</w:t>
      </w:r>
    </w:p>
    <w:p w14:paraId="37C3ECED" w14:textId="77777777" w:rsidR="00B43E38" w:rsidRDefault="00B43E38" w:rsidP="00B43E38">
      <w:pPr>
        <w:spacing w:line="360" w:lineRule="auto"/>
        <w:ind w:left="720" w:hanging="720"/>
        <w:jc w:val="both"/>
        <w:rPr>
          <w:rtl/>
        </w:rPr>
      </w:pPr>
      <w:r>
        <w:rPr>
          <w:b/>
          <w:bCs/>
          <w:rtl/>
        </w:rPr>
        <w:t>*</w:t>
      </w:r>
      <w:r>
        <w:rPr>
          <w:b/>
          <w:bCs/>
          <w:rtl/>
        </w:rPr>
        <w:tab/>
        <w:t xml:space="preserve">במזומן בכל סניף של בנק הדואר </w:t>
      </w:r>
      <w:r>
        <w:rPr>
          <w:rtl/>
        </w:rPr>
        <w:t xml:space="preserve">– בהצגת תעודת זהות בלבד (אין צורך בשוברי תשלום). </w:t>
      </w:r>
    </w:p>
    <w:p w14:paraId="726509F9" w14:textId="77777777" w:rsidR="00B43E38" w:rsidRDefault="00B43E38" w:rsidP="00B43E38">
      <w:pPr>
        <w:spacing w:line="360" w:lineRule="auto"/>
        <w:ind w:left="720" w:hanging="720"/>
        <w:jc w:val="both"/>
        <w:rPr>
          <w:rtl/>
        </w:rPr>
      </w:pPr>
    </w:p>
    <w:p w14:paraId="293C9968" w14:textId="77777777" w:rsidR="00B43E38" w:rsidRDefault="00B43E38" w:rsidP="00B43E38">
      <w:pPr>
        <w:rPr>
          <w:rtl/>
        </w:rPr>
      </w:pPr>
    </w:p>
    <w:p w14:paraId="14D5FFAE" w14:textId="77777777" w:rsidR="00B43E38" w:rsidRDefault="00B43E38" w:rsidP="00B43E38">
      <w:pPr>
        <w:spacing w:line="360" w:lineRule="auto"/>
        <w:jc w:val="both"/>
        <w:rPr>
          <w:rFonts w:ascii="Arial" w:hAnsi="Arial"/>
        </w:rPr>
      </w:pPr>
    </w:p>
    <w:p w14:paraId="70BE61F7" w14:textId="77777777" w:rsidR="00B43E38" w:rsidRDefault="00B43E38" w:rsidP="00B43E38">
      <w:pPr>
        <w:spacing w:line="360" w:lineRule="auto"/>
        <w:jc w:val="both"/>
        <w:rPr>
          <w:rFonts w:ascii="Arial" w:hAnsi="Arial"/>
          <w:rtl/>
        </w:rPr>
      </w:pPr>
      <w:r>
        <w:rPr>
          <w:rFonts w:ascii="Arial" w:hAnsi="Arial"/>
          <w:rtl/>
        </w:rPr>
        <w:t>זכות ערעור תוך 45 ימים מהיום.</w:t>
      </w:r>
    </w:p>
    <w:p w14:paraId="52C143EE" w14:textId="77777777" w:rsidR="00B43E38" w:rsidRDefault="00B43E38" w:rsidP="00B43E38">
      <w:pPr>
        <w:spacing w:line="360" w:lineRule="auto"/>
        <w:jc w:val="both"/>
        <w:rPr>
          <w:rFonts w:ascii="Arial" w:hAnsi="Arial"/>
        </w:rPr>
      </w:pPr>
    </w:p>
    <w:p w14:paraId="5B57DD66" w14:textId="77777777" w:rsidR="00B43E38" w:rsidRDefault="00B43E38" w:rsidP="00B43E38">
      <w:pPr>
        <w:rPr>
          <w:rtl/>
        </w:rPr>
      </w:pPr>
      <w:r>
        <w:rPr>
          <w:b/>
          <w:bCs/>
          <w:rtl/>
        </w:rPr>
        <w:t>הנאשם יתייצב לריצוי עונש המאסר בבית מעצר קישון במועד ש</w:t>
      </w:r>
      <w:r>
        <w:rPr>
          <w:rFonts w:hint="cs"/>
          <w:b/>
          <w:bCs/>
          <w:rtl/>
        </w:rPr>
        <w:t>נ</w:t>
      </w:r>
      <w:r>
        <w:rPr>
          <w:b/>
          <w:bCs/>
          <w:rtl/>
        </w:rPr>
        <w:t>קבע בפרוטוקול.</w:t>
      </w:r>
    </w:p>
    <w:p w14:paraId="54D56706" w14:textId="77777777" w:rsidR="00B43E38" w:rsidRDefault="00B43E38" w:rsidP="00B43E38">
      <w:pPr>
        <w:spacing w:line="360" w:lineRule="auto"/>
        <w:jc w:val="both"/>
        <w:rPr>
          <w:rFonts w:ascii="Arial" w:hAnsi="Arial"/>
          <w:rtl/>
        </w:rPr>
      </w:pPr>
    </w:p>
    <w:p w14:paraId="19DE2A46" w14:textId="77777777" w:rsidR="00B43E38" w:rsidRPr="00976B90" w:rsidRDefault="00976B90" w:rsidP="00B43E38">
      <w:pPr>
        <w:rPr>
          <w:rFonts w:ascii="Arial" w:hAnsi="Arial"/>
          <w:b/>
          <w:bCs/>
          <w:color w:val="FFFFFF"/>
          <w:sz w:val="2"/>
          <w:szCs w:val="2"/>
          <w:rtl/>
        </w:rPr>
      </w:pPr>
      <w:r w:rsidRPr="00976B90">
        <w:rPr>
          <w:rFonts w:ascii="Arial" w:hAnsi="Arial"/>
          <w:b/>
          <w:bCs/>
          <w:color w:val="FFFFFF"/>
          <w:sz w:val="2"/>
          <w:szCs w:val="2"/>
          <w:rtl/>
        </w:rPr>
        <w:t>5129371</w:t>
      </w:r>
    </w:p>
    <w:p w14:paraId="7B0871C7" w14:textId="77777777" w:rsidR="00B43E38" w:rsidRPr="00976B90" w:rsidRDefault="00976B90" w:rsidP="00B43E38">
      <w:pPr>
        <w:rPr>
          <w:rFonts w:ascii="Arial" w:hAnsi="Arial"/>
          <w:b/>
          <w:bCs/>
          <w:color w:val="FFFFFF"/>
          <w:sz w:val="2"/>
          <w:szCs w:val="2"/>
          <w:rtl/>
        </w:rPr>
      </w:pPr>
      <w:r w:rsidRPr="00976B90">
        <w:rPr>
          <w:rFonts w:ascii="Arial" w:hAnsi="Arial"/>
          <w:b/>
          <w:bCs/>
          <w:color w:val="FFFFFF"/>
          <w:sz w:val="2"/>
          <w:szCs w:val="2"/>
          <w:rtl/>
        </w:rPr>
        <w:t>54678313</w:t>
      </w:r>
    </w:p>
    <w:p w14:paraId="0E01E1E5" w14:textId="77777777" w:rsidR="00B43E38" w:rsidRPr="000F2247" w:rsidRDefault="00B43E38" w:rsidP="00B43E38">
      <w:pPr>
        <w:rPr>
          <w:rFonts w:ascii="Arial" w:hAnsi="Arial"/>
          <w:b/>
          <w:bCs/>
          <w:sz w:val="26"/>
          <w:szCs w:val="26"/>
          <w:rtl/>
        </w:rPr>
      </w:pPr>
    </w:p>
    <w:p w14:paraId="7943D8BE" w14:textId="77777777" w:rsidR="00B43E38" w:rsidRPr="000F2247" w:rsidRDefault="00976B90" w:rsidP="00B43E3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חשוון תשפ"ה, 21 נובמבר 2024, במעמד הצדדים. </w:t>
      </w:r>
      <w:bookmarkEnd w:id="8"/>
      <w:r w:rsidR="00B43E38">
        <w:rPr>
          <w:rFonts w:ascii="Arial" w:hAnsi="Arial"/>
          <w:b/>
          <w:bCs/>
          <w:sz w:val="26"/>
          <w:szCs w:val="26"/>
          <w:rtl/>
        </w:rPr>
        <w:tab/>
      </w:r>
      <w:r w:rsidR="00B43E38">
        <w:rPr>
          <w:rFonts w:ascii="Arial" w:hAnsi="Arial"/>
          <w:b/>
          <w:bCs/>
          <w:sz w:val="26"/>
          <w:szCs w:val="26"/>
          <w:rtl/>
        </w:rPr>
        <w:tab/>
      </w:r>
      <w:r w:rsidR="00B43E38">
        <w:rPr>
          <w:rFonts w:ascii="Arial" w:hAnsi="Arial"/>
          <w:b/>
          <w:bCs/>
          <w:sz w:val="26"/>
          <w:szCs w:val="26"/>
          <w:rtl/>
        </w:rPr>
        <w:tab/>
      </w:r>
      <w:r w:rsidR="00B43E38">
        <w:rPr>
          <w:rFonts w:ascii="Arial" w:hAnsi="Arial"/>
          <w:b/>
          <w:bCs/>
          <w:sz w:val="26"/>
          <w:szCs w:val="26"/>
          <w:rtl/>
        </w:rPr>
        <w:tab/>
      </w:r>
      <w:r w:rsidR="00B43E38">
        <w:rPr>
          <w:rFonts w:ascii="Arial" w:hAnsi="Arial"/>
          <w:b/>
          <w:bCs/>
          <w:sz w:val="26"/>
          <w:szCs w:val="26"/>
          <w:rtl/>
        </w:rPr>
        <w:tab/>
      </w:r>
      <w:r w:rsidR="00B43E38">
        <w:rPr>
          <w:rFonts w:ascii="Arial" w:hAnsi="Arial"/>
          <w:b/>
          <w:bCs/>
          <w:sz w:val="26"/>
          <w:szCs w:val="26"/>
          <w:rtl/>
        </w:rPr>
        <w:tab/>
      </w:r>
      <w:r w:rsidR="00B43E38">
        <w:rPr>
          <w:rFonts w:ascii="Arial" w:hAnsi="Arial"/>
          <w:b/>
          <w:bCs/>
          <w:sz w:val="26"/>
          <w:szCs w:val="26"/>
          <w:rtl/>
        </w:rPr>
        <w:tab/>
      </w:r>
      <w:r w:rsidR="00B43E38">
        <w:rPr>
          <w:rFonts w:ascii="Arial" w:hAnsi="Arial" w:hint="cs"/>
          <w:b/>
          <w:bCs/>
          <w:sz w:val="26"/>
          <w:szCs w:val="26"/>
          <w:rtl/>
        </w:rPr>
        <w:t xml:space="preserve">         </w:t>
      </w:r>
    </w:p>
    <w:p w14:paraId="3ADEE6F6" w14:textId="77777777" w:rsidR="00B43E38" w:rsidRPr="000F2247" w:rsidRDefault="00B43E38" w:rsidP="00976B9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44F419D" w14:textId="77777777" w:rsidR="00B43E38" w:rsidRPr="006F4A0F" w:rsidRDefault="006F4A0F" w:rsidP="00B43E38">
      <w:pPr>
        <w:jc w:val="center"/>
        <w:rPr>
          <w:rFonts w:ascii="Arial" w:hAnsi="Arial"/>
          <w:b/>
          <w:bCs/>
          <w:color w:val="FFFFFF"/>
          <w:sz w:val="2"/>
          <w:szCs w:val="2"/>
          <w:rtl/>
        </w:rPr>
      </w:pPr>
      <w:r w:rsidRPr="006F4A0F">
        <w:rPr>
          <w:rFonts w:ascii="Arial" w:hAnsi="Arial"/>
          <w:b/>
          <w:bCs/>
          <w:color w:val="FFFFFF"/>
          <w:sz w:val="2"/>
          <w:szCs w:val="2"/>
          <w:rtl/>
        </w:rPr>
        <w:t>5129371</w:t>
      </w:r>
    </w:p>
    <w:p w14:paraId="3F94DA22" w14:textId="77777777" w:rsidR="00087DE8" w:rsidRPr="006F4A0F" w:rsidRDefault="006F4A0F" w:rsidP="00976B90">
      <w:pPr>
        <w:keepNext/>
        <w:rPr>
          <w:rFonts w:ascii="David" w:hAnsi="David"/>
          <w:color w:val="FFFFFF"/>
          <w:sz w:val="2"/>
          <w:szCs w:val="2"/>
          <w:rtl/>
        </w:rPr>
      </w:pPr>
      <w:r w:rsidRPr="006F4A0F">
        <w:rPr>
          <w:rFonts w:ascii="David" w:hAnsi="David"/>
          <w:color w:val="FFFFFF"/>
          <w:sz w:val="2"/>
          <w:szCs w:val="2"/>
          <w:rtl/>
        </w:rPr>
        <w:t>54678313</w:t>
      </w:r>
    </w:p>
    <w:p w14:paraId="4C8129BC" w14:textId="77777777" w:rsidR="00976B90" w:rsidRDefault="00976B90" w:rsidP="00976B90">
      <w:pPr>
        <w:rPr>
          <w:rtl/>
        </w:rPr>
      </w:pPr>
    </w:p>
    <w:p w14:paraId="122AF3E8" w14:textId="77777777" w:rsidR="00976B90" w:rsidRDefault="00976B90" w:rsidP="00976B90">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4DBC042" w14:textId="77777777" w:rsidR="006F4A0F" w:rsidRPr="006F4A0F" w:rsidRDefault="006F4A0F" w:rsidP="006F4A0F">
      <w:pPr>
        <w:keepNext/>
        <w:rPr>
          <w:rFonts w:ascii="David" w:hAnsi="David"/>
          <w:color w:val="000000"/>
          <w:sz w:val="22"/>
          <w:szCs w:val="22"/>
          <w:rtl/>
        </w:rPr>
      </w:pPr>
    </w:p>
    <w:p w14:paraId="4D6B6790" w14:textId="77777777" w:rsidR="006F4A0F" w:rsidRPr="006F4A0F" w:rsidRDefault="006F4A0F" w:rsidP="006F4A0F">
      <w:pPr>
        <w:keepNext/>
        <w:rPr>
          <w:rFonts w:ascii="David" w:hAnsi="David"/>
          <w:color w:val="000000"/>
          <w:sz w:val="22"/>
          <w:szCs w:val="22"/>
          <w:rtl/>
        </w:rPr>
      </w:pPr>
      <w:r w:rsidRPr="006F4A0F">
        <w:rPr>
          <w:rFonts w:ascii="David" w:hAnsi="David"/>
          <w:color w:val="000000"/>
          <w:sz w:val="22"/>
          <w:szCs w:val="22"/>
          <w:rtl/>
        </w:rPr>
        <w:t>ג'ני טנוס 54678313-/</w:t>
      </w:r>
    </w:p>
    <w:p w14:paraId="2C70D302" w14:textId="77777777" w:rsidR="00976B90" w:rsidRPr="00976B90" w:rsidRDefault="006F4A0F" w:rsidP="006F4A0F">
      <w:pPr>
        <w:rPr>
          <w:color w:val="0000FF"/>
          <w:u w:val="single"/>
        </w:rPr>
      </w:pPr>
      <w:r w:rsidRPr="006F4A0F">
        <w:rPr>
          <w:color w:val="000000"/>
          <w:u w:val="single"/>
          <w:rtl/>
        </w:rPr>
        <w:t>נוסח מסמך זה כפוף לשינויי ניסוח ועריכה</w:t>
      </w:r>
    </w:p>
    <w:sectPr w:rsidR="00976B90" w:rsidRPr="00976B90" w:rsidSect="006F4A0F">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81A7C" w14:textId="77777777" w:rsidR="008B6D49" w:rsidRDefault="008B6D49" w:rsidP="009A7443">
      <w:r>
        <w:separator/>
      </w:r>
    </w:p>
  </w:endnote>
  <w:endnote w:type="continuationSeparator" w:id="0">
    <w:p w14:paraId="5110BCCE" w14:textId="77777777" w:rsidR="008B6D49" w:rsidRDefault="008B6D49" w:rsidP="009A7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5B52B" w14:textId="77777777" w:rsidR="006F4A0F" w:rsidRDefault="006F4A0F" w:rsidP="006F4A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8E41560" w14:textId="77777777" w:rsidR="007A751B" w:rsidRPr="006F4A0F" w:rsidRDefault="006F4A0F" w:rsidP="006F4A0F">
    <w:pPr>
      <w:pStyle w:val="a5"/>
      <w:pBdr>
        <w:top w:val="single" w:sz="4" w:space="1" w:color="auto"/>
        <w:between w:val="single" w:sz="4" w:space="0" w:color="auto"/>
      </w:pBdr>
      <w:spacing w:after="60"/>
      <w:jc w:val="center"/>
      <w:rPr>
        <w:rFonts w:ascii="FrankRuehl" w:hAnsi="FrankRuehl" w:cs="FrankRuehl"/>
        <w:color w:val="000000"/>
      </w:rPr>
    </w:pPr>
    <w:r w:rsidRPr="006F4A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AAC82" w14:textId="77777777" w:rsidR="006F4A0F" w:rsidRDefault="006F4A0F" w:rsidP="006F4A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1D5E">
      <w:rPr>
        <w:rFonts w:ascii="FrankRuehl" w:hAnsi="FrankRuehl" w:cs="FrankRuehl"/>
        <w:noProof/>
        <w:rtl/>
      </w:rPr>
      <w:t>1</w:t>
    </w:r>
    <w:r>
      <w:rPr>
        <w:rFonts w:ascii="FrankRuehl" w:hAnsi="FrankRuehl" w:cs="FrankRuehl"/>
        <w:rtl/>
      </w:rPr>
      <w:fldChar w:fldCharType="end"/>
    </w:r>
  </w:p>
  <w:p w14:paraId="6218F208" w14:textId="77777777" w:rsidR="007A751B" w:rsidRPr="006F4A0F" w:rsidRDefault="006F4A0F" w:rsidP="006F4A0F">
    <w:pPr>
      <w:pStyle w:val="a5"/>
      <w:pBdr>
        <w:top w:val="single" w:sz="4" w:space="1" w:color="auto"/>
        <w:between w:val="single" w:sz="4" w:space="0" w:color="auto"/>
      </w:pBdr>
      <w:spacing w:after="60"/>
      <w:jc w:val="center"/>
      <w:rPr>
        <w:rFonts w:ascii="FrankRuehl" w:hAnsi="FrankRuehl" w:cs="FrankRuehl"/>
        <w:color w:val="000000"/>
      </w:rPr>
    </w:pPr>
    <w:r w:rsidRPr="006F4A0F">
      <w:rPr>
        <w:rFonts w:ascii="FrankRuehl" w:hAnsi="FrankRuehl" w:cs="FrankRuehl"/>
        <w:color w:val="000000"/>
      </w:rPr>
      <w:pict w14:anchorId="5A71D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BEC75" w14:textId="77777777" w:rsidR="008B6D49" w:rsidRDefault="008B6D49" w:rsidP="009A7443">
      <w:r>
        <w:separator/>
      </w:r>
    </w:p>
  </w:footnote>
  <w:footnote w:type="continuationSeparator" w:id="0">
    <w:p w14:paraId="10B22C3B" w14:textId="77777777" w:rsidR="008B6D49" w:rsidRDefault="008B6D49" w:rsidP="009A7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64B68" w14:textId="77777777" w:rsidR="00976B90" w:rsidRPr="006F4A0F" w:rsidRDefault="006F4A0F" w:rsidP="006F4A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20770-11-22</w:t>
    </w:r>
    <w:r>
      <w:rPr>
        <w:rFonts w:ascii="David" w:hAnsi="David"/>
        <w:color w:val="000000"/>
        <w:sz w:val="22"/>
        <w:szCs w:val="22"/>
        <w:rtl/>
      </w:rPr>
      <w:tab/>
      <w:t xml:space="preserve"> מדינת ישראל נ' טארק אבו ריא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8B621" w14:textId="77777777" w:rsidR="00976B90" w:rsidRPr="006F4A0F" w:rsidRDefault="006F4A0F" w:rsidP="006F4A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20770-11-22</w:t>
    </w:r>
    <w:r>
      <w:rPr>
        <w:rFonts w:ascii="David" w:hAnsi="David"/>
        <w:color w:val="000000"/>
        <w:sz w:val="22"/>
        <w:szCs w:val="22"/>
        <w:rtl/>
      </w:rPr>
      <w:tab/>
      <w:t xml:space="preserve"> מדינת ישראל נ' טארק אבו ריא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7640D"/>
    <w:multiLevelType w:val="hybridMultilevel"/>
    <w:tmpl w:val="E4369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FB1BAB"/>
    <w:multiLevelType w:val="hybridMultilevel"/>
    <w:tmpl w:val="6BD2B70E"/>
    <w:lvl w:ilvl="0" w:tplc="1560628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8E238DA"/>
    <w:multiLevelType w:val="hybridMultilevel"/>
    <w:tmpl w:val="FEB4FFCE"/>
    <w:lvl w:ilvl="0" w:tplc="0F3276FC">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008456">
    <w:abstractNumId w:val="1"/>
  </w:num>
  <w:num w:numId="2" w16cid:durableId="1340504873">
    <w:abstractNumId w:val="2"/>
  </w:num>
  <w:num w:numId="3" w16cid:durableId="3348419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3E38"/>
    <w:rsid w:val="00087DE8"/>
    <w:rsid w:val="001B5A3B"/>
    <w:rsid w:val="002833E3"/>
    <w:rsid w:val="003C1D5E"/>
    <w:rsid w:val="006F4A0F"/>
    <w:rsid w:val="007A751B"/>
    <w:rsid w:val="008B6D49"/>
    <w:rsid w:val="00976B90"/>
    <w:rsid w:val="009A7443"/>
    <w:rsid w:val="00B43E38"/>
    <w:rsid w:val="00F76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5CA7BB"/>
  <w15:chartTrackingRefBased/>
  <w15:docId w15:val="{129C090F-D557-4AA1-9DAE-DCBE22D6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3E3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3E38"/>
    <w:pPr>
      <w:tabs>
        <w:tab w:val="center" w:pos="4153"/>
        <w:tab w:val="right" w:pos="8306"/>
      </w:tabs>
    </w:pPr>
  </w:style>
  <w:style w:type="character" w:customStyle="1" w:styleId="a4">
    <w:name w:val="כותרת עליונה תו"/>
    <w:link w:val="a3"/>
    <w:rsid w:val="00B43E38"/>
    <w:rPr>
      <w:rFonts w:ascii="Times New Roman" w:eastAsia="Times New Roman" w:hAnsi="Times New Roman" w:cs="David"/>
      <w:sz w:val="24"/>
      <w:szCs w:val="24"/>
    </w:rPr>
  </w:style>
  <w:style w:type="paragraph" w:styleId="a5">
    <w:name w:val="footer"/>
    <w:basedOn w:val="a"/>
    <w:link w:val="a6"/>
    <w:rsid w:val="00B43E38"/>
    <w:pPr>
      <w:tabs>
        <w:tab w:val="center" w:pos="4153"/>
        <w:tab w:val="right" w:pos="8306"/>
      </w:tabs>
    </w:pPr>
  </w:style>
  <w:style w:type="character" w:customStyle="1" w:styleId="a6">
    <w:name w:val="כותרת תחתונה תו"/>
    <w:link w:val="a5"/>
    <w:rsid w:val="00B43E38"/>
    <w:rPr>
      <w:rFonts w:ascii="Times New Roman" w:eastAsia="Times New Roman" w:hAnsi="Times New Roman" w:cs="David"/>
      <w:sz w:val="24"/>
      <w:szCs w:val="24"/>
    </w:rPr>
  </w:style>
  <w:style w:type="table" w:styleId="a7">
    <w:name w:val="Table Grid"/>
    <w:basedOn w:val="a1"/>
    <w:rsid w:val="00B43E3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3E38"/>
  </w:style>
  <w:style w:type="character" w:styleId="Hyperlink">
    <w:name w:val="Hyperlink"/>
    <w:rsid w:val="00B43E38"/>
    <w:rPr>
      <w:noProof w:val="0"/>
      <w:color w:val="0563C1"/>
      <w:u w:val="single"/>
    </w:rPr>
  </w:style>
  <w:style w:type="paragraph" w:styleId="a9">
    <w:name w:val="No Spacing"/>
    <w:qFormat/>
    <w:rsid w:val="00B43E38"/>
    <w:pPr>
      <w:bidi/>
    </w:pPr>
    <w:rPr>
      <w:rFonts w:ascii="David" w:eastAsia="David" w:hAnsi="David" w:cs="David"/>
      <w:sz w:val="24"/>
      <w:szCs w:val="24"/>
    </w:rPr>
  </w:style>
  <w:style w:type="paragraph" w:styleId="aa">
    <w:name w:val="List Paragraph"/>
    <w:basedOn w:val="a"/>
    <w:qFormat/>
    <w:rsid w:val="00B43E38"/>
    <w:pPr>
      <w:ind w:left="720"/>
      <w:contextualSpacing/>
    </w:pPr>
  </w:style>
  <w:style w:type="character" w:styleId="ab">
    <w:name w:val="line number"/>
    <w:rsid w:val="00B43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7791493"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6745252" TargetMode="External"/><Relationship Id="rId39" Type="http://schemas.openxmlformats.org/officeDocument/2006/relationships/theme" Target="theme/theme1.xml"/><Relationship Id="rId21" Type="http://schemas.openxmlformats.org/officeDocument/2006/relationships/hyperlink" Target="http://www.nevo.co.il/case/26913995"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17954222" TargetMode="External"/><Relationship Id="rId17" Type="http://schemas.openxmlformats.org/officeDocument/2006/relationships/hyperlink" Target="http://www.nevo.co.il/case/26986974" TargetMode="External"/><Relationship Id="rId25" Type="http://schemas.openxmlformats.org/officeDocument/2006/relationships/hyperlink" Target="http://www.nevo.co.il/case/25846689"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7491153" TargetMode="External"/><Relationship Id="rId20" Type="http://schemas.openxmlformats.org/officeDocument/2006/relationships/hyperlink" Target="http://www.nevo.co.il/law/70301/144.a" TargetMode="External"/><Relationship Id="rId29" Type="http://schemas.openxmlformats.org/officeDocument/2006/relationships/hyperlink" Target="http://www.nevo.co.il/case/45527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7911638" TargetMode="External"/><Relationship Id="rId32" Type="http://schemas.openxmlformats.org/officeDocument/2006/relationships/hyperlink" Target="http://www.eca.gov.i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940943" TargetMode="External"/><Relationship Id="rId23" Type="http://schemas.openxmlformats.org/officeDocument/2006/relationships/hyperlink" Target="http://www.nevo.co.il/case/29611229" TargetMode="External"/><Relationship Id="rId28" Type="http://schemas.openxmlformats.org/officeDocument/2006/relationships/hyperlink" Target="http://www.nevo.co.il/case/31923542"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7505674" TargetMode="External"/><Relationship Id="rId31" Type="http://schemas.openxmlformats.org/officeDocument/2006/relationships/hyperlink" Target="http://www.nevo.co.il/case/30472303"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8382004" TargetMode="External"/><Relationship Id="rId30" Type="http://schemas.openxmlformats.org/officeDocument/2006/relationships/hyperlink" Target="http://www.nevo.co.il/case/26790733"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2463</Words>
  <Characters>12320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14754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7864368</vt:i4>
      </vt:variant>
      <vt:variant>
        <vt:i4>75</vt:i4>
      </vt:variant>
      <vt:variant>
        <vt:i4>0</vt:i4>
      </vt:variant>
      <vt:variant>
        <vt:i4>5</vt:i4>
      </vt:variant>
      <vt:variant>
        <vt:lpwstr>http://www.eca.gov.il/</vt:lpwstr>
      </vt:variant>
      <vt:variant>
        <vt:lpwstr/>
      </vt:variant>
      <vt:variant>
        <vt:i4>3473520</vt:i4>
      </vt:variant>
      <vt:variant>
        <vt:i4>72</vt:i4>
      </vt:variant>
      <vt:variant>
        <vt:i4>0</vt:i4>
      </vt:variant>
      <vt:variant>
        <vt:i4>5</vt:i4>
      </vt:variant>
      <vt:variant>
        <vt:lpwstr>http://www.nevo.co.il/case/30472303</vt:lpwstr>
      </vt:variant>
      <vt:variant>
        <vt:lpwstr/>
      </vt:variant>
      <vt:variant>
        <vt:i4>3539068</vt:i4>
      </vt:variant>
      <vt:variant>
        <vt:i4>69</vt:i4>
      </vt:variant>
      <vt:variant>
        <vt:i4>0</vt:i4>
      </vt:variant>
      <vt:variant>
        <vt:i4>5</vt:i4>
      </vt:variant>
      <vt:variant>
        <vt:lpwstr>http://www.nevo.co.il/case/26790733</vt:lpwstr>
      </vt:variant>
      <vt:variant>
        <vt:lpwstr/>
      </vt:variant>
      <vt:variant>
        <vt:i4>4063344</vt:i4>
      </vt:variant>
      <vt:variant>
        <vt:i4>66</vt:i4>
      </vt:variant>
      <vt:variant>
        <vt:i4>0</vt:i4>
      </vt:variant>
      <vt:variant>
        <vt:i4>5</vt:i4>
      </vt:variant>
      <vt:variant>
        <vt:lpwstr>http://www.nevo.co.il/case/4552738</vt:lpwstr>
      </vt:variant>
      <vt:variant>
        <vt:lpwstr/>
      </vt:variant>
      <vt:variant>
        <vt:i4>3997810</vt:i4>
      </vt:variant>
      <vt:variant>
        <vt:i4>63</vt:i4>
      </vt:variant>
      <vt:variant>
        <vt:i4>0</vt:i4>
      </vt:variant>
      <vt:variant>
        <vt:i4>5</vt:i4>
      </vt:variant>
      <vt:variant>
        <vt:lpwstr>http://www.nevo.co.il/case/31923542</vt:lpwstr>
      </vt:variant>
      <vt:variant>
        <vt:lpwstr/>
      </vt:variant>
      <vt:variant>
        <vt:i4>3342452</vt:i4>
      </vt:variant>
      <vt:variant>
        <vt:i4>60</vt:i4>
      </vt:variant>
      <vt:variant>
        <vt:i4>0</vt:i4>
      </vt:variant>
      <vt:variant>
        <vt:i4>5</vt:i4>
      </vt:variant>
      <vt:variant>
        <vt:lpwstr>http://www.nevo.co.il/case/28382004</vt:lpwstr>
      </vt:variant>
      <vt:variant>
        <vt:lpwstr/>
      </vt:variant>
      <vt:variant>
        <vt:i4>3473524</vt:i4>
      </vt:variant>
      <vt:variant>
        <vt:i4>57</vt:i4>
      </vt:variant>
      <vt:variant>
        <vt:i4>0</vt:i4>
      </vt:variant>
      <vt:variant>
        <vt:i4>5</vt:i4>
      </vt:variant>
      <vt:variant>
        <vt:lpwstr>http://www.nevo.co.il/case/26745252</vt:lpwstr>
      </vt:variant>
      <vt:variant>
        <vt:lpwstr/>
      </vt:variant>
      <vt:variant>
        <vt:i4>3407987</vt:i4>
      </vt:variant>
      <vt:variant>
        <vt:i4>54</vt:i4>
      </vt:variant>
      <vt:variant>
        <vt:i4>0</vt:i4>
      </vt:variant>
      <vt:variant>
        <vt:i4>5</vt:i4>
      </vt:variant>
      <vt:variant>
        <vt:lpwstr>http://www.nevo.co.il/case/25846689</vt:lpwstr>
      </vt:variant>
      <vt:variant>
        <vt:lpwstr/>
      </vt:variant>
      <vt:variant>
        <vt:i4>3735668</vt:i4>
      </vt:variant>
      <vt:variant>
        <vt:i4>51</vt:i4>
      </vt:variant>
      <vt:variant>
        <vt:i4>0</vt:i4>
      </vt:variant>
      <vt:variant>
        <vt:i4>5</vt:i4>
      </vt:variant>
      <vt:variant>
        <vt:lpwstr>http://www.nevo.co.il/case/27911638</vt:lpwstr>
      </vt:variant>
      <vt:variant>
        <vt:lpwstr/>
      </vt:variant>
      <vt:variant>
        <vt:i4>3604606</vt:i4>
      </vt:variant>
      <vt:variant>
        <vt:i4>48</vt:i4>
      </vt:variant>
      <vt:variant>
        <vt:i4>0</vt:i4>
      </vt:variant>
      <vt:variant>
        <vt:i4>5</vt:i4>
      </vt:variant>
      <vt:variant>
        <vt:lpwstr>http://www.nevo.co.il/case/29611229</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3211386</vt:i4>
      </vt:variant>
      <vt:variant>
        <vt:i4>42</vt:i4>
      </vt:variant>
      <vt:variant>
        <vt:i4>0</vt:i4>
      </vt:variant>
      <vt:variant>
        <vt:i4>5</vt:i4>
      </vt:variant>
      <vt:variant>
        <vt:lpwstr>http://www.nevo.co.il/case/26913995</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3473525</vt:i4>
      </vt:variant>
      <vt:variant>
        <vt:i4>36</vt:i4>
      </vt:variant>
      <vt:variant>
        <vt:i4>0</vt:i4>
      </vt:variant>
      <vt:variant>
        <vt:i4>5</vt:i4>
      </vt:variant>
      <vt:variant>
        <vt:lpwstr>http://www.nevo.co.il/case/27505674</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3801203</vt:i4>
      </vt:variant>
      <vt:variant>
        <vt:i4>30</vt:i4>
      </vt:variant>
      <vt:variant>
        <vt:i4>0</vt:i4>
      </vt:variant>
      <vt:variant>
        <vt:i4>5</vt:i4>
      </vt:variant>
      <vt:variant>
        <vt:lpwstr>http://www.nevo.co.il/case/26986974</vt:lpwstr>
      </vt:variant>
      <vt:variant>
        <vt:lpwstr/>
      </vt:variant>
      <vt:variant>
        <vt:i4>3276923</vt:i4>
      </vt:variant>
      <vt:variant>
        <vt:i4>27</vt:i4>
      </vt:variant>
      <vt:variant>
        <vt:i4>0</vt:i4>
      </vt:variant>
      <vt:variant>
        <vt:i4>5</vt:i4>
      </vt:variant>
      <vt:variant>
        <vt:lpwstr>http://www.nevo.co.il/case/27491153</vt:lpwstr>
      </vt:variant>
      <vt:variant>
        <vt:lpwstr/>
      </vt:variant>
      <vt:variant>
        <vt:i4>4128892</vt:i4>
      </vt:variant>
      <vt:variant>
        <vt:i4>24</vt:i4>
      </vt:variant>
      <vt:variant>
        <vt:i4>0</vt:i4>
      </vt:variant>
      <vt:variant>
        <vt:i4>5</vt:i4>
      </vt:variant>
      <vt:variant>
        <vt:lpwstr>http://www.nevo.co.il/case/25940943</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4063348</vt:i4>
      </vt:variant>
      <vt:variant>
        <vt:i4>15</vt:i4>
      </vt:variant>
      <vt:variant>
        <vt:i4>0</vt:i4>
      </vt:variant>
      <vt:variant>
        <vt:i4>5</vt:i4>
      </vt:variant>
      <vt:variant>
        <vt:lpwstr>http://www.nevo.co.il/case/17954222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2025-01-19T17:52:00Z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20770</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טארק אבו ריא </vt:lpwstr>
  </property>
  <property fmtid="{D5CDD505-2E9C-101B-9397-08002B2CF9AE}" pid="10" name="LAWYER">
    <vt:lpwstr>באסל פלאח</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20241121</vt:lpwstr>
  </property>
  <property fmtid="{D5CDD505-2E9C-101B-9397-08002B2CF9AE}" pid="14" name="TYPE_N_DATE">
    <vt:lpwstr>38020241121</vt:lpwstr>
  </property>
  <property fmtid="{D5CDD505-2E9C-101B-9397-08002B2CF9AE}" pid="15" name="CASESLISTTMP1">
    <vt:lpwstr>17954222;7791493;25824863;25940943;27491153;26986974;27505674;26913995;29611229;27911638;25846689;26745252;28382004;31923542;4552738;26790733;30472303</vt:lpwstr>
  </property>
  <property fmtid="{D5CDD505-2E9C-101B-9397-08002B2CF9AE}" pid="16" name="WORDNUMPAGES">
    <vt:lpwstr>8</vt:lpwstr>
  </property>
  <property fmtid="{D5CDD505-2E9C-101B-9397-08002B2CF9AE}" pid="17" name="TYPE_ABS_DATE">
    <vt:lpwstr>380020241121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70301/144.a:5</vt:lpwstr>
  </property>
</Properties>
</file>