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2658"/>
        <w:gridCol w:w="1479"/>
        <w:gridCol w:w="3661"/>
        <w:gridCol w:w="99"/>
      </w:tblGrid>
      <w:tr w:rsidR="00794B39" w:rsidRPr="00BB70E4" w14:paraId="15BB74BB" w14:textId="77777777" w:rsidTr="00450AD9">
        <w:trPr>
          <w:gridAfter w:val="1"/>
          <w:wAfter w:w="99" w:type="dxa"/>
          <w:trHeight w:hRule="exact" w:val="418"/>
          <w:jc w:val="center"/>
        </w:trPr>
        <w:tc>
          <w:tcPr>
            <w:tcW w:w="8721" w:type="dxa"/>
            <w:gridSpan w:val="4"/>
          </w:tcPr>
          <w:p w14:paraId="15BD2EDC" w14:textId="77777777" w:rsidR="00794B39" w:rsidRPr="00BB70E4" w:rsidRDefault="00794B39" w:rsidP="006774AD">
            <w:pPr>
              <w:pStyle w:val="a3"/>
              <w:jc w:val="center"/>
              <w:rPr>
                <w:rFonts w:ascii="Tahoma" w:hAnsi="Tahoma" w:cs="Tahoma"/>
                <w:color w:val="000080"/>
                <w:rtl/>
              </w:rPr>
            </w:pPr>
            <w:bookmarkStart w:id="0" w:name="LastJudge"/>
            <w:r w:rsidRPr="00BB70E4">
              <w:rPr>
                <w:rFonts w:ascii="Tahoma" w:hAnsi="Tahoma" w:cs="Tahoma"/>
                <w:b/>
                <w:bCs/>
                <w:color w:val="000080"/>
                <w:rtl/>
              </w:rPr>
              <w:t>בית משפט השלום בחדרה</w:t>
            </w:r>
          </w:p>
        </w:tc>
      </w:tr>
      <w:tr w:rsidR="00794B39" w:rsidRPr="00BB70E4" w14:paraId="6057EA2C" w14:textId="77777777" w:rsidTr="00450AD9">
        <w:trPr>
          <w:gridAfter w:val="1"/>
          <w:wAfter w:w="99" w:type="dxa"/>
          <w:trHeight w:val="337"/>
          <w:jc w:val="center"/>
        </w:trPr>
        <w:tc>
          <w:tcPr>
            <w:tcW w:w="5060" w:type="dxa"/>
            <w:gridSpan w:val="3"/>
          </w:tcPr>
          <w:p w14:paraId="5379F65C" w14:textId="77777777" w:rsidR="00794B39" w:rsidRPr="00BB70E4" w:rsidRDefault="00794B39" w:rsidP="006774AD">
            <w:pPr>
              <w:rPr>
                <w:rFonts w:cs="FrankRuehl"/>
                <w:sz w:val="28"/>
                <w:szCs w:val="28"/>
                <w:rtl/>
              </w:rPr>
            </w:pPr>
            <w:r w:rsidRPr="00BB70E4">
              <w:rPr>
                <w:rFonts w:cs="FrankRuehl"/>
                <w:sz w:val="28"/>
                <w:szCs w:val="28"/>
                <w:rtl/>
              </w:rPr>
              <w:t>ת"פ</w:t>
            </w:r>
            <w:r w:rsidRPr="00BB70E4">
              <w:rPr>
                <w:rFonts w:cs="FrankRuehl" w:hint="cs"/>
                <w:sz w:val="28"/>
                <w:szCs w:val="28"/>
                <w:rtl/>
              </w:rPr>
              <w:t xml:space="preserve"> </w:t>
            </w:r>
            <w:r w:rsidRPr="00BB70E4">
              <w:rPr>
                <w:rFonts w:cs="FrankRuehl"/>
                <w:sz w:val="28"/>
                <w:szCs w:val="28"/>
                <w:rtl/>
              </w:rPr>
              <w:t>24328-11-22</w:t>
            </w:r>
            <w:r w:rsidRPr="00BB70E4">
              <w:rPr>
                <w:rFonts w:cs="FrankRuehl" w:hint="cs"/>
                <w:sz w:val="28"/>
                <w:szCs w:val="28"/>
                <w:rtl/>
              </w:rPr>
              <w:t xml:space="preserve"> </w:t>
            </w:r>
            <w:r w:rsidRPr="00BB70E4">
              <w:rPr>
                <w:rFonts w:cs="FrankRuehl"/>
                <w:sz w:val="28"/>
                <w:szCs w:val="28"/>
                <w:rtl/>
              </w:rPr>
              <w:t>מדינת ישראל נ' מחאמיד(עציר)</w:t>
            </w:r>
          </w:p>
          <w:p w14:paraId="08ED0BC1" w14:textId="77777777" w:rsidR="00794B39" w:rsidRPr="00BB70E4" w:rsidRDefault="00794B39" w:rsidP="006774AD">
            <w:pPr>
              <w:pStyle w:val="a3"/>
              <w:rPr>
                <w:rFonts w:cs="FrankRuehl"/>
                <w:sz w:val="28"/>
                <w:szCs w:val="28"/>
                <w:rtl/>
              </w:rPr>
            </w:pPr>
          </w:p>
        </w:tc>
        <w:tc>
          <w:tcPr>
            <w:tcW w:w="3661" w:type="dxa"/>
          </w:tcPr>
          <w:p w14:paraId="08E8A6E9" w14:textId="77777777" w:rsidR="00794B39" w:rsidRPr="00BB70E4" w:rsidRDefault="00794B39" w:rsidP="006774AD">
            <w:pPr>
              <w:pStyle w:val="a3"/>
              <w:jc w:val="right"/>
              <w:rPr>
                <w:rFonts w:cs="FrankRuehl"/>
                <w:sz w:val="28"/>
                <w:szCs w:val="28"/>
                <w:rtl/>
              </w:rPr>
            </w:pPr>
          </w:p>
        </w:tc>
      </w:tr>
      <w:tr w:rsidR="00794B39" w:rsidRPr="00BB70E4" w14:paraId="21DD45E1" w14:textId="77777777" w:rsidTr="00450AD9">
        <w:tblPrEx>
          <w:tblLook w:val="01E0" w:firstRow="1" w:lastRow="1" w:firstColumn="1" w:lastColumn="1" w:noHBand="0" w:noVBand="0"/>
        </w:tblPrEx>
        <w:trPr>
          <w:trHeight w:val="295"/>
          <w:jc w:val="center"/>
        </w:trPr>
        <w:tc>
          <w:tcPr>
            <w:tcW w:w="923" w:type="dxa"/>
            <w:shd w:val="clear" w:color="auto" w:fill="auto"/>
          </w:tcPr>
          <w:p w14:paraId="27BF764C" w14:textId="77777777" w:rsidR="00794B39" w:rsidRPr="00BB70E4" w:rsidRDefault="00794B39" w:rsidP="00794B39">
            <w:pPr>
              <w:jc w:val="both"/>
              <w:rPr>
                <w:rFonts w:ascii="David" w:hAnsi="David"/>
                <w:sz w:val="26"/>
                <w:szCs w:val="26"/>
              </w:rPr>
            </w:pPr>
            <w:r w:rsidRPr="00BB70E4">
              <w:rPr>
                <w:rFonts w:hint="cs"/>
                <w:rtl/>
              </w:rPr>
              <w:t xml:space="preserve"> </w:t>
            </w:r>
            <w:r w:rsidRPr="00BB70E4">
              <w:rPr>
                <w:rFonts w:ascii="David" w:hAnsi="David"/>
                <w:sz w:val="26"/>
                <w:szCs w:val="26"/>
                <w:rtl/>
              </w:rPr>
              <w:t xml:space="preserve">בפני </w:t>
            </w:r>
          </w:p>
        </w:tc>
        <w:tc>
          <w:tcPr>
            <w:tcW w:w="7897" w:type="dxa"/>
            <w:gridSpan w:val="4"/>
            <w:shd w:val="clear" w:color="auto" w:fill="auto"/>
          </w:tcPr>
          <w:p w14:paraId="772A130E" w14:textId="77777777" w:rsidR="00794B39" w:rsidRPr="00BB70E4" w:rsidRDefault="00794B39" w:rsidP="006774AD">
            <w:pPr>
              <w:rPr>
                <w:rFonts w:ascii="David" w:hAnsi="David"/>
                <w:b/>
                <w:bCs/>
                <w:sz w:val="26"/>
                <w:szCs w:val="26"/>
                <w:rtl/>
              </w:rPr>
            </w:pPr>
            <w:r w:rsidRPr="00BB70E4">
              <w:rPr>
                <w:rFonts w:ascii="David" w:hAnsi="David"/>
                <w:b/>
                <w:bCs/>
                <w:sz w:val="26"/>
                <w:szCs w:val="26"/>
                <w:rtl/>
              </w:rPr>
              <w:t>כבוד השופט  אלכס אחטר</w:t>
            </w:r>
          </w:p>
          <w:p w14:paraId="2429EAF0" w14:textId="77777777" w:rsidR="00794B39" w:rsidRPr="00BB70E4" w:rsidRDefault="00794B39" w:rsidP="006774AD">
            <w:pPr>
              <w:rPr>
                <w:rFonts w:ascii="David" w:hAnsi="David"/>
                <w:sz w:val="26"/>
                <w:szCs w:val="26"/>
                <w:rtl/>
              </w:rPr>
            </w:pPr>
          </w:p>
          <w:p w14:paraId="7726AD8F" w14:textId="77777777" w:rsidR="00794B39" w:rsidRPr="00BB70E4" w:rsidRDefault="00794B39" w:rsidP="00794B39">
            <w:pPr>
              <w:jc w:val="both"/>
              <w:rPr>
                <w:rFonts w:ascii="David" w:hAnsi="David"/>
                <w:sz w:val="26"/>
                <w:szCs w:val="26"/>
              </w:rPr>
            </w:pPr>
          </w:p>
        </w:tc>
      </w:tr>
      <w:tr w:rsidR="00794B39" w:rsidRPr="00BB70E4" w14:paraId="33ED6E3E" w14:textId="77777777" w:rsidTr="00450AD9">
        <w:tblPrEx>
          <w:tblLook w:val="01E0" w:firstRow="1" w:lastRow="1" w:firstColumn="1" w:lastColumn="1" w:noHBand="0" w:noVBand="0"/>
        </w:tblPrEx>
        <w:trPr>
          <w:trHeight w:val="355"/>
          <w:jc w:val="center"/>
        </w:trPr>
        <w:tc>
          <w:tcPr>
            <w:tcW w:w="923" w:type="dxa"/>
            <w:shd w:val="clear" w:color="auto" w:fill="auto"/>
          </w:tcPr>
          <w:p w14:paraId="40CE9730" w14:textId="77777777" w:rsidR="00794B39" w:rsidRPr="00BB70E4" w:rsidRDefault="00794B39" w:rsidP="00794B39">
            <w:pPr>
              <w:jc w:val="both"/>
              <w:rPr>
                <w:rFonts w:ascii="David" w:hAnsi="David"/>
                <w:sz w:val="26"/>
                <w:szCs w:val="26"/>
              </w:rPr>
            </w:pPr>
            <w:bookmarkStart w:id="1" w:name="FirstAppellant"/>
            <w:bookmarkStart w:id="2" w:name="FirstLawyer"/>
            <w:r w:rsidRPr="00BB70E4">
              <w:rPr>
                <w:rFonts w:ascii="David" w:hAnsi="David"/>
                <w:sz w:val="26"/>
                <w:szCs w:val="26"/>
                <w:rtl/>
              </w:rPr>
              <w:t>בעניין:</w:t>
            </w:r>
          </w:p>
        </w:tc>
        <w:tc>
          <w:tcPr>
            <w:tcW w:w="2658" w:type="dxa"/>
            <w:shd w:val="clear" w:color="auto" w:fill="auto"/>
          </w:tcPr>
          <w:p w14:paraId="508AED18" w14:textId="77777777" w:rsidR="00794B39" w:rsidRPr="00BB70E4" w:rsidRDefault="00794B39" w:rsidP="00794B39">
            <w:pPr>
              <w:suppressLineNumbers/>
            </w:pPr>
            <w:r w:rsidRPr="00BB70E4">
              <w:rPr>
                <w:rFonts w:ascii="Arial" w:hAnsi="Arial" w:hint="cs"/>
                <w:b/>
                <w:bCs/>
                <w:sz w:val="26"/>
                <w:szCs w:val="26"/>
                <w:rtl/>
              </w:rPr>
              <w:t>ה</w:t>
            </w:r>
            <w:r w:rsidRPr="00BB70E4">
              <w:rPr>
                <w:rFonts w:ascii="Arial" w:hAnsi="Arial"/>
                <w:b/>
                <w:bCs/>
                <w:sz w:val="26"/>
                <w:szCs w:val="26"/>
                <w:rtl/>
              </w:rPr>
              <w:t>מאשימה</w:t>
            </w:r>
          </w:p>
          <w:p w14:paraId="7CB697B1" w14:textId="77777777" w:rsidR="00794B39" w:rsidRPr="00BB70E4" w:rsidRDefault="00794B39" w:rsidP="006774AD">
            <w:pPr>
              <w:rPr>
                <w:rFonts w:ascii="David" w:hAnsi="David"/>
                <w:sz w:val="26"/>
                <w:szCs w:val="26"/>
              </w:rPr>
            </w:pPr>
          </w:p>
        </w:tc>
        <w:tc>
          <w:tcPr>
            <w:tcW w:w="5239" w:type="dxa"/>
            <w:gridSpan w:val="3"/>
            <w:shd w:val="clear" w:color="auto" w:fill="auto"/>
            <w:vAlign w:val="center"/>
          </w:tcPr>
          <w:p w14:paraId="03E669AD" w14:textId="77777777" w:rsidR="00794B39" w:rsidRPr="00BB70E4" w:rsidRDefault="00794B39" w:rsidP="00794B39">
            <w:pPr>
              <w:suppressLineNumbers/>
              <w:rPr>
                <w:rFonts w:ascii="Arial" w:hAnsi="Arial"/>
                <w:bCs/>
                <w:sz w:val="26"/>
                <w:szCs w:val="26"/>
                <w:rtl/>
              </w:rPr>
            </w:pPr>
            <w:r w:rsidRPr="00BB70E4">
              <w:rPr>
                <w:rFonts w:ascii="Arial" w:hAnsi="Arial"/>
                <w:bCs/>
                <w:sz w:val="26"/>
                <w:szCs w:val="26"/>
                <w:rtl/>
              </w:rPr>
              <w:t>מדינת ישראל</w:t>
            </w:r>
            <w:r w:rsidRPr="00BB70E4">
              <w:rPr>
                <w:rFonts w:ascii="Arial" w:hAnsi="Arial" w:hint="cs"/>
                <w:bCs/>
                <w:sz w:val="26"/>
                <w:szCs w:val="26"/>
                <w:rtl/>
              </w:rPr>
              <w:t xml:space="preserve"> </w:t>
            </w:r>
          </w:p>
          <w:p w14:paraId="3970B570" w14:textId="77777777" w:rsidR="00794B39" w:rsidRPr="00BB70E4" w:rsidRDefault="00794B39" w:rsidP="00794B39">
            <w:pPr>
              <w:suppressLineNumbers/>
              <w:rPr>
                <w:bCs/>
              </w:rPr>
            </w:pPr>
            <w:r w:rsidRPr="00BB70E4">
              <w:rPr>
                <w:rFonts w:ascii="Arial" w:hAnsi="Arial"/>
                <w:bCs/>
                <w:rtl/>
              </w:rPr>
              <w:t>ע"י ב"כ עוה"ד</w:t>
            </w:r>
            <w:r w:rsidRPr="00BB70E4">
              <w:rPr>
                <w:rFonts w:hint="cs"/>
                <w:bCs/>
                <w:rtl/>
              </w:rPr>
              <w:t xml:space="preserve"> דורית לוי פרנק</w:t>
            </w:r>
          </w:p>
        </w:tc>
      </w:tr>
      <w:bookmarkEnd w:id="1"/>
      <w:bookmarkEnd w:id="2"/>
      <w:tr w:rsidR="00794B39" w:rsidRPr="00BB70E4" w14:paraId="18662EAF" w14:textId="77777777" w:rsidTr="00450AD9">
        <w:tblPrEx>
          <w:tblLook w:val="01E0" w:firstRow="1" w:lastRow="1" w:firstColumn="1" w:lastColumn="1" w:noHBand="0" w:noVBand="0"/>
        </w:tblPrEx>
        <w:trPr>
          <w:trHeight w:val="355"/>
          <w:jc w:val="center"/>
        </w:trPr>
        <w:tc>
          <w:tcPr>
            <w:tcW w:w="8820" w:type="dxa"/>
            <w:gridSpan w:val="5"/>
            <w:shd w:val="clear" w:color="auto" w:fill="auto"/>
          </w:tcPr>
          <w:p w14:paraId="36AB1139" w14:textId="77777777" w:rsidR="00794B39" w:rsidRPr="00BB70E4" w:rsidRDefault="00794B39" w:rsidP="00794B39">
            <w:pPr>
              <w:jc w:val="center"/>
              <w:rPr>
                <w:rFonts w:ascii="David" w:hAnsi="David"/>
                <w:b/>
                <w:bCs/>
                <w:sz w:val="26"/>
                <w:szCs w:val="26"/>
                <w:rtl/>
              </w:rPr>
            </w:pPr>
          </w:p>
          <w:p w14:paraId="5BC0833C" w14:textId="77777777" w:rsidR="00794B39" w:rsidRPr="00BB70E4" w:rsidRDefault="00794B39" w:rsidP="00794B39">
            <w:pPr>
              <w:jc w:val="center"/>
              <w:rPr>
                <w:rFonts w:ascii="David" w:hAnsi="David"/>
                <w:b/>
                <w:bCs/>
                <w:sz w:val="26"/>
                <w:szCs w:val="26"/>
                <w:rtl/>
              </w:rPr>
            </w:pPr>
            <w:r w:rsidRPr="00BB70E4">
              <w:rPr>
                <w:rFonts w:ascii="David" w:hAnsi="David"/>
                <w:b/>
                <w:bCs/>
                <w:sz w:val="26"/>
                <w:szCs w:val="26"/>
                <w:rtl/>
              </w:rPr>
              <w:t>נגד</w:t>
            </w:r>
          </w:p>
          <w:p w14:paraId="0377723D" w14:textId="77777777" w:rsidR="00794B39" w:rsidRPr="00BB70E4" w:rsidRDefault="00794B39" w:rsidP="00794B39">
            <w:pPr>
              <w:jc w:val="both"/>
              <w:rPr>
                <w:rFonts w:ascii="David" w:hAnsi="David"/>
                <w:sz w:val="26"/>
                <w:szCs w:val="26"/>
              </w:rPr>
            </w:pPr>
          </w:p>
        </w:tc>
      </w:tr>
      <w:tr w:rsidR="00794B39" w:rsidRPr="00BB70E4" w14:paraId="7EF44D93" w14:textId="77777777" w:rsidTr="00450AD9">
        <w:tblPrEx>
          <w:tblLook w:val="01E0" w:firstRow="1" w:lastRow="1" w:firstColumn="1" w:lastColumn="1" w:noHBand="0" w:noVBand="0"/>
        </w:tblPrEx>
        <w:trPr>
          <w:trHeight w:val="355"/>
          <w:jc w:val="center"/>
        </w:trPr>
        <w:tc>
          <w:tcPr>
            <w:tcW w:w="923" w:type="dxa"/>
            <w:shd w:val="clear" w:color="auto" w:fill="auto"/>
          </w:tcPr>
          <w:p w14:paraId="23199C9C" w14:textId="77777777" w:rsidR="00794B39" w:rsidRPr="00BB70E4" w:rsidRDefault="00794B39" w:rsidP="006774AD">
            <w:pPr>
              <w:rPr>
                <w:rFonts w:ascii="David" w:hAnsi="David"/>
                <w:sz w:val="26"/>
                <w:szCs w:val="26"/>
                <w:rtl/>
              </w:rPr>
            </w:pPr>
          </w:p>
        </w:tc>
        <w:tc>
          <w:tcPr>
            <w:tcW w:w="2658" w:type="dxa"/>
            <w:shd w:val="clear" w:color="auto" w:fill="auto"/>
          </w:tcPr>
          <w:p w14:paraId="2899C685" w14:textId="77777777" w:rsidR="00794B39" w:rsidRPr="00BB70E4" w:rsidRDefault="00794B39" w:rsidP="006774AD">
            <w:pPr>
              <w:rPr>
                <w:rFonts w:ascii="Arial" w:hAnsi="Arial"/>
                <w:b/>
                <w:bCs/>
                <w:sz w:val="26"/>
                <w:szCs w:val="26"/>
                <w:rtl/>
              </w:rPr>
            </w:pPr>
            <w:r w:rsidRPr="00BB70E4">
              <w:rPr>
                <w:rFonts w:ascii="Arial" w:hAnsi="Arial"/>
                <w:b/>
                <w:bCs/>
                <w:sz w:val="26"/>
                <w:szCs w:val="26"/>
                <w:rtl/>
              </w:rPr>
              <w:t>הנאשם</w:t>
            </w:r>
          </w:p>
        </w:tc>
        <w:tc>
          <w:tcPr>
            <w:tcW w:w="5239" w:type="dxa"/>
            <w:gridSpan w:val="3"/>
            <w:shd w:val="clear" w:color="auto" w:fill="auto"/>
            <w:vAlign w:val="center"/>
          </w:tcPr>
          <w:p w14:paraId="2E61987C" w14:textId="77777777" w:rsidR="00794B39" w:rsidRPr="00BB70E4" w:rsidRDefault="00794B39" w:rsidP="00794B39">
            <w:pPr>
              <w:suppressLineNumbers/>
              <w:rPr>
                <w:rFonts w:ascii="Arial" w:hAnsi="Arial"/>
                <w:b/>
                <w:bCs/>
                <w:sz w:val="26"/>
                <w:szCs w:val="26"/>
                <w:rtl/>
              </w:rPr>
            </w:pPr>
            <w:r w:rsidRPr="00BB70E4">
              <w:rPr>
                <w:rFonts w:ascii="Arial" w:hAnsi="Arial"/>
                <w:b/>
                <w:bCs/>
                <w:sz w:val="26"/>
                <w:szCs w:val="26"/>
                <w:rtl/>
              </w:rPr>
              <w:t>עבדאללה מחאמיד (עציר)</w:t>
            </w:r>
            <w:r w:rsidRPr="00BB70E4">
              <w:rPr>
                <w:rFonts w:ascii="Arial" w:hAnsi="Arial" w:hint="cs"/>
                <w:b/>
                <w:bCs/>
                <w:sz w:val="26"/>
                <w:szCs w:val="26"/>
                <w:rtl/>
              </w:rPr>
              <w:t xml:space="preserve"> </w:t>
            </w:r>
          </w:p>
          <w:p w14:paraId="7123A16A" w14:textId="77777777" w:rsidR="00794B39" w:rsidRPr="00BB70E4" w:rsidRDefault="00794B39" w:rsidP="00794B39">
            <w:pPr>
              <w:suppressLineNumbers/>
              <w:rPr>
                <w:b/>
                <w:bCs/>
              </w:rPr>
            </w:pPr>
            <w:r w:rsidRPr="00BB70E4">
              <w:rPr>
                <w:rFonts w:ascii="Arial" w:hAnsi="Arial"/>
                <w:b/>
                <w:bCs/>
                <w:rtl/>
              </w:rPr>
              <w:t>ע"י ב"כ עוה"ד</w:t>
            </w:r>
            <w:r w:rsidRPr="00BB70E4">
              <w:rPr>
                <w:rFonts w:hint="cs"/>
                <w:b/>
                <w:bCs/>
                <w:rtl/>
              </w:rPr>
              <w:t xml:space="preserve"> אסיל מקאלדה</w:t>
            </w:r>
          </w:p>
        </w:tc>
      </w:tr>
    </w:tbl>
    <w:p w14:paraId="7D50FA28" w14:textId="77777777" w:rsidR="00BB70E4" w:rsidRPr="00BB70E4" w:rsidRDefault="00BB70E4" w:rsidP="00794B39">
      <w:pPr>
        <w:rPr>
          <w:sz w:val="26"/>
          <w:szCs w:val="26"/>
          <w:rtl/>
        </w:rPr>
      </w:pPr>
    </w:p>
    <w:p w14:paraId="2699D72E" w14:textId="77777777" w:rsidR="009F76F9" w:rsidRPr="009F76F9" w:rsidRDefault="009F76F9" w:rsidP="00BB70E4">
      <w:pPr>
        <w:spacing w:after="120" w:line="240" w:lineRule="exact"/>
        <w:ind w:left="283" w:hanging="283"/>
        <w:jc w:val="both"/>
        <w:rPr>
          <w:color w:val="0000FF"/>
          <w:sz w:val="26"/>
          <w:szCs w:val="26"/>
          <w:rtl/>
        </w:rPr>
      </w:pPr>
    </w:p>
    <w:p w14:paraId="76E0C2EB" w14:textId="77777777" w:rsidR="005850BF" w:rsidRPr="005850BF" w:rsidRDefault="005850BF" w:rsidP="009F76F9">
      <w:pPr>
        <w:spacing w:after="120" w:line="240" w:lineRule="exact"/>
        <w:ind w:left="283" w:hanging="283"/>
        <w:jc w:val="both"/>
        <w:rPr>
          <w:sz w:val="26"/>
          <w:szCs w:val="26"/>
          <w:rtl/>
        </w:rPr>
      </w:pPr>
    </w:p>
    <w:p w14:paraId="27A2AEF4" w14:textId="77777777" w:rsidR="005850BF" w:rsidRPr="005850BF" w:rsidRDefault="005850BF" w:rsidP="005850BF">
      <w:pPr>
        <w:spacing w:after="120" w:line="240" w:lineRule="exact"/>
        <w:ind w:left="283" w:hanging="283"/>
        <w:jc w:val="both"/>
        <w:rPr>
          <w:rFonts w:ascii="FrankRuehl" w:hAnsi="FrankRuehl" w:cs="FrankRuehl"/>
        </w:rPr>
      </w:pPr>
      <w:bookmarkStart w:id="3" w:name="Links_Start"/>
      <w:bookmarkEnd w:id="3"/>
      <w:r w:rsidRPr="005850BF">
        <w:rPr>
          <w:rFonts w:ascii="FrankRuehl" w:hAnsi="FrankRuehl" w:cs="FrankRuehl"/>
          <w:rtl/>
        </w:rPr>
        <w:t>ספרות:</w:t>
      </w:r>
    </w:p>
    <w:p w14:paraId="271E8A9A" w14:textId="77777777" w:rsidR="005850BF" w:rsidRPr="005850BF" w:rsidRDefault="005850BF" w:rsidP="005850BF">
      <w:pPr>
        <w:spacing w:after="120" w:line="240" w:lineRule="exact"/>
        <w:ind w:left="283" w:hanging="283"/>
        <w:jc w:val="both"/>
        <w:rPr>
          <w:rStyle w:val="Hyperlink"/>
          <w:rFonts w:ascii="FrankRuehl" w:hAnsi="FrankRuehl" w:cs="FrankRuehl"/>
          <w:u w:val="none"/>
          <w:rtl/>
        </w:rPr>
      </w:pPr>
      <w:r w:rsidRPr="005850BF">
        <w:rPr>
          <w:rFonts w:ascii="FrankRuehl" w:hAnsi="FrankRuehl" w:cs="FrankRuehl"/>
          <w:color w:val="0000FF"/>
          <w:rtl/>
        </w:rPr>
        <w:fldChar w:fldCharType="begin"/>
      </w:r>
      <w:r w:rsidRPr="005850BF">
        <w:rPr>
          <w:rFonts w:ascii="FrankRuehl" w:hAnsi="FrankRuehl" w:cs="FrankRuehl"/>
          <w:color w:val="0000FF"/>
          <w:rtl/>
        </w:rPr>
        <w:instrText xml:space="preserve"> </w:instrText>
      </w:r>
      <w:r w:rsidRPr="005850BF">
        <w:rPr>
          <w:rFonts w:ascii="FrankRuehl" w:hAnsi="FrankRuehl" w:cs="FrankRuehl"/>
          <w:color w:val="0000FF"/>
        </w:rPr>
        <w:instrText xml:space="preserve">HYPERLINK </w:instrText>
      </w:r>
      <w:r w:rsidRPr="005850BF">
        <w:rPr>
          <w:rFonts w:ascii="FrankRuehl" w:hAnsi="FrankRuehl" w:cs="FrankRuehl"/>
          <w:color w:val="0000FF"/>
          <w:rtl/>
        </w:rPr>
        <w:instrText>"</w:instrText>
      </w:r>
      <w:r w:rsidRPr="005850BF">
        <w:rPr>
          <w:rFonts w:ascii="FrankRuehl" w:hAnsi="FrankRuehl" w:cs="FrankRuehl"/>
          <w:color w:val="0000FF"/>
        </w:rPr>
        <w:instrText>http://www.nevo.co.il/safrut/bookgroup/412"</w:instrText>
      </w:r>
      <w:r w:rsidRPr="005850BF">
        <w:rPr>
          <w:rFonts w:ascii="FrankRuehl" w:hAnsi="FrankRuehl" w:cs="FrankRuehl"/>
          <w:color w:val="0000FF"/>
          <w:rtl/>
        </w:rPr>
        <w:instrText xml:space="preserve"> </w:instrText>
      </w:r>
      <w:r w:rsidRPr="005850BF">
        <w:rPr>
          <w:rFonts w:ascii="FrankRuehl" w:hAnsi="FrankRuehl" w:cs="FrankRuehl"/>
          <w:color w:val="0000FF"/>
          <w:rtl/>
        </w:rPr>
      </w:r>
      <w:r w:rsidRPr="005850BF">
        <w:rPr>
          <w:rFonts w:ascii="FrankRuehl" w:hAnsi="FrankRuehl" w:cs="FrankRuehl"/>
          <w:color w:val="0000FF"/>
          <w:rtl/>
        </w:rPr>
        <w:fldChar w:fldCharType="separate"/>
      </w:r>
      <w:r w:rsidRPr="005850BF">
        <w:rPr>
          <w:rStyle w:val="Hyperlink"/>
          <w:rFonts w:ascii="FrankRuehl" w:hAnsi="FrankRuehl" w:cs="FrankRuehl"/>
          <w:u w:val="none"/>
          <w:rtl/>
        </w:rPr>
        <w:t xml:space="preserve">ש"ז פלר  </w:t>
      </w:r>
      <w:r w:rsidRPr="005850BF">
        <w:rPr>
          <w:rStyle w:val="Hyperlink"/>
          <w:rFonts w:ascii="FrankRuehl" w:hAnsi="FrankRuehl" w:cs="FrankRuehl"/>
          <w:u w:val="none"/>
        </w:rPr>
        <w:t xml:space="preserve"> </w:t>
      </w:r>
      <w:r w:rsidRPr="005850BF">
        <w:rPr>
          <w:rStyle w:val="Hyperlink"/>
          <w:rFonts w:ascii="FrankRuehl" w:hAnsi="FrankRuehl" w:cs="FrankRuehl"/>
          <w:b/>
          <w:bCs/>
          <w:u w:val="none"/>
          <w:rtl/>
        </w:rPr>
        <w:t xml:space="preserve">יסודות בדיני עונשין </w:t>
      </w:r>
    </w:p>
    <w:p w14:paraId="59B8061E" w14:textId="77777777" w:rsidR="005850BF" w:rsidRDefault="005850BF" w:rsidP="005850BF">
      <w:pPr>
        <w:spacing w:after="120" w:line="240" w:lineRule="exact"/>
        <w:ind w:left="283" w:hanging="283"/>
        <w:jc w:val="both"/>
        <w:rPr>
          <w:color w:val="0000FF"/>
          <w:sz w:val="26"/>
          <w:szCs w:val="26"/>
        </w:rPr>
      </w:pPr>
      <w:r w:rsidRPr="005850BF">
        <w:rPr>
          <w:rFonts w:ascii="FrankRuehl" w:hAnsi="FrankRuehl" w:cs="FrankRuehl"/>
          <w:color w:val="0000FF"/>
          <w:rtl/>
        </w:rPr>
        <w:fldChar w:fldCharType="end"/>
      </w:r>
      <w:bookmarkStart w:id="4" w:name="Links_End"/>
      <w:bookmarkStart w:id="5" w:name="LawTable"/>
      <w:bookmarkEnd w:id="4"/>
      <w:bookmarkEnd w:id="5"/>
    </w:p>
    <w:p w14:paraId="03CF9461" w14:textId="77777777" w:rsidR="005850BF" w:rsidRPr="005850BF" w:rsidRDefault="005850BF" w:rsidP="005850BF">
      <w:pPr>
        <w:spacing w:before="120" w:after="120" w:line="240" w:lineRule="exact"/>
        <w:ind w:left="283" w:hanging="283"/>
        <w:jc w:val="both"/>
        <w:rPr>
          <w:rFonts w:ascii="FrankRuehl" w:hAnsi="FrankRuehl" w:cs="FrankRuehl"/>
          <w:color w:val="0000FF"/>
        </w:rPr>
      </w:pPr>
    </w:p>
    <w:p w14:paraId="4D7BFACB" w14:textId="77777777" w:rsidR="005850BF" w:rsidRPr="005850BF" w:rsidRDefault="005850BF" w:rsidP="005850BF">
      <w:pPr>
        <w:spacing w:before="120" w:after="120" w:line="240" w:lineRule="exact"/>
        <w:ind w:left="283" w:hanging="283"/>
        <w:jc w:val="both"/>
        <w:rPr>
          <w:rFonts w:ascii="FrankRuehl" w:hAnsi="FrankRuehl" w:cs="FrankRuehl"/>
          <w:color w:val="0000FF"/>
          <w:rtl/>
        </w:rPr>
      </w:pPr>
    </w:p>
    <w:p w14:paraId="2851285F" w14:textId="77777777" w:rsidR="005850BF" w:rsidRPr="005850BF" w:rsidRDefault="005850BF" w:rsidP="005850BF">
      <w:pPr>
        <w:spacing w:before="120" w:after="120" w:line="240" w:lineRule="exact"/>
        <w:ind w:left="283" w:hanging="283"/>
        <w:jc w:val="both"/>
        <w:rPr>
          <w:rFonts w:ascii="FrankRuehl" w:hAnsi="FrankRuehl" w:cs="FrankRuehl"/>
          <w:color w:val="0000FF"/>
        </w:rPr>
      </w:pPr>
      <w:r w:rsidRPr="005850BF">
        <w:rPr>
          <w:rFonts w:ascii="FrankRuehl" w:hAnsi="FrankRuehl" w:cs="FrankRuehl"/>
          <w:color w:val="0000FF"/>
          <w:rtl/>
        </w:rPr>
        <w:t xml:space="preserve">חקיקה שאוזכרה: </w:t>
      </w:r>
    </w:p>
    <w:p w14:paraId="4C868A32" w14:textId="77777777" w:rsidR="005850BF" w:rsidRPr="005850BF" w:rsidRDefault="005850BF" w:rsidP="005850BF">
      <w:pPr>
        <w:spacing w:before="120" w:after="120" w:line="240" w:lineRule="exact"/>
        <w:ind w:left="283" w:hanging="283"/>
        <w:jc w:val="both"/>
        <w:rPr>
          <w:rFonts w:ascii="FrankRuehl" w:hAnsi="FrankRuehl" w:cs="FrankRuehl"/>
        </w:rPr>
      </w:pPr>
      <w:hyperlink r:id="rId6" w:history="1">
        <w:r w:rsidRPr="005850BF">
          <w:rPr>
            <w:rFonts w:ascii="FrankRuehl" w:hAnsi="FrankRuehl" w:cs="FrankRuehl"/>
            <w:color w:val="0000FF"/>
            <w:rtl/>
          </w:rPr>
          <w:t>חוק העונשין, תשל"ז-1977</w:t>
        </w:r>
      </w:hyperlink>
      <w:r w:rsidRPr="005850BF">
        <w:rPr>
          <w:rFonts w:ascii="FrankRuehl" w:hAnsi="FrankRuehl" w:cs="FrankRuehl"/>
        </w:rPr>
        <w:t xml:space="preserve">: </w:t>
      </w:r>
      <w:r w:rsidRPr="005850BF">
        <w:rPr>
          <w:rFonts w:ascii="FrankRuehl" w:hAnsi="FrankRuehl" w:cs="FrankRuehl"/>
          <w:rtl/>
        </w:rPr>
        <w:t>סע</w:t>
      </w:r>
      <w:r w:rsidRPr="005850BF">
        <w:rPr>
          <w:rFonts w:ascii="FrankRuehl" w:hAnsi="FrankRuehl" w:cs="FrankRuehl"/>
        </w:rPr>
        <w:t xml:space="preserve">'  </w:t>
      </w:r>
      <w:hyperlink r:id="rId7" w:history="1">
        <w:r w:rsidRPr="005850BF">
          <w:rPr>
            <w:rFonts w:ascii="FrankRuehl" w:hAnsi="FrankRuehl" w:cs="FrankRuehl"/>
            <w:color w:val="0000FF"/>
          </w:rPr>
          <w:t>40</w:t>
        </w:r>
        <w:r w:rsidRPr="005850BF">
          <w:rPr>
            <w:rFonts w:ascii="FrankRuehl" w:hAnsi="FrankRuehl" w:cs="FrankRuehl"/>
            <w:color w:val="0000FF"/>
            <w:rtl/>
          </w:rPr>
          <w:t>ד</w:t>
        </w:r>
        <w:r w:rsidRPr="005850BF">
          <w:rPr>
            <w:rFonts w:ascii="FrankRuehl" w:hAnsi="FrankRuehl" w:cs="FrankRuehl"/>
            <w:color w:val="0000FF"/>
          </w:rPr>
          <w:t>'</w:t>
        </w:r>
      </w:hyperlink>
      <w:r w:rsidRPr="005850BF">
        <w:rPr>
          <w:rFonts w:ascii="FrankRuehl" w:hAnsi="FrankRuehl" w:cs="FrankRuehl"/>
        </w:rPr>
        <w:t xml:space="preserve">, </w:t>
      </w:r>
      <w:hyperlink r:id="rId8" w:history="1">
        <w:r w:rsidRPr="005850BF">
          <w:rPr>
            <w:rFonts w:ascii="FrankRuehl" w:hAnsi="FrankRuehl" w:cs="FrankRuehl"/>
            <w:color w:val="0000FF"/>
          </w:rPr>
          <w:t xml:space="preserve">40 </w:t>
        </w:r>
        <w:r w:rsidRPr="005850BF">
          <w:rPr>
            <w:rFonts w:ascii="FrankRuehl" w:hAnsi="FrankRuehl" w:cs="FrankRuehl"/>
            <w:color w:val="0000FF"/>
            <w:rtl/>
          </w:rPr>
          <w:t>ה</w:t>
        </w:r>
        <w:r w:rsidRPr="005850BF">
          <w:rPr>
            <w:rFonts w:ascii="FrankRuehl" w:hAnsi="FrankRuehl" w:cs="FrankRuehl"/>
            <w:color w:val="0000FF"/>
          </w:rPr>
          <w:t>'</w:t>
        </w:r>
      </w:hyperlink>
      <w:r w:rsidRPr="005850BF">
        <w:rPr>
          <w:rFonts w:ascii="FrankRuehl" w:hAnsi="FrankRuehl" w:cs="FrankRuehl"/>
        </w:rPr>
        <w:t xml:space="preserve">, </w:t>
      </w:r>
      <w:hyperlink r:id="rId9" w:history="1">
        <w:r w:rsidRPr="005850BF">
          <w:rPr>
            <w:rFonts w:ascii="FrankRuehl" w:hAnsi="FrankRuehl" w:cs="FrankRuehl"/>
            <w:color w:val="0000FF"/>
          </w:rPr>
          <w:t>40</w:t>
        </w:r>
        <w:r w:rsidRPr="005850BF">
          <w:rPr>
            <w:rFonts w:ascii="FrankRuehl" w:hAnsi="FrankRuehl" w:cs="FrankRuehl"/>
            <w:color w:val="0000FF"/>
            <w:rtl/>
          </w:rPr>
          <w:t>ט</w:t>
        </w:r>
        <w:r w:rsidRPr="005850BF">
          <w:rPr>
            <w:rFonts w:ascii="FrankRuehl" w:hAnsi="FrankRuehl" w:cs="FrankRuehl"/>
            <w:color w:val="0000FF"/>
          </w:rPr>
          <w:t>'</w:t>
        </w:r>
      </w:hyperlink>
      <w:r w:rsidRPr="005850BF">
        <w:rPr>
          <w:rFonts w:ascii="FrankRuehl" w:hAnsi="FrankRuehl" w:cs="FrankRuehl"/>
        </w:rPr>
        <w:t xml:space="preserve">, </w:t>
      </w:r>
      <w:hyperlink r:id="rId10" w:history="1">
        <w:r w:rsidRPr="005850BF">
          <w:rPr>
            <w:rFonts w:ascii="FrankRuehl" w:hAnsi="FrankRuehl" w:cs="FrankRuehl"/>
            <w:color w:val="0000FF"/>
          </w:rPr>
          <w:t>144(</w:t>
        </w:r>
        <w:r w:rsidRPr="005850BF">
          <w:rPr>
            <w:rFonts w:ascii="FrankRuehl" w:hAnsi="FrankRuehl" w:cs="FrankRuehl"/>
            <w:color w:val="0000FF"/>
            <w:rtl/>
          </w:rPr>
          <w:t>א</w:t>
        </w:r>
        <w:r w:rsidRPr="005850BF">
          <w:rPr>
            <w:rFonts w:ascii="FrankRuehl" w:hAnsi="FrankRuehl" w:cs="FrankRuehl"/>
            <w:color w:val="0000FF"/>
          </w:rPr>
          <w:t>)(</w:t>
        </w:r>
      </w:hyperlink>
      <w:r w:rsidRPr="005850BF">
        <w:rPr>
          <w:rFonts w:ascii="FrankRuehl" w:hAnsi="FrankRuehl" w:cs="FrankRuehl"/>
        </w:rPr>
        <w:t xml:space="preserve">, </w:t>
      </w:r>
      <w:hyperlink r:id="rId11" w:history="1">
        <w:r w:rsidRPr="005850BF">
          <w:rPr>
            <w:rFonts w:ascii="FrankRuehl" w:hAnsi="FrankRuehl" w:cs="FrankRuehl"/>
            <w:color w:val="0000FF"/>
          </w:rPr>
          <w:t>40</w:t>
        </w:r>
        <w:r w:rsidRPr="005850BF">
          <w:rPr>
            <w:rFonts w:ascii="FrankRuehl" w:hAnsi="FrankRuehl" w:cs="FrankRuehl"/>
            <w:color w:val="0000FF"/>
            <w:rtl/>
          </w:rPr>
          <w:t>יא</w:t>
        </w:r>
        <w:r w:rsidRPr="005850BF">
          <w:rPr>
            <w:rFonts w:ascii="FrankRuehl" w:hAnsi="FrankRuehl" w:cs="FrankRuehl"/>
            <w:color w:val="0000FF"/>
          </w:rPr>
          <w:t>'</w:t>
        </w:r>
      </w:hyperlink>
    </w:p>
    <w:p w14:paraId="60707727" w14:textId="77777777" w:rsidR="005850BF" w:rsidRPr="005850BF" w:rsidRDefault="005850BF" w:rsidP="005850BF">
      <w:pPr>
        <w:spacing w:after="120" w:line="240" w:lineRule="exact"/>
        <w:ind w:left="283" w:hanging="283"/>
        <w:jc w:val="both"/>
        <w:rPr>
          <w:sz w:val="26"/>
          <w:szCs w:val="26"/>
        </w:rPr>
      </w:pPr>
      <w:bookmarkStart w:id="6" w:name="LawTable_End"/>
      <w:bookmarkEnd w:id="6"/>
    </w:p>
    <w:p w14:paraId="55980EF3" w14:textId="77777777" w:rsidR="00794B39" w:rsidRPr="005850BF" w:rsidRDefault="00794B39" w:rsidP="005850BF">
      <w:pPr>
        <w:spacing w:after="120" w:line="240" w:lineRule="exact"/>
        <w:ind w:left="283" w:hanging="283"/>
        <w:jc w:val="both"/>
        <w:rPr>
          <w:color w:val="0000FF"/>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94B39" w14:paraId="79FE587D" w14:textId="77777777" w:rsidTr="00794B39">
        <w:trPr>
          <w:trHeight w:val="355"/>
          <w:jc w:val="center"/>
        </w:trPr>
        <w:tc>
          <w:tcPr>
            <w:tcW w:w="8820" w:type="dxa"/>
            <w:tcBorders>
              <w:top w:val="nil"/>
              <w:left w:val="nil"/>
              <w:bottom w:val="nil"/>
              <w:right w:val="nil"/>
            </w:tcBorders>
            <w:shd w:val="clear" w:color="auto" w:fill="auto"/>
          </w:tcPr>
          <w:p w14:paraId="45825CD0" w14:textId="77777777" w:rsidR="00BB70E4" w:rsidRPr="00BB70E4" w:rsidRDefault="00BB70E4" w:rsidP="00BB70E4">
            <w:pPr>
              <w:jc w:val="center"/>
              <w:rPr>
                <w:rFonts w:ascii="David" w:hAnsi="David"/>
                <w:b/>
                <w:bCs/>
                <w:sz w:val="32"/>
                <w:szCs w:val="32"/>
                <w:u w:val="single"/>
                <w:rtl/>
              </w:rPr>
            </w:pPr>
            <w:bookmarkStart w:id="7" w:name="PsakDin" w:colFirst="0" w:colLast="0"/>
            <w:bookmarkEnd w:id="0"/>
            <w:r w:rsidRPr="00BB70E4">
              <w:rPr>
                <w:rFonts w:ascii="David" w:hAnsi="David"/>
                <w:b/>
                <w:bCs/>
                <w:sz w:val="32"/>
                <w:szCs w:val="32"/>
                <w:u w:val="single"/>
                <w:rtl/>
              </w:rPr>
              <w:t>גזר דין</w:t>
            </w:r>
          </w:p>
          <w:p w14:paraId="352F7DEA" w14:textId="77777777" w:rsidR="00794B39" w:rsidRPr="00BB70E4" w:rsidRDefault="00794B39" w:rsidP="00BB70E4">
            <w:pPr>
              <w:jc w:val="center"/>
              <w:rPr>
                <w:rFonts w:ascii="David" w:hAnsi="David"/>
                <w:bCs/>
                <w:sz w:val="32"/>
                <w:szCs w:val="32"/>
                <w:u w:val="single"/>
                <w:rtl/>
              </w:rPr>
            </w:pPr>
          </w:p>
        </w:tc>
      </w:tr>
      <w:bookmarkEnd w:id="7"/>
    </w:tbl>
    <w:p w14:paraId="2D95B57D" w14:textId="77777777" w:rsidR="00794B39" w:rsidRPr="000F2247" w:rsidRDefault="00794B39" w:rsidP="00794B39">
      <w:pPr>
        <w:rPr>
          <w:rFonts w:ascii="Arial" w:hAnsi="Arial"/>
          <w:b/>
          <w:bCs/>
          <w:sz w:val="26"/>
          <w:szCs w:val="26"/>
          <w:rtl/>
        </w:rPr>
      </w:pPr>
    </w:p>
    <w:p w14:paraId="63603C79" w14:textId="77777777" w:rsidR="00794B39" w:rsidRDefault="00794B39" w:rsidP="00794B39">
      <w:pPr>
        <w:spacing w:line="360" w:lineRule="auto"/>
        <w:jc w:val="both"/>
        <w:rPr>
          <w:rFonts w:ascii="Arial" w:hAnsi="Arial"/>
          <w:rtl/>
        </w:rPr>
      </w:pPr>
      <w:bookmarkStart w:id="8" w:name="ABSTRACT_START"/>
      <w:bookmarkEnd w:id="8"/>
      <w:r w:rsidRPr="00191529">
        <w:rPr>
          <w:rFonts w:ascii="Arial" w:hAnsi="Arial" w:hint="cs"/>
          <w:rtl/>
        </w:rPr>
        <w:t xml:space="preserve">הנאשם הורשע על פי הודאתו בעבירות </w:t>
      </w:r>
      <w:r>
        <w:rPr>
          <w:rFonts w:ascii="Arial" w:hAnsi="Arial" w:hint="cs"/>
          <w:rtl/>
        </w:rPr>
        <w:t xml:space="preserve">החזקת </w:t>
      </w:r>
      <w:r w:rsidRPr="00191529">
        <w:rPr>
          <w:rFonts w:ascii="Arial" w:hAnsi="Arial" w:hint="cs"/>
          <w:rtl/>
        </w:rPr>
        <w:t xml:space="preserve">נשק </w:t>
      </w:r>
      <w:r w:rsidRPr="00191529">
        <w:rPr>
          <w:rFonts w:ascii="Arial" w:hAnsi="Arial"/>
          <w:rtl/>
        </w:rPr>
        <w:t>–</w:t>
      </w:r>
      <w:r w:rsidRPr="00191529">
        <w:rPr>
          <w:rFonts w:ascii="Arial" w:hAnsi="Arial" w:hint="cs"/>
          <w:rtl/>
        </w:rPr>
        <w:t xml:space="preserve"> לפי סעיף </w:t>
      </w:r>
      <w:hyperlink r:id="rId12" w:history="1">
        <w:r w:rsidR="00450AD9" w:rsidRPr="00450AD9">
          <w:rPr>
            <w:rStyle w:val="Hyperlink"/>
            <w:rFonts w:ascii="Arial" w:hAnsi="Arial"/>
            <w:rtl/>
          </w:rPr>
          <w:t>144(א)(</w:t>
        </w:r>
      </w:hyperlink>
      <w:r w:rsidRPr="00191529">
        <w:rPr>
          <w:rFonts w:ascii="Arial" w:hAnsi="Arial" w:hint="cs"/>
          <w:rtl/>
        </w:rPr>
        <w:t>רישא+סיפא) ל</w:t>
      </w:r>
      <w:hyperlink r:id="rId13" w:history="1">
        <w:r w:rsidR="00BB70E4" w:rsidRPr="00BB70E4">
          <w:rPr>
            <w:rFonts w:ascii="Arial" w:hAnsi="Arial"/>
            <w:color w:val="0000FF"/>
            <w:u w:val="single"/>
            <w:rtl/>
          </w:rPr>
          <w:t>חוק העונשין</w:t>
        </w:r>
      </w:hyperlink>
      <w:r w:rsidRPr="00191529">
        <w:rPr>
          <w:rFonts w:ascii="Arial" w:hAnsi="Arial" w:hint="cs"/>
          <w:rtl/>
        </w:rPr>
        <w:t xml:space="preserve">, תשל"ז </w:t>
      </w:r>
      <w:r w:rsidRPr="00191529">
        <w:rPr>
          <w:rFonts w:ascii="Arial" w:hAnsi="Arial"/>
          <w:rtl/>
        </w:rPr>
        <w:t>–</w:t>
      </w:r>
      <w:r w:rsidRPr="00191529">
        <w:rPr>
          <w:rFonts w:ascii="Arial" w:hAnsi="Arial" w:hint="cs"/>
          <w:rtl/>
        </w:rPr>
        <w:t xml:space="preserve"> 1977. </w:t>
      </w:r>
    </w:p>
    <w:p w14:paraId="7DFCD368" w14:textId="77777777" w:rsidR="00794B39" w:rsidRDefault="00794B39" w:rsidP="00794B39">
      <w:pPr>
        <w:spacing w:line="360" w:lineRule="auto"/>
        <w:jc w:val="both"/>
        <w:rPr>
          <w:rFonts w:ascii="Arial" w:hAnsi="Arial"/>
          <w:rtl/>
        </w:rPr>
      </w:pPr>
    </w:p>
    <w:p w14:paraId="67473ABC" w14:textId="77777777" w:rsidR="00794B39" w:rsidRDefault="00794B39" w:rsidP="00794B39">
      <w:pPr>
        <w:spacing w:line="360" w:lineRule="auto"/>
        <w:jc w:val="both"/>
        <w:rPr>
          <w:rFonts w:ascii="Arial" w:hAnsi="Arial"/>
          <w:rtl/>
        </w:rPr>
      </w:pPr>
      <w:r>
        <w:rPr>
          <w:rFonts w:ascii="Arial" w:hAnsi="Arial" w:hint="cs"/>
          <w:rtl/>
        </w:rPr>
        <w:t>על פי עובדות כתב האישום, בתאריך 30/10/22, התגורר הנאשם בשכונת אלמידאן באום אל פאחם (להלן:</w:t>
      </w:r>
      <w:r w:rsidRPr="00B36EA7">
        <w:rPr>
          <w:rFonts w:ascii="Arial" w:hAnsi="Arial" w:hint="cs"/>
          <w:b/>
          <w:bCs/>
          <w:rtl/>
        </w:rPr>
        <w:t>"הבית"</w:t>
      </w:r>
      <w:r>
        <w:rPr>
          <w:rFonts w:ascii="Arial" w:hAnsi="Arial" w:hint="cs"/>
          <w:rtl/>
        </w:rPr>
        <w:t>). סמוך לשעה 09:00, החזיק הנאשם בשקית בתוך ארון המוצב במקלחת הבית, נשק מסוג תת מקלע מאולתר בצבע שחור, אשר מסוגל לירות כדור ובכוחו להמית אדם, ונשק מסוג תת מקלע בצבע אפור, אשר מסוגל לירות כדור ובכוחו להמית אדם, וכן מחסנית ריקה מכדורים המתאימה לתת מקלע עוזי, אשר הוסבה לשימוש עם חפץ דמוי תת מקלע מאולתר (להלן:"</w:t>
      </w:r>
      <w:r w:rsidRPr="00B36EA7">
        <w:rPr>
          <w:rFonts w:ascii="Arial" w:hAnsi="Arial" w:hint="cs"/>
          <w:b/>
          <w:bCs/>
          <w:rtl/>
        </w:rPr>
        <w:t>כלי הנשק"</w:t>
      </w:r>
      <w:r>
        <w:rPr>
          <w:rFonts w:ascii="Arial" w:hAnsi="Arial" w:hint="cs"/>
          <w:rtl/>
        </w:rPr>
        <w:t xml:space="preserve">), כל זאת, עשה הנאשם בלא רשות על פי דין להחזקתם. </w:t>
      </w:r>
    </w:p>
    <w:p w14:paraId="32A5252D" w14:textId="77777777" w:rsidR="00794B39" w:rsidRPr="00191529" w:rsidRDefault="00794B39" w:rsidP="00794B39">
      <w:pPr>
        <w:spacing w:line="360" w:lineRule="auto"/>
        <w:jc w:val="both"/>
        <w:rPr>
          <w:rFonts w:ascii="Arial" w:hAnsi="Arial"/>
          <w:rtl/>
        </w:rPr>
      </w:pPr>
      <w:bookmarkStart w:id="9" w:name="ABSTRACT_END"/>
      <w:bookmarkEnd w:id="9"/>
      <w:r>
        <w:rPr>
          <w:rFonts w:ascii="Arial" w:hAnsi="Arial" w:hint="cs"/>
          <w:rtl/>
        </w:rPr>
        <w:t xml:space="preserve">במעשיו המתוארים לעיל, החזיק הנאשם שני כלי נשק ומחסנית המהווה אביזר לנשק, בלא רשות על פי דין להחזקתם. </w:t>
      </w:r>
    </w:p>
    <w:p w14:paraId="048FF1E3" w14:textId="77777777" w:rsidR="00794B39" w:rsidRDefault="00794B39" w:rsidP="00794B39">
      <w:pPr>
        <w:spacing w:line="360" w:lineRule="auto"/>
        <w:jc w:val="both"/>
        <w:rPr>
          <w:rFonts w:ascii="Arial" w:hAnsi="Arial"/>
          <w:rtl/>
        </w:rPr>
      </w:pPr>
    </w:p>
    <w:p w14:paraId="213F5055" w14:textId="77777777" w:rsidR="00794B39" w:rsidRDefault="00794B39" w:rsidP="00794B39">
      <w:pPr>
        <w:spacing w:line="360" w:lineRule="auto"/>
        <w:jc w:val="both"/>
        <w:rPr>
          <w:rFonts w:ascii="Arial" w:hAnsi="Arial"/>
          <w:rtl/>
        </w:rPr>
      </w:pPr>
      <w:r>
        <w:rPr>
          <w:rFonts w:ascii="Arial" w:hAnsi="Arial" w:hint="cs"/>
          <w:rtl/>
        </w:rPr>
        <w:t xml:space="preserve">בתאריך 26/1/23 נשמעו בפני טיעוני הצדדים לעניין העונש, כאשר מטעם המאשימה הוגשו טיעונים בכתב (סומנו ת/1). </w:t>
      </w:r>
    </w:p>
    <w:p w14:paraId="14F98F91" w14:textId="77777777" w:rsidR="00794B39" w:rsidRDefault="00794B39" w:rsidP="00794B39">
      <w:pPr>
        <w:spacing w:line="360" w:lineRule="auto"/>
        <w:jc w:val="both"/>
        <w:rPr>
          <w:rFonts w:ascii="Arial" w:hAnsi="Arial"/>
          <w:rtl/>
        </w:rPr>
      </w:pPr>
    </w:p>
    <w:p w14:paraId="45057A7A" w14:textId="77777777" w:rsidR="00794B39" w:rsidRDefault="00794B39" w:rsidP="00794B39">
      <w:pPr>
        <w:spacing w:line="360" w:lineRule="auto"/>
        <w:jc w:val="both"/>
        <w:rPr>
          <w:rFonts w:ascii="Arial" w:hAnsi="Arial"/>
          <w:rtl/>
        </w:rPr>
      </w:pPr>
      <w:r>
        <w:rPr>
          <w:rFonts w:ascii="Arial" w:hAnsi="Arial" w:hint="cs"/>
          <w:rtl/>
        </w:rPr>
        <w:t xml:space="preserve">במסגרת טיעוניה הפנתה המאשימה לנסיבות ביצוע העבירות, לעובדה כי עסקינן בנאשם שהחזיק  שני כלי נשק ומחסנית כמפורט בעובדות כתב האישום, ובנסיבות אלה, על פי הפסיקה אשר אוזכרה ע"י המאשימה כך גם לאור מדיניות הענישה הנוהגת, עתרה המאשימה להטלת מאסר בפועל לתקופה שבין 3-5 שנים לצד הטלת ענישה הצופה פני עתיד וקנס כספי. באשר לנסיבות שאינן קשורות בביצוע העבירה ביקשה המאשימה למקם את עונשו של הנאשם בשליש התחתון של מתחם הענישה הנ"ל. </w:t>
      </w:r>
    </w:p>
    <w:p w14:paraId="7E387B20" w14:textId="77777777" w:rsidR="00794B39" w:rsidRDefault="00794B39" w:rsidP="00794B39">
      <w:pPr>
        <w:spacing w:line="360" w:lineRule="auto"/>
        <w:jc w:val="both"/>
        <w:rPr>
          <w:rFonts w:ascii="Arial" w:hAnsi="Arial"/>
          <w:rtl/>
        </w:rPr>
      </w:pPr>
    </w:p>
    <w:p w14:paraId="57D86E8A" w14:textId="77777777" w:rsidR="00794B39" w:rsidRDefault="00794B39" w:rsidP="00794B39">
      <w:pPr>
        <w:spacing w:line="360" w:lineRule="auto"/>
        <w:jc w:val="both"/>
        <w:rPr>
          <w:rFonts w:ascii="Arial" w:hAnsi="Arial"/>
          <w:rtl/>
        </w:rPr>
      </w:pPr>
      <w:r>
        <w:rPr>
          <w:rFonts w:ascii="Arial" w:hAnsi="Arial" w:hint="cs"/>
          <w:rtl/>
        </w:rPr>
        <w:t xml:space="preserve">מנגד, ב"כ הנאשם ביקשה להפנות לנסיבותיו האישיות של הנאשם, לדבריה של אמו שנכחה באולם בית המשפט שהביעה פליאה רבה אודות מעורבותו של בנה בעבירות מושא הליך זה שלפני, כך גם הדגישה האם את הנסיבות הרפואיות של אחות הנאשם איתן מתמודדת האחות ובאופן טבעי המשפחה כולה. </w:t>
      </w:r>
    </w:p>
    <w:p w14:paraId="25157DF9" w14:textId="77777777" w:rsidR="00794B39" w:rsidRDefault="00794B39" w:rsidP="00794B39">
      <w:pPr>
        <w:spacing w:line="360" w:lineRule="auto"/>
        <w:jc w:val="both"/>
        <w:rPr>
          <w:rFonts w:ascii="Arial" w:hAnsi="Arial"/>
          <w:rtl/>
        </w:rPr>
      </w:pPr>
    </w:p>
    <w:p w14:paraId="448E8B21" w14:textId="77777777" w:rsidR="00794B39" w:rsidRDefault="00794B39" w:rsidP="00794B39">
      <w:pPr>
        <w:spacing w:line="360" w:lineRule="auto"/>
        <w:jc w:val="both"/>
        <w:rPr>
          <w:rFonts w:ascii="Arial" w:hAnsi="Arial"/>
          <w:rtl/>
        </w:rPr>
      </w:pPr>
      <w:r>
        <w:rPr>
          <w:rFonts w:ascii="Arial" w:hAnsi="Arial" w:hint="cs"/>
          <w:rtl/>
        </w:rPr>
        <w:t xml:space="preserve">לדברי ב"כ הנאשם יש לקחת בחשבון את העובדה שהנאשם הודה, חסך זמן שיפוטי יקר, הנשק נתפס בבית נטוש. ב"כ הנאשם סבורה שהפסיקה שהוצגה מטעם המאשימה שונה באופן משמעותי מנסיבות ענייננו, ולכן עתרה במסגרת טיעוניה לקביעת מתחם ענישה שנע בין 8-18 חודשי מאסר לצד ענישה הצופה פני עתיד ובתוך המתחם ביקשה למקם את עונשו של הנאשם לתקופת מאסר שבין 10-12 חודשי מאסר בפועל, וזאת מאחר ומדובר בשני כלי נשק. </w:t>
      </w:r>
    </w:p>
    <w:p w14:paraId="2B7C4A61" w14:textId="77777777" w:rsidR="00794B39" w:rsidRDefault="00794B39" w:rsidP="00794B39">
      <w:pPr>
        <w:spacing w:line="360" w:lineRule="auto"/>
        <w:jc w:val="both"/>
        <w:rPr>
          <w:rFonts w:ascii="Arial" w:hAnsi="Arial"/>
          <w:rtl/>
        </w:rPr>
      </w:pPr>
    </w:p>
    <w:p w14:paraId="5A3E3976" w14:textId="77777777" w:rsidR="00794B39" w:rsidRDefault="00794B39" w:rsidP="00794B39">
      <w:pPr>
        <w:spacing w:line="360" w:lineRule="auto"/>
        <w:jc w:val="both"/>
        <w:rPr>
          <w:rFonts w:ascii="Arial" w:hAnsi="Arial"/>
          <w:rtl/>
        </w:rPr>
      </w:pPr>
      <w:r>
        <w:rPr>
          <w:rFonts w:ascii="Arial" w:hAnsi="Arial" w:hint="cs"/>
          <w:rtl/>
        </w:rPr>
        <w:t xml:space="preserve">ב"כ הנאשם ציינה שמתחם הענישה אשר הוצג על ידה נתמך בפסיקה שאוזכרה בטיעוניה, לעמדתה הענישה ביחס לעבירות בהן הורשע הנאשם היא מגוונת ונמצאת על מנעד רחב, ויש להתאימה לנסיבות המעשה והעושה וזאת בין היתר לאור העובדה שהנשק שנתפס לא נתפס בדירת מגורים אלא במקום אחר, כך גם מדובר בנאשם ללא עבר פלילי מכביד, הרשעתו היחידה התיישנה ומקורה מבית משפט השלום לנוער. </w:t>
      </w:r>
    </w:p>
    <w:p w14:paraId="202F55FC" w14:textId="77777777" w:rsidR="00794B39" w:rsidRDefault="00794B39" w:rsidP="00794B39">
      <w:pPr>
        <w:spacing w:line="360" w:lineRule="auto"/>
        <w:jc w:val="both"/>
        <w:rPr>
          <w:rFonts w:ascii="Arial" w:hAnsi="Arial"/>
          <w:rtl/>
        </w:rPr>
      </w:pPr>
    </w:p>
    <w:p w14:paraId="53027086" w14:textId="77777777" w:rsidR="00794B39" w:rsidRPr="00B14F22" w:rsidRDefault="00794B39" w:rsidP="00794B39">
      <w:pPr>
        <w:spacing w:line="360" w:lineRule="auto"/>
        <w:jc w:val="both"/>
        <w:rPr>
          <w:rFonts w:ascii="Arial" w:hAnsi="Arial"/>
          <w:b/>
          <w:bCs/>
          <w:rtl/>
        </w:rPr>
      </w:pPr>
      <w:r>
        <w:rPr>
          <w:rFonts w:ascii="Arial" w:hAnsi="Arial" w:hint="cs"/>
          <w:rtl/>
        </w:rPr>
        <w:t>הנאשם ביקש אף הוא לומר את דברו וציין כדלהלן:</w:t>
      </w:r>
      <w:r w:rsidRPr="00B14F22">
        <w:rPr>
          <w:rFonts w:ascii="Arial" w:hAnsi="Arial" w:hint="cs"/>
          <w:b/>
          <w:bCs/>
          <w:rtl/>
        </w:rPr>
        <w:t xml:space="preserve">" אני טעיתי החזקתי נשק ואני מצטער ואני מבקש מבית המשפט להתחשב בי ובמשפחה שלי, אני מטפל באמי ובאחותי הקטנה. אין לי אב, ואני מטפל בבני משפחתי, אני מצטער". </w:t>
      </w:r>
    </w:p>
    <w:p w14:paraId="1FA3A590" w14:textId="77777777" w:rsidR="00794B39" w:rsidRDefault="00794B39" w:rsidP="00794B39">
      <w:pPr>
        <w:spacing w:line="360" w:lineRule="auto"/>
        <w:jc w:val="both"/>
        <w:rPr>
          <w:rFonts w:ascii="Arial" w:hAnsi="Arial"/>
          <w:rtl/>
        </w:rPr>
      </w:pPr>
    </w:p>
    <w:p w14:paraId="641359D4" w14:textId="77777777" w:rsidR="00794B39" w:rsidRPr="00B14F22" w:rsidRDefault="00794B39" w:rsidP="00794B39">
      <w:pPr>
        <w:spacing w:line="360" w:lineRule="auto"/>
        <w:jc w:val="both"/>
        <w:rPr>
          <w:rFonts w:ascii="Arial" w:hAnsi="Arial"/>
          <w:b/>
          <w:bCs/>
          <w:u w:val="single"/>
          <w:rtl/>
        </w:rPr>
      </w:pPr>
      <w:r w:rsidRPr="00B14F22">
        <w:rPr>
          <w:rFonts w:ascii="Arial" w:hAnsi="Arial" w:hint="cs"/>
          <w:b/>
          <w:bCs/>
          <w:u w:val="single"/>
          <w:rtl/>
        </w:rPr>
        <w:t xml:space="preserve">דיון והכרעה: </w:t>
      </w:r>
    </w:p>
    <w:p w14:paraId="556A1605" w14:textId="77777777" w:rsidR="00794B39" w:rsidRPr="00665F01" w:rsidRDefault="00794B39" w:rsidP="00794B39">
      <w:pPr>
        <w:spacing w:line="360" w:lineRule="auto"/>
        <w:jc w:val="both"/>
        <w:rPr>
          <w:rFonts w:ascii="Arial" w:hAnsi="Arial"/>
          <w:rtl/>
        </w:rPr>
      </w:pPr>
      <w:r w:rsidRPr="00665F01">
        <w:rPr>
          <w:rFonts w:ascii="Arial" w:hAnsi="Arial"/>
          <w:rtl/>
        </w:rPr>
        <w:t>תיקון 113 ל</w:t>
      </w:r>
      <w:hyperlink r:id="rId14" w:history="1">
        <w:r w:rsidR="00BB70E4" w:rsidRPr="00BB70E4">
          <w:rPr>
            <w:rFonts w:ascii="Arial" w:hAnsi="Arial"/>
            <w:color w:val="0000FF"/>
            <w:u w:val="single"/>
            <w:rtl/>
          </w:rPr>
          <w:t>חוק העונשין</w:t>
        </w:r>
      </w:hyperlink>
      <w:r w:rsidRPr="00665F01">
        <w:rPr>
          <w:rFonts w:ascii="Arial" w:hAnsi="Arial"/>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w:t>
      </w:r>
      <w:r w:rsidRPr="00665F01">
        <w:rPr>
          <w:rFonts w:ascii="Arial" w:hAnsi="Arial"/>
          <w:rtl/>
        </w:rPr>
        <w:lastRenderedPageBreak/>
        <w:t>ובין סוג ומידת העונש המוטל עליו. בהתאם לתיקון לחוק, על בית המשפט</w:t>
      </w:r>
      <w:r>
        <w:rPr>
          <w:rFonts w:ascii="Arial" w:hAnsi="Arial"/>
          <w:rtl/>
        </w:rPr>
        <w:t xml:space="preserve"> לקבוע את מתחם העונש ההולם למעש</w:t>
      </w:r>
      <w:r>
        <w:rPr>
          <w:rFonts w:ascii="Arial" w:hAnsi="Arial" w:hint="cs"/>
          <w:rtl/>
        </w:rPr>
        <w:t>י</w:t>
      </w:r>
      <w:r w:rsidRPr="00665F01">
        <w:rPr>
          <w:rFonts w:ascii="Arial" w:hAnsi="Arial"/>
          <w:rtl/>
        </w:rPr>
        <w:t xml:space="preserve">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15" w:history="1">
        <w:r w:rsidR="00450AD9" w:rsidRPr="00450AD9">
          <w:rPr>
            <w:rStyle w:val="Hyperlink"/>
            <w:rFonts w:ascii="Arial" w:hAnsi="Arial"/>
            <w:rtl/>
          </w:rPr>
          <w:t>בסעיף 40ט'</w:t>
        </w:r>
      </w:hyperlink>
      <w:r w:rsidRPr="00665F01">
        <w:rPr>
          <w:rFonts w:ascii="Arial" w:hAnsi="Arial"/>
          <w:rtl/>
        </w:rPr>
        <w:t xml:space="preserve"> ל</w:t>
      </w:r>
      <w:hyperlink r:id="rId16" w:history="1">
        <w:r w:rsidR="00BB70E4" w:rsidRPr="00BB70E4">
          <w:rPr>
            <w:rFonts w:ascii="Arial" w:hAnsi="Arial"/>
            <w:color w:val="0000FF"/>
            <w:u w:val="single"/>
            <w:rtl/>
          </w:rPr>
          <w:t>חוק העונשין</w:t>
        </w:r>
      </w:hyperlink>
      <w:r w:rsidRPr="00665F01">
        <w:rPr>
          <w:rFonts w:ascii="Arial" w:hAnsi="Arial"/>
          <w:rtl/>
        </w:rPr>
        <w:t xml:space="preserve">. </w:t>
      </w:r>
    </w:p>
    <w:p w14:paraId="61DBAF42" w14:textId="77777777" w:rsidR="00794B39" w:rsidRPr="00665F01" w:rsidRDefault="00794B39" w:rsidP="00794B39">
      <w:pPr>
        <w:spacing w:line="360" w:lineRule="auto"/>
        <w:jc w:val="both"/>
        <w:rPr>
          <w:rFonts w:ascii="Arial" w:hAnsi="Arial"/>
          <w:rtl/>
        </w:rPr>
      </w:pPr>
    </w:p>
    <w:p w14:paraId="43DF50F7" w14:textId="77777777" w:rsidR="00794B39" w:rsidRPr="00665F01" w:rsidRDefault="00794B39" w:rsidP="00794B39">
      <w:pPr>
        <w:spacing w:line="360" w:lineRule="auto"/>
        <w:jc w:val="both"/>
        <w:rPr>
          <w:rFonts w:ascii="Arial" w:hAnsi="Arial"/>
          <w:rtl/>
        </w:rPr>
      </w:pPr>
      <w:r w:rsidRPr="00665F01">
        <w:rPr>
          <w:rFonts w:ascii="Arial" w:hAnsi="Arial"/>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17" w:history="1">
        <w:r w:rsidR="00450AD9" w:rsidRPr="00450AD9">
          <w:rPr>
            <w:rStyle w:val="Hyperlink"/>
            <w:rFonts w:ascii="Arial" w:hAnsi="Arial"/>
            <w:rtl/>
          </w:rPr>
          <w:t>בסעיף 40יא'</w:t>
        </w:r>
      </w:hyperlink>
      <w:r w:rsidRPr="00665F01">
        <w:rPr>
          <w:rFonts w:ascii="Arial" w:hAnsi="Arial"/>
          <w:rtl/>
        </w:rPr>
        <w:t xml:space="preserve"> לחוק. </w:t>
      </w:r>
    </w:p>
    <w:p w14:paraId="6931F356" w14:textId="77777777" w:rsidR="00794B39" w:rsidRPr="00665F01" w:rsidRDefault="00794B39" w:rsidP="00794B39">
      <w:pPr>
        <w:spacing w:line="360" w:lineRule="auto"/>
        <w:jc w:val="both"/>
        <w:rPr>
          <w:rFonts w:ascii="Arial" w:hAnsi="Arial"/>
          <w:rtl/>
        </w:rPr>
      </w:pPr>
    </w:p>
    <w:p w14:paraId="3C5121C1" w14:textId="77777777" w:rsidR="00794B39" w:rsidRDefault="00794B39" w:rsidP="00794B39">
      <w:pPr>
        <w:spacing w:line="360" w:lineRule="auto"/>
        <w:jc w:val="both"/>
        <w:rPr>
          <w:rFonts w:ascii="Arial" w:hAnsi="Arial"/>
          <w:rtl/>
        </w:rPr>
      </w:pPr>
      <w:r w:rsidRPr="00665F01">
        <w:rPr>
          <w:rFonts w:ascii="Arial" w:hAnsi="Arial"/>
          <w:rtl/>
        </w:rPr>
        <w:t xml:space="preserve">בית המשפט רשאי לחרוג ממתחם העונש ההולם בשל שיקולי שיקום או הגנה על שלום הציבור לפי </w:t>
      </w:r>
      <w:hyperlink r:id="rId18" w:history="1">
        <w:r w:rsidR="00450AD9" w:rsidRPr="00450AD9">
          <w:rPr>
            <w:rStyle w:val="Hyperlink"/>
            <w:rFonts w:ascii="Arial" w:hAnsi="Arial"/>
            <w:rtl/>
          </w:rPr>
          <w:t>סעיפים 40ד'</w:t>
        </w:r>
      </w:hyperlink>
      <w:r w:rsidRPr="00665F01">
        <w:rPr>
          <w:rFonts w:ascii="Arial" w:hAnsi="Arial"/>
          <w:rtl/>
        </w:rPr>
        <w:t xml:space="preserve"> ו</w:t>
      </w:r>
      <w:hyperlink r:id="rId19" w:history="1">
        <w:r w:rsidR="00450AD9" w:rsidRPr="00450AD9">
          <w:rPr>
            <w:rStyle w:val="Hyperlink"/>
            <w:rFonts w:ascii="Arial" w:hAnsi="Arial"/>
            <w:rtl/>
          </w:rPr>
          <w:t>40 ה'</w:t>
        </w:r>
      </w:hyperlink>
      <w:r w:rsidRPr="00665F01">
        <w:rPr>
          <w:rFonts w:ascii="Arial" w:hAnsi="Arial"/>
          <w:rtl/>
        </w:rPr>
        <w:t xml:space="preserve"> לחוק. </w:t>
      </w:r>
    </w:p>
    <w:p w14:paraId="0F88B817" w14:textId="77777777" w:rsidR="00794B39" w:rsidRDefault="00794B39" w:rsidP="00794B39">
      <w:pPr>
        <w:spacing w:line="360" w:lineRule="auto"/>
        <w:jc w:val="both"/>
        <w:rPr>
          <w:rFonts w:ascii="Arial" w:hAnsi="Arial"/>
          <w:rtl/>
        </w:rPr>
      </w:pPr>
    </w:p>
    <w:p w14:paraId="0B0B0F11" w14:textId="77777777" w:rsidR="00794B39" w:rsidRDefault="00794B39" w:rsidP="00794B39">
      <w:pPr>
        <w:spacing w:line="360" w:lineRule="auto"/>
        <w:jc w:val="both"/>
        <w:rPr>
          <w:rFonts w:ascii="Arial" w:hAnsi="Arial"/>
          <w:rtl/>
        </w:rPr>
      </w:pPr>
      <w:r>
        <w:rPr>
          <w:rFonts w:ascii="Arial" w:hAnsi="Arial" w:hint="cs"/>
          <w:rtl/>
        </w:rPr>
        <w:t xml:space="preserve">הערכים החברתיים שנפגעו ממעשי הנאשם הם שלום הציבור ובטחונו, הגנה על חיי אדם והסדר הציבורי. בשנים האחרונות הפסיקה החמירה את רף הענישה וחייבה לנקוט בגישה עונשית מחמירה ביחס למי שהורשע בעבירות של החזקת נשק שלא כחוק וזאת בין היתר בשל החשש שנשק אשר מוחזק אצל הנאשם עלול להגיע לידיים עברייניות או כאלה המעוניינות לפגוע בביטחון תושבי המדינה או בשלומם. </w:t>
      </w:r>
    </w:p>
    <w:p w14:paraId="424DC84E" w14:textId="77777777" w:rsidR="00794B39" w:rsidRPr="00BA116D" w:rsidRDefault="00794B39" w:rsidP="00794B39">
      <w:pPr>
        <w:spacing w:line="360" w:lineRule="auto"/>
        <w:jc w:val="both"/>
        <w:rPr>
          <w:rFonts w:ascii="David" w:hAnsi="David"/>
          <w:rtl/>
        </w:rPr>
      </w:pPr>
    </w:p>
    <w:p w14:paraId="3D0A3CF7" w14:textId="77777777" w:rsidR="00794B39" w:rsidRPr="00BA116D" w:rsidRDefault="00794B39" w:rsidP="00794B39">
      <w:pPr>
        <w:spacing w:line="360" w:lineRule="auto"/>
        <w:jc w:val="both"/>
        <w:rPr>
          <w:rFonts w:ascii="David" w:hAnsi="David"/>
          <w:sz w:val="22"/>
          <w:szCs w:val="22"/>
        </w:rPr>
      </w:pPr>
      <w:r w:rsidRPr="00BA116D">
        <w:rPr>
          <w:rFonts w:ascii="David" w:hAnsi="David"/>
          <w:rtl/>
        </w:rPr>
        <w:t xml:space="preserve">פסיקת בתי המשפט, במיוחד בשנים האחרונות, מחמירה מאוד בעבירה של החזקת נשק שלא כדין וזאת נוכח התופעה החמורה והמסוכנת של החזקת נשק בידיים שאינן מורשות לכך. החזקת נשק שלא </w:t>
      </w:r>
      <w:r>
        <w:rPr>
          <w:rFonts w:ascii="David" w:hAnsi="David"/>
          <w:rtl/>
        </w:rPr>
        <w:t>כדין יש בה כדי להוביל, ו</w:t>
      </w:r>
      <w:r w:rsidRPr="00BA116D">
        <w:rPr>
          <w:rFonts w:ascii="David" w:hAnsi="David"/>
          <w:rtl/>
        </w:rPr>
        <w:t>אכן מובילה בפועל, למקרים</w:t>
      </w:r>
      <w:r>
        <w:rPr>
          <w:rFonts w:ascii="David" w:hAnsi="David"/>
          <w:rtl/>
        </w:rPr>
        <w:t xml:space="preserve"> חמורים של שימוש מסוכן בנשק, </w:t>
      </w:r>
      <w:r>
        <w:rPr>
          <w:rFonts w:ascii="David" w:hAnsi="David" w:hint="cs"/>
          <w:rtl/>
        </w:rPr>
        <w:t>אם</w:t>
      </w:r>
      <w:r w:rsidRPr="00BA116D">
        <w:rPr>
          <w:rFonts w:ascii="David" w:hAnsi="David"/>
          <w:rtl/>
        </w:rPr>
        <w:t xml:space="preserve"> משום שהנשק מגיע לידיים עברייניות, או כאשר הנשק מגיע לידי מי שמנסים לפגוע בביטחונ</w:t>
      </w:r>
      <w:r>
        <w:rPr>
          <w:rFonts w:ascii="David" w:hAnsi="David"/>
          <w:rtl/>
        </w:rPr>
        <w:t>ם ובשלומם של תושבי המדינה, ו</w:t>
      </w:r>
      <w:r w:rsidRPr="00BA116D">
        <w:rPr>
          <w:rFonts w:ascii="David" w:hAnsi="David"/>
          <w:rtl/>
        </w:rPr>
        <w:t xml:space="preserve">אם מחמת שנגרמות תאונות כתוצאה מהשימוש בנשק. עמדת בית המשפט העליון היא שעל בתי המשפט לתרום את חלקם במיגור תופעה מסוכנת זו על דרך של החמרת </w:t>
      </w:r>
    </w:p>
    <w:p w14:paraId="4CD1A765" w14:textId="77777777" w:rsidR="00794B39" w:rsidRPr="00BA116D" w:rsidRDefault="00794B39" w:rsidP="00794B39">
      <w:pPr>
        <w:spacing w:line="360" w:lineRule="auto"/>
        <w:jc w:val="both"/>
        <w:rPr>
          <w:rFonts w:ascii="David" w:hAnsi="David"/>
        </w:rPr>
      </w:pPr>
      <w:r w:rsidRPr="00BA116D">
        <w:rPr>
          <w:rFonts w:ascii="David" w:hAnsi="David"/>
          <w:rtl/>
        </w:rPr>
        <w:t xml:space="preserve">הענישה עם מי שמחזיק בנשק שלא כדין. </w:t>
      </w:r>
    </w:p>
    <w:p w14:paraId="220FBB77" w14:textId="77777777" w:rsidR="00794B39" w:rsidRPr="00BA116D" w:rsidRDefault="00794B39" w:rsidP="00794B39">
      <w:pPr>
        <w:spacing w:line="360" w:lineRule="auto"/>
        <w:jc w:val="both"/>
        <w:rPr>
          <w:rFonts w:ascii="David" w:hAnsi="David"/>
        </w:rPr>
      </w:pPr>
    </w:p>
    <w:p w14:paraId="50977BAD" w14:textId="77777777" w:rsidR="00794B39" w:rsidRPr="00BA116D" w:rsidRDefault="00794B39" w:rsidP="00794B39">
      <w:pPr>
        <w:spacing w:line="360" w:lineRule="auto"/>
        <w:jc w:val="both"/>
        <w:rPr>
          <w:rFonts w:ascii="David" w:hAnsi="David"/>
          <w:rtl/>
        </w:rPr>
      </w:pPr>
      <w:r w:rsidRPr="00BA116D">
        <w:rPr>
          <w:rFonts w:ascii="David" w:hAnsi="David"/>
          <w:rtl/>
        </w:rPr>
        <w:t>כפי שנכתב ב</w:t>
      </w:r>
      <w:hyperlink r:id="rId20" w:history="1">
        <w:r w:rsidR="00BB70E4" w:rsidRPr="00BB70E4">
          <w:rPr>
            <w:rFonts w:ascii="David" w:hAnsi="David"/>
            <w:color w:val="0000FF"/>
            <w:u w:val="single"/>
            <w:rtl/>
          </w:rPr>
          <w:t>ע"פ 8416/09</w:t>
        </w:r>
      </w:hyperlink>
      <w:r w:rsidRPr="00BA116D">
        <w:rPr>
          <w:rFonts w:ascii="David" w:hAnsi="David"/>
          <w:rtl/>
        </w:rPr>
        <w:t xml:space="preserve"> </w:t>
      </w:r>
      <w:r w:rsidRPr="00BA116D">
        <w:rPr>
          <w:rFonts w:ascii="David" w:hAnsi="David"/>
          <w:b/>
          <w:bCs/>
          <w:rtl/>
        </w:rPr>
        <w:t>מדינת ישראל נ' חרבוש ואח'</w:t>
      </w:r>
      <w:r w:rsidRPr="00BA116D">
        <w:rPr>
          <w:rFonts w:ascii="David" w:hAnsi="David"/>
          <w:rtl/>
        </w:rPr>
        <w:t xml:space="preserve">, (ניתן בתאריך 09.06.10 [פורסם בנבו]): </w:t>
      </w:r>
    </w:p>
    <w:p w14:paraId="5E708592" w14:textId="77777777" w:rsidR="00794B39" w:rsidRPr="00BA116D" w:rsidRDefault="00794B39" w:rsidP="00794B39">
      <w:pPr>
        <w:spacing w:line="360" w:lineRule="auto"/>
        <w:ind w:left="567" w:right="567"/>
        <w:jc w:val="both"/>
        <w:rPr>
          <w:rFonts w:ascii="David" w:hAnsi="David"/>
        </w:rPr>
      </w:pPr>
      <w:r w:rsidRPr="00BA116D">
        <w:rPr>
          <w:rFonts w:ascii="David" w:hAnsi="David"/>
          <w:b/>
          <w:bCs/>
          <w:rtl/>
        </w:rPr>
        <w:t xml:space="preserve">"חומרתה של עבירת החזקת הנשק, מקורה בכך שעבירה זאת אינה נעשית לרוב אלא כדי לאפשר ביצוען של עבירות אחרות, שמעצם טבעו של הנשק, כרוכות באלימות או בהפחדה. כשעסקינן במי שהעולם הפלילי אינו זר להם – כמו כמה מן המעורבים בערעור שלפנינו – ובנשק שלו משתיק קול המוחבא במקום "בלתי טבעי", מקבלים הדברים משנה תוקף. כפי שציינה חברתי הנשיאה ד' ביניש, המציאות השוררת בארץ המתבטאת בזמינותו של נשק חם ורב עוצמה שיש עמו פוטנציאל להסלמת האלימות העבריינית, מחייבת מתן ביטוי עונשי הולם והחמרה ברמת הענישה (ראו ע"פ </w:t>
      </w:r>
      <w:hyperlink r:id="rId21" w:history="1">
        <w:r w:rsidR="009F76F9" w:rsidRPr="009F76F9">
          <w:rPr>
            <w:rFonts w:ascii="David" w:hAnsi="David"/>
            <w:b/>
            <w:bCs/>
            <w:color w:val="0000FF"/>
            <w:u w:val="single"/>
            <w:rtl/>
          </w:rPr>
          <w:t xml:space="preserve">1332/04 </w:t>
        </w:r>
      </w:hyperlink>
      <w:r w:rsidRPr="00BA116D">
        <w:rPr>
          <w:rFonts w:ascii="David" w:hAnsi="David"/>
          <w:b/>
          <w:bCs/>
          <w:rtl/>
        </w:rPr>
        <w:t xml:space="preserve"> מדינת ישראל נ' פס, סעיף 4 ([פורסם בנבו], 19.4.04)). יש לעשות כן עוד בטרם ייעשה באקדח שימוש קטלני, באמצעות הרחקת המחזיק בו מן החברה לפרק זמן, והעברת מסר מרתיע באמצעות עונש מאסר ממשי לריצוי בפועל..."</w:t>
      </w:r>
      <w:r w:rsidRPr="00BA116D">
        <w:rPr>
          <w:rFonts w:ascii="David" w:hAnsi="David"/>
          <w:rtl/>
        </w:rPr>
        <w:t xml:space="preserve">. </w:t>
      </w:r>
    </w:p>
    <w:p w14:paraId="1DC11732" w14:textId="77777777" w:rsidR="00794B39" w:rsidRPr="00BA116D" w:rsidRDefault="00794B39" w:rsidP="00794B39">
      <w:pPr>
        <w:spacing w:line="360" w:lineRule="auto"/>
        <w:ind w:left="567" w:right="567"/>
        <w:jc w:val="both"/>
        <w:rPr>
          <w:rFonts w:ascii="David" w:hAnsi="David"/>
          <w:rtl/>
        </w:rPr>
      </w:pPr>
    </w:p>
    <w:p w14:paraId="13A394E3" w14:textId="77777777" w:rsidR="00794B39" w:rsidRPr="00BA116D" w:rsidRDefault="00794B39" w:rsidP="00794B39">
      <w:pPr>
        <w:spacing w:line="360" w:lineRule="auto"/>
        <w:jc w:val="both"/>
        <w:rPr>
          <w:rFonts w:ascii="David" w:hAnsi="David"/>
          <w:rtl/>
        </w:rPr>
      </w:pPr>
      <w:r w:rsidRPr="00BA116D">
        <w:rPr>
          <w:rFonts w:ascii="David" w:hAnsi="David"/>
          <w:rtl/>
        </w:rPr>
        <w:t>עוד מצאתי להפנות לדבריו של בית-המשפט העליון ב</w:t>
      </w:r>
      <w:hyperlink r:id="rId22" w:history="1">
        <w:r w:rsidR="00BB70E4" w:rsidRPr="00BB70E4">
          <w:rPr>
            <w:rFonts w:ascii="David" w:hAnsi="David"/>
            <w:color w:val="0000FF"/>
            <w:u w:val="single"/>
            <w:rtl/>
          </w:rPr>
          <w:t>ע"פ 147/21</w:t>
        </w:r>
      </w:hyperlink>
      <w:r w:rsidRPr="00BA116D">
        <w:rPr>
          <w:rFonts w:ascii="David" w:hAnsi="David"/>
          <w:rtl/>
        </w:rPr>
        <w:t xml:space="preserve"> </w:t>
      </w:r>
      <w:r w:rsidRPr="00BA116D">
        <w:rPr>
          <w:rFonts w:ascii="David" w:hAnsi="David"/>
          <w:b/>
          <w:bCs/>
          <w:rtl/>
        </w:rPr>
        <w:t>מדינת ישראל נ' ירין ביטון</w:t>
      </w:r>
      <w:r w:rsidRPr="00BA116D">
        <w:rPr>
          <w:rFonts w:ascii="David" w:hAnsi="David"/>
          <w:rtl/>
        </w:rPr>
        <w:t xml:space="preserve">, (ניתן בתאריך 14.02.21 [פורסם בנבו]): </w:t>
      </w:r>
    </w:p>
    <w:p w14:paraId="05937307" w14:textId="77777777" w:rsidR="00794B39" w:rsidRPr="00BA116D" w:rsidRDefault="00794B39" w:rsidP="00794B39">
      <w:pPr>
        <w:spacing w:line="360" w:lineRule="auto"/>
        <w:ind w:left="567" w:right="567"/>
        <w:jc w:val="both"/>
        <w:rPr>
          <w:rFonts w:ascii="David" w:hAnsi="David"/>
          <w:rtl/>
        </w:rPr>
      </w:pPr>
      <w:r w:rsidRPr="00BA116D">
        <w:rPr>
          <w:rFonts w:ascii="David" w:hAnsi="David"/>
          <w:b/>
          <w:bCs/>
          <w:rtl/>
        </w:rPr>
        <w:t xml:space="preserve">"עבירות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פלר </w:t>
      </w:r>
      <w:hyperlink r:id="rId23" w:history="1">
        <w:r w:rsidR="00BB70E4" w:rsidRPr="00BB70E4">
          <w:rPr>
            <w:rFonts w:ascii="David" w:hAnsi="David"/>
            <w:b/>
            <w:bCs/>
            <w:color w:val="0000FF"/>
            <w:u w:val="single"/>
            <w:rtl/>
          </w:rPr>
          <w:t>יסודות בדיני עונשין</w:t>
        </w:r>
      </w:hyperlink>
      <w:r w:rsidRPr="00BA116D">
        <w:rPr>
          <w:rFonts w:ascii="David" w:hAnsi="David"/>
          <w:b/>
          <w:bCs/>
          <w:rtl/>
        </w:rPr>
        <w:t xml:space="preserve"> 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24" w:history="1">
        <w:r w:rsidR="00BB70E4" w:rsidRPr="00BB70E4">
          <w:rPr>
            <w:rFonts w:ascii="David" w:hAnsi="David"/>
            <w:b/>
            <w:bCs/>
            <w:color w:val="0000FF"/>
            <w:u w:val="single"/>
            <w:rtl/>
          </w:rPr>
          <w:t>חוק העונשין</w:t>
        </w:r>
      </w:hyperlink>
      <w:r w:rsidRPr="00BA116D">
        <w:rPr>
          <w:rFonts w:ascii="David" w:hAnsi="David"/>
          <w:b/>
          <w:b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(ראו דברי השופט י' אלרון ב</w:t>
      </w:r>
      <w:hyperlink r:id="rId25" w:history="1">
        <w:r w:rsidR="00BB70E4" w:rsidRPr="00BB70E4">
          <w:rPr>
            <w:rFonts w:ascii="David" w:hAnsi="David"/>
            <w:b/>
            <w:bCs/>
            <w:color w:val="0000FF"/>
            <w:u w:val="single"/>
            <w:rtl/>
          </w:rPr>
          <w:t>ע"פ 4406/19</w:t>
        </w:r>
      </w:hyperlink>
      <w:r w:rsidRPr="00BA116D">
        <w:rPr>
          <w:rFonts w:ascii="David" w:hAnsi="David"/>
          <w:b/>
          <w:bCs/>
          <w:rtl/>
        </w:rPr>
        <w:t xml:space="preserve"> מדינת ישראל נ' סובח [פורסם בנבו] (5.11.2019) (להלן: עניין סובח))...הטלת עונשים חמורים ומרתיעים על עברייני נשק היא עיקר תרומתם של בתי המשפט למיגור התופעה ולהרחקת העבריין עם האקדח משגרת חייהם של אזרחי מדינה שומרי חוק...". </w:t>
      </w:r>
    </w:p>
    <w:p w14:paraId="04B08D9E" w14:textId="77777777" w:rsidR="00794B39" w:rsidRPr="00BA116D" w:rsidRDefault="00794B39" w:rsidP="00794B39">
      <w:pPr>
        <w:spacing w:line="360" w:lineRule="auto"/>
        <w:jc w:val="both"/>
        <w:rPr>
          <w:rFonts w:ascii="David" w:hAnsi="David"/>
          <w:rtl/>
        </w:rPr>
      </w:pPr>
    </w:p>
    <w:p w14:paraId="0435911D" w14:textId="77777777" w:rsidR="00794B39" w:rsidRPr="00BA116D" w:rsidRDefault="00794B39" w:rsidP="00794B39">
      <w:pPr>
        <w:spacing w:line="360" w:lineRule="auto"/>
        <w:jc w:val="both"/>
        <w:rPr>
          <w:rFonts w:ascii="David" w:hAnsi="David"/>
          <w:rtl/>
        </w:rPr>
      </w:pPr>
      <w:r w:rsidRPr="00BA116D">
        <w:rPr>
          <w:rFonts w:ascii="David" w:hAnsi="David"/>
          <w:rtl/>
        </w:rPr>
        <w:t xml:space="preserve">ערכים אלו עליהם עמדתי כולם נמצאים בסיכון ממשי מקום בו מחזיק הנאשם בשני תתי מקלע </w:t>
      </w:r>
      <w:r>
        <w:rPr>
          <w:rFonts w:ascii="David" w:hAnsi="David" w:hint="cs"/>
          <w:rtl/>
        </w:rPr>
        <w:t>כמפורט בכתב האישום.</w:t>
      </w:r>
    </w:p>
    <w:p w14:paraId="160CA72E" w14:textId="77777777" w:rsidR="00794B39" w:rsidRPr="00BA116D" w:rsidRDefault="00794B39" w:rsidP="00794B39">
      <w:pPr>
        <w:spacing w:line="360" w:lineRule="auto"/>
        <w:jc w:val="both"/>
        <w:rPr>
          <w:rFonts w:ascii="David" w:hAnsi="David"/>
          <w:rtl/>
        </w:rPr>
      </w:pPr>
    </w:p>
    <w:p w14:paraId="7E76588A" w14:textId="77777777" w:rsidR="00794B39" w:rsidRPr="00BA116D" w:rsidRDefault="00794B39" w:rsidP="00794B39">
      <w:pPr>
        <w:spacing w:line="360" w:lineRule="auto"/>
        <w:jc w:val="both"/>
        <w:rPr>
          <w:rFonts w:ascii="David" w:hAnsi="David"/>
          <w:rtl/>
        </w:rPr>
      </w:pPr>
      <w:r w:rsidRPr="00BA116D">
        <w:rPr>
          <w:rFonts w:ascii="David" w:hAnsi="David"/>
          <w:rtl/>
        </w:rPr>
        <w:t>בתי המשפט בכלל ובית המשפט העליון בראשם, קבעו מדיניות ענישה מחמירה ביחס לכל מי שעובר עבירות בנשק. מדיניות מחמירה זו הינה פועל יוצא של ריבוי המקרים שבהם נעשה שימוש בנשק המוחזק שלא כחוק המסכן חיי אדם. עמד על כך כב' השופט עמית ב</w:t>
      </w:r>
      <w:hyperlink r:id="rId26" w:history="1">
        <w:r w:rsidR="00BB70E4" w:rsidRPr="00BB70E4">
          <w:rPr>
            <w:rFonts w:ascii="David" w:hAnsi="David"/>
            <w:color w:val="0000FF"/>
            <w:u w:val="single"/>
            <w:rtl/>
          </w:rPr>
          <w:t>ע"פ 2398/14</w:t>
        </w:r>
      </w:hyperlink>
      <w:r w:rsidRPr="00BA116D">
        <w:rPr>
          <w:rFonts w:ascii="David" w:hAnsi="David"/>
          <w:rtl/>
        </w:rPr>
        <w:t xml:space="preserve"> </w:t>
      </w:r>
      <w:r w:rsidRPr="00BA116D">
        <w:rPr>
          <w:rFonts w:ascii="David" w:hAnsi="David"/>
          <w:b/>
          <w:bCs/>
          <w:rtl/>
        </w:rPr>
        <w:t>אלהזייל נגד מדינת ישראל</w:t>
      </w:r>
      <w:r w:rsidRPr="00BA116D">
        <w:rPr>
          <w:rFonts w:ascii="David" w:hAnsi="David"/>
          <w:rtl/>
        </w:rPr>
        <w:t xml:space="preserve"> (ניתן בתאריך 08.07.14 [פורסם בנבו]) בציינו כך:</w:t>
      </w:r>
    </w:p>
    <w:p w14:paraId="1D2F9541" w14:textId="77777777" w:rsidR="00794B39" w:rsidRPr="00BA116D" w:rsidRDefault="00794B39" w:rsidP="00794B39">
      <w:pPr>
        <w:autoSpaceDE w:val="0"/>
        <w:autoSpaceDN w:val="0"/>
        <w:spacing w:line="360" w:lineRule="auto"/>
        <w:ind w:left="567" w:right="567"/>
        <w:jc w:val="both"/>
        <w:rPr>
          <w:rFonts w:ascii="David" w:hAnsi="David"/>
          <w:b/>
          <w:bCs/>
          <w:rtl/>
        </w:rPr>
      </w:pPr>
      <w:r w:rsidRPr="00BA116D">
        <w:rPr>
          <w:rFonts w:ascii="David" w:hAnsi="David"/>
          <w:b/>
          <w:bCs/>
          <w:rtl/>
        </w:rPr>
        <w:t>"אחזור</w:t>
      </w:r>
      <w:r w:rsidRPr="00BA116D">
        <w:rPr>
          <w:rFonts w:ascii="David" w:hAnsi="David"/>
          <w:b/>
          <w:bCs/>
        </w:rPr>
        <w:t xml:space="preserve"> </w:t>
      </w:r>
      <w:r w:rsidRPr="00BA116D">
        <w:rPr>
          <w:rFonts w:ascii="David" w:hAnsi="David"/>
          <w:b/>
          <w:bCs/>
          <w:rtl/>
        </w:rPr>
        <w:t>ואדגיש</w:t>
      </w:r>
      <w:r w:rsidRPr="00BA116D">
        <w:rPr>
          <w:rFonts w:ascii="David" w:hAnsi="David"/>
          <w:b/>
          <w:bCs/>
        </w:rPr>
        <w:t xml:space="preserve"> </w:t>
      </w:r>
      <w:r w:rsidRPr="00BA116D">
        <w:rPr>
          <w:rFonts w:ascii="David" w:hAnsi="David"/>
          <w:b/>
          <w:bCs/>
          <w:rtl/>
        </w:rPr>
        <w:t>את</w:t>
      </w:r>
      <w:r w:rsidRPr="00BA116D">
        <w:rPr>
          <w:rFonts w:ascii="David" w:hAnsi="David"/>
          <w:b/>
          <w:bCs/>
        </w:rPr>
        <w:t xml:space="preserve"> </w:t>
      </w:r>
      <w:r w:rsidRPr="00BA116D">
        <w:rPr>
          <w:rFonts w:ascii="David" w:hAnsi="David"/>
          <w:b/>
          <w:bCs/>
          <w:rtl/>
        </w:rPr>
        <w:t>מדיניות</w:t>
      </w:r>
      <w:r w:rsidRPr="00BA116D">
        <w:rPr>
          <w:rFonts w:ascii="David" w:hAnsi="David"/>
          <w:b/>
          <w:bCs/>
        </w:rPr>
        <w:t xml:space="preserve"> </w:t>
      </w:r>
      <w:r w:rsidRPr="00BA116D">
        <w:rPr>
          <w:rFonts w:ascii="David" w:hAnsi="David"/>
          <w:b/>
          <w:bCs/>
          <w:rtl/>
        </w:rPr>
        <w:t>ההחמרה בעבירות</w:t>
      </w:r>
      <w:r w:rsidRPr="00BA116D">
        <w:rPr>
          <w:rFonts w:ascii="David" w:hAnsi="David"/>
          <w:b/>
          <w:bCs/>
        </w:rPr>
        <w:t xml:space="preserve"> </w:t>
      </w:r>
      <w:r w:rsidRPr="00BA116D">
        <w:rPr>
          <w:rFonts w:ascii="David" w:hAnsi="David"/>
          <w:b/>
          <w:bCs/>
          <w:rtl/>
        </w:rPr>
        <w:t>נשק, שבאה</w:t>
      </w:r>
      <w:r w:rsidRPr="00BA116D">
        <w:rPr>
          <w:rFonts w:ascii="David" w:hAnsi="David"/>
          <w:b/>
          <w:bCs/>
        </w:rPr>
        <w:t xml:space="preserve"> </w:t>
      </w:r>
      <w:r w:rsidRPr="00BA116D">
        <w:rPr>
          <w:rFonts w:ascii="David" w:hAnsi="David"/>
          <w:b/>
          <w:bCs/>
          <w:rtl/>
        </w:rPr>
        <w:t>לידי</w:t>
      </w:r>
      <w:r w:rsidRPr="00BA116D">
        <w:rPr>
          <w:rFonts w:ascii="David" w:hAnsi="David"/>
          <w:b/>
          <w:bCs/>
        </w:rPr>
        <w:t xml:space="preserve"> </w:t>
      </w:r>
      <w:r w:rsidRPr="00BA116D">
        <w:rPr>
          <w:rFonts w:ascii="David" w:hAnsi="David"/>
          <w:b/>
          <w:bCs/>
          <w:rtl/>
        </w:rPr>
        <w:t>ביטוי</w:t>
      </w:r>
      <w:r w:rsidRPr="00BA116D">
        <w:rPr>
          <w:rFonts w:ascii="David" w:hAnsi="David"/>
          <w:b/>
          <w:bCs/>
        </w:rPr>
        <w:t xml:space="preserve"> </w:t>
      </w:r>
      <w:r w:rsidRPr="00BA116D">
        <w:rPr>
          <w:rFonts w:ascii="David" w:hAnsi="David"/>
          <w:b/>
          <w:bCs/>
          <w:rtl/>
        </w:rPr>
        <w:t>בשורה</w:t>
      </w:r>
      <w:r w:rsidRPr="00BA116D">
        <w:rPr>
          <w:rFonts w:ascii="David" w:hAnsi="David"/>
          <w:b/>
          <w:bCs/>
        </w:rPr>
        <w:t xml:space="preserve"> </w:t>
      </w:r>
      <w:r w:rsidRPr="00BA116D">
        <w:rPr>
          <w:rFonts w:ascii="David" w:hAnsi="David"/>
          <w:b/>
          <w:bCs/>
          <w:rtl/>
        </w:rPr>
        <w:t>ארוכה</w:t>
      </w:r>
      <w:r w:rsidRPr="00BA116D">
        <w:rPr>
          <w:rFonts w:ascii="David" w:hAnsi="David"/>
          <w:b/>
          <w:bCs/>
        </w:rPr>
        <w:t xml:space="preserve"> </w:t>
      </w:r>
      <w:r w:rsidRPr="00BA116D">
        <w:rPr>
          <w:rFonts w:ascii="David" w:hAnsi="David"/>
          <w:b/>
          <w:bCs/>
          <w:rtl/>
        </w:rPr>
        <w:t>של</w:t>
      </w:r>
      <w:r w:rsidRPr="00BA116D">
        <w:rPr>
          <w:rFonts w:ascii="David" w:hAnsi="David"/>
          <w:b/>
          <w:bCs/>
        </w:rPr>
        <w:t xml:space="preserve"> </w:t>
      </w:r>
      <w:r w:rsidRPr="00BA116D">
        <w:rPr>
          <w:rFonts w:ascii="David" w:hAnsi="David"/>
          <w:b/>
          <w:bCs/>
          <w:rtl/>
        </w:rPr>
        <w:t>פסקי</w:t>
      </w:r>
      <w:r w:rsidRPr="00BA116D">
        <w:rPr>
          <w:rFonts w:ascii="David" w:hAnsi="David"/>
          <w:b/>
          <w:bCs/>
        </w:rPr>
        <w:t xml:space="preserve"> </w:t>
      </w:r>
      <w:r w:rsidRPr="00BA116D">
        <w:rPr>
          <w:rFonts w:ascii="David" w:hAnsi="David"/>
          <w:b/>
          <w:bCs/>
          <w:rtl/>
        </w:rPr>
        <w:t>דין</w:t>
      </w:r>
      <w:r w:rsidRPr="00BA116D">
        <w:rPr>
          <w:rFonts w:ascii="David" w:hAnsi="David"/>
          <w:b/>
          <w:bCs/>
        </w:rPr>
        <w:t xml:space="preserve"> </w:t>
      </w:r>
      <w:r w:rsidRPr="00BA116D">
        <w:rPr>
          <w:rFonts w:ascii="David" w:hAnsi="David"/>
          <w:b/>
          <w:bCs/>
          <w:rtl/>
        </w:rPr>
        <w:t>של</w:t>
      </w:r>
      <w:r w:rsidRPr="00BA116D">
        <w:rPr>
          <w:rFonts w:ascii="David" w:hAnsi="David"/>
          <w:b/>
          <w:bCs/>
        </w:rPr>
        <w:t xml:space="preserve"> </w:t>
      </w:r>
      <w:r w:rsidRPr="00BA116D">
        <w:rPr>
          <w:rFonts w:ascii="David" w:hAnsi="David"/>
          <w:b/>
          <w:bCs/>
          <w:rtl/>
        </w:rPr>
        <w:t>בית</w:t>
      </w:r>
      <w:r w:rsidRPr="00BA116D">
        <w:rPr>
          <w:rFonts w:ascii="David" w:hAnsi="David"/>
          <w:b/>
          <w:bCs/>
        </w:rPr>
        <w:t xml:space="preserve"> </w:t>
      </w:r>
      <w:r w:rsidRPr="00BA116D">
        <w:rPr>
          <w:rFonts w:ascii="David" w:hAnsi="David"/>
          <w:b/>
          <w:bCs/>
          <w:rtl/>
        </w:rPr>
        <w:t>משפט</w:t>
      </w:r>
      <w:r w:rsidRPr="00BA116D">
        <w:rPr>
          <w:rFonts w:ascii="David" w:hAnsi="David"/>
          <w:b/>
          <w:bCs/>
        </w:rPr>
        <w:t xml:space="preserve"> </w:t>
      </w:r>
      <w:r w:rsidRPr="00BA116D">
        <w:rPr>
          <w:rFonts w:ascii="David" w:hAnsi="David"/>
          <w:b/>
          <w:bCs/>
          <w:rtl/>
        </w:rPr>
        <w:t>זה</w:t>
      </w:r>
      <w:r w:rsidRPr="00BA116D">
        <w:rPr>
          <w:rFonts w:ascii="David" w:hAnsi="David"/>
          <w:b/>
          <w:bCs/>
        </w:rPr>
        <w:t xml:space="preserve"> </w:t>
      </w:r>
      <w:r w:rsidRPr="00BA116D">
        <w:rPr>
          <w:rFonts w:ascii="David" w:hAnsi="David"/>
          <w:b/>
          <w:bCs/>
          <w:rtl/>
        </w:rPr>
        <w:t>בשנים האחרונות...לזמינות</w:t>
      </w:r>
      <w:r w:rsidRPr="00BA116D">
        <w:rPr>
          <w:rFonts w:ascii="David" w:hAnsi="David"/>
          <w:b/>
          <w:bCs/>
        </w:rPr>
        <w:t xml:space="preserve"> </w:t>
      </w:r>
      <w:r w:rsidRPr="00BA116D">
        <w:rPr>
          <w:rFonts w:ascii="David" w:hAnsi="David"/>
          <w:b/>
          <w:bCs/>
          <w:rtl/>
        </w:rPr>
        <w:t>הבלתי</w:t>
      </w:r>
      <w:r w:rsidRPr="00BA116D">
        <w:rPr>
          <w:rFonts w:ascii="David" w:hAnsi="David"/>
          <w:b/>
          <w:bCs/>
        </w:rPr>
        <w:t xml:space="preserve"> </w:t>
      </w:r>
      <w:r w:rsidRPr="00BA116D">
        <w:rPr>
          <w:rFonts w:ascii="David" w:hAnsi="David"/>
          <w:b/>
          <w:bCs/>
          <w:rtl/>
        </w:rPr>
        <w:t>נסבלת</w:t>
      </w:r>
      <w:r w:rsidRPr="00BA116D">
        <w:rPr>
          <w:rFonts w:ascii="David" w:hAnsi="David"/>
          <w:b/>
          <w:bCs/>
        </w:rPr>
        <w:t xml:space="preserve"> </w:t>
      </w:r>
      <w:r w:rsidRPr="00BA116D">
        <w:rPr>
          <w:rFonts w:ascii="David" w:hAnsi="David"/>
          <w:b/>
          <w:bCs/>
          <w:rtl/>
        </w:rPr>
        <w:t>של</w:t>
      </w:r>
      <w:r w:rsidRPr="00BA116D">
        <w:rPr>
          <w:rFonts w:ascii="David" w:hAnsi="David"/>
          <w:b/>
          <w:bCs/>
        </w:rPr>
        <w:t xml:space="preserve"> </w:t>
      </w:r>
      <w:r w:rsidRPr="00BA116D">
        <w:rPr>
          <w:rFonts w:ascii="David" w:hAnsi="David"/>
          <w:b/>
          <w:bCs/>
          <w:rtl/>
        </w:rPr>
        <w:t>נשק</w:t>
      </w:r>
      <w:r w:rsidRPr="00BA116D">
        <w:rPr>
          <w:rFonts w:ascii="David" w:hAnsi="David"/>
          <w:b/>
          <w:bCs/>
        </w:rPr>
        <w:t xml:space="preserve"> </w:t>
      </w:r>
      <w:r w:rsidRPr="00BA116D">
        <w:rPr>
          <w:rFonts w:ascii="David" w:hAnsi="David"/>
          <w:b/>
          <w:bCs/>
          <w:rtl/>
        </w:rPr>
        <w:t>חם</w:t>
      </w:r>
      <w:r w:rsidRPr="00BA116D">
        <w:rPr>
          <w:rFonts w:ascii="David" w:hAnsi="David"/>
          <w:b/>
          <w:bCs/>
        </w:rPr>
        <w:t xml:space="preserve"> </w:t>
      </w:r>
      <w:r w:rsidRPr="00BA116D">
        <w:rPr>
          <w:rFonts w:ascii="David" w:hAnsi="David"/>
          <w:b/>
          <w:bCs/>
          <w:rtl/>
        </w:rPr>
        <w:t>בידי</w:t>
      </w:r>
      <w:r w:rsidRPr="00BA116D">
        <w:rPr>
          <w:rFonts w:ascii="David" w:hAnsi="David"/>
          <w:b/>
          <w:bCs/>
        </w:rPr>
        <w:t xml:space="preserve"> </w:t>
      </w:r>
      <w:r w:rsidRPr="00BA116D">
        <w:rPr>
          <w:rFonts w:ascii="David" w:hAnsi="David"/>
          <w:b/>
          <w:bCs/>
          <w:rtl/>
        </w:rPr>
        <w:t>מי</w:t>
      </w:r>
      <w:r w:rsidRPr="00BA116D">
        <w:rPr>
          <w:rFonts w:ascii="David" w:hAnsi="David"/>
          <w:b/>
          <w:bCs/>
        </w:rPr>
        <w:t xml:space="preserve"> </w:t>
      </w:r>
      <w:r w:rsidRPr="00BA116D">
        <w:rPr>
          <w:rFonts w:ascii="David" w:hAnsi="David"/>
          <w:b/>
          <w:bCs/>
          <w:rtl/>
        </w:rPr>
        <w:t>שאינם</w:t>
      </w:r>
      <w:r w:rsidRPr="00BA116D">
        <w:rPr>
          <w:rFonts w:ascii="David" w:hAnsi="David"/>
          <w:b/>
          <w:bCs/>
        </w:rPr>
        <w:t xml:space="preserve"> </w:t>
      </w:r>
      <w:r w:rsidRPr="00BA116D">
        <w:rPr>
          <w:rFonts w:ascii="David" w:hAnsi="David"/>
          <w:b/>
          <w:bCs/>
          <w:rtl/>
        </w:rPr>
        <w:t>מורשים</w:t>
      </w:r>
      <w:r w:rsidRPr="00BA116D">
        <w:rPr>
          <w:rFonts w:ascii="David" w:hAnsi="David"/>
          <w:b/>
          <w:bCs/>
        </w:rPr>
        <w:t xml:space="preserve"> </w:t>
      </w:r>
      <w:r w:rsidRPr="00BA116D">
        <w:rPr>
          <w:rFonts w:ascii="David" w:hAnsi="David"/>
          <w:b/>
          <w:bCs/>
          <w:rtl/>
        </w:rPr>
        <w:t>לכך יש</w:t>
      </w:r>
      <w:r w:rsidRPr="00BA116D">
        <w:rPr>
          <w:rFonts w:ascii="David" w:hAnsi="David"/>
          <w:b/>
          <w:bCs/>
        </w:rPr>
        <w:t xml:space="preserve"> </w:t>
      </w:r>
      <w:r w:rsidRPr="00BA116D">
        <w:rPr>
          <w:rFonts w:ascii="David" w:hAnsi="David"/>
          <w:b/>
          <w:bCs/>
          <w:rtl/>
        </w:rPr>
        <w:t>פוטנציאל</w:t>
      </w:r>
      <w:r w:rsidRPr="00BA116D">
        <w:rPr>
          <w:rFonts w:ascii="David" w:hAnsi="David"/>
          <w:b/>
          <w:bCs/>
        </w:rPr>
        <w:t xml:space="preserve"> </w:t>
      </w:r>
      <w:r w:rsidRPr="00BA116D">
        <w:rPr>
          <w:rFonts w:ascii="David" w:hAnsi="David"/>
          <w:b/>
          <w:bCs/>
          <w:rtl/>
        </w:rPr>
        <w:t>לשמש</w:t>
      </w:r>
      <w:r w:rsidRPr="00BA116D">
        <w:rPr>
          <w:rFonts w:ascii="David" w:hAnsi="David"/>
          <w:b/>
          <w:bCs/>
        </w:rPr>
        <w:t xml:space="preserve"> </w:t>
      </w:r>
      <w:r w:rsidRPr="00BA116D">
        <w:rPr>
          <w:rFonts w:ascii="David" w:hAnsi="David"/>
          <w:b/>
          <w:bCs/>
          <w:rtl/>
        </w:rPr>
        <w:t>ל</w:t>
      </w:r>
      <w:r w:rsidRPr="00BA116D">
        <w:rPr>
          <w:rFonts w:ascii="David" w:hAnsi="David"/>
          <w:b/>
          <w:bCs/>
        </w:rPr>
        <w:t>"</w:t>
      </w:r>
      <w:r w:rsidRPr="00BA116D">
        <w:rPr>
          <w:rFonts w:ascii="David" w:hAnsi="David"/>
          <w:b/>
          <w:bCs/>
          <w:rtl/>
        </w:rPr>
        <w:t>חיסול</w:t>
      </w:r>
      <w:r w:rsidRPr="00BA116D">
        <w:rPr>
          <w:rFonts w:ascii="David" w:hAnsi="David"/>
          <w:b/>
          <w:bCs/>
        </w:rPr>
        <w:t xml:space="preserve"> </w:t>
      </w:r>
      <w:r w:rsidRPr="00BA116D">
        <w:rPr>
          <w:rFonts w:ascii="David" w:hAnsi="David"/>
          <w:b/>
          <w:bCs/>
          <w:rtl/>
        </w:rPr>
        <w:t>חשבונות" ול"פתרון</w:t>
      </w:r>
      <w:r w:rsidRPr="00BA116D">
        <w:rPr>
          <w:rFonts w:ascii="David" w:hAnsi="David"/>
          <w:b/>
          <w:bCs/>
        </w:rPr>
        <w:t xml:space="preserve"> </w:t>
      </w:r>
      <w:r w:rsidRPr="00BA116D">
        <w:rPr>
          <w:rFonts w:ascii="David" w:hAnsi="David"/>
          <w:b/>
          <w:bCs/>
          <w:rtl/>
        </w:rPr>
        <w:t>סכסוכים" כמו גם</w:t>
      </w:r>
      <w:r w:rsidRPr="00BA116D">
        <w:rPr>
          <w:rFonts w:ascii="David" w:hAnsi="David"/>
          <w:b/>
          <w:bCs/>
        </w:rPr>
        <w:t xml:space="preserve"> </w:t>
      </w:r>
      <w:r w:rsidRPr="00BA116D">
        <w:rPr>
          <w:rFonts w:ascii="David" w:hAnsi="David"/>
          <w:b/>
          <w:bCs/>
          <w:rtl/>
        </w:rPr>
        <w:t>לעבירות</w:t>
      </w:r>
      <w:r w:rsidRPr="00BA116D">
        <w:rPr>
          <w:rFonts w:ascii="David" w:hAnsi="David"/>
          <w:b/>
          <w:bCs/>
        </w:rPr>
        <w:t xml:space="preserve"> </w:t>
      </w:r>
      <w:r w:rsidRPr="00BA116D">
        <w:rPr>
          <w:rFonts w:ascii="David" w:hAnsi="David"/>
          <w:b/>
          <w:bCs/>
          <w:rtl/>
        </w:rPr>
        <w:t>חמורות נוספות. המציאות</w:t>
      </w:r>
      <w:r w:rsidRPr="00BA116D">
        <w:rPr>
          <w:rFonts w:ascii="David" w:hAnsi="David"/>
          <w:b/>
          <w:bCs/>
        </w:rPr>
        <w:t xml:space="preserve"> </w:t>
      </w:r>
      <w:r w:rsidRPr="00BA116D">
        <w:rPr>
          <w:rFonts w:ascii="David" w:hAnsi="David"/>
          <w:b/>
          <w:bCs/>
          <w:rtl/>
        </w:rPr>
        <w:t>בארצנו</w:t>
      </w:r>
      <w:r w:rsidRPr="00BA116D">
        <w:rPr>
          <w:rFonts w:ascii="David" w:hAnsi="David"/>
          <w:b/>
          <w:bCs/>
        </w:rPr>
        <w:t xml:space="preserve"> </w:t>
      </w:r>
      <w:r w:rsidRPr="00BA116D">
        <w:rPr>
          <w:rFonts w:ascii="David" w:hAnsi="David"/>
          <w:b/>
          <w:bCs/>
          <w:rtl/>
        </w:rPr>
        <w:t>מוכיחה</w:t>
      </w:r>
      <w:r w:rsidRPr="00BA116D">
        <w:rPr>
          <w:rFonts w:ascii="David" w:hAnsi="David"/>
          <w:b/>
          <w:bCs/>
        </w:rPr>
        <w:t xml:space="preserve"> </w:t>
      </w:r>
      <w:r w:rsidRPr="00BA116D">
        <w:rPr>
          <w:rFonts w:ascii="David" w:hAnsi="David"/>
          <w:b/>
          <w:bCs/>
          <w:rtl/>
        </w:rPr>
        <w:t>כי</w:t>
      </w:r>
      <w:r w:rsidRPr="00BA116D">
        <w:rPr>
          <w:rFonts w:ascii="David" w:hAnsi="David"/>
          <w:b/>
          <w:bCs/>
        </w:rPr>
        <w:t xml:space="preserve"> </w:t>
      </w:r>
      <w:r w:rsidRPr="00BA116D">
        <w:rPr>
          <w:rFonts w:ascii="David" w:hAnsi="David"/>
          <w:b/>
          <w:bCs/>
          <w:rtl/>
        </w:rPr>
        <w:t>הקלישאה</w:t>
      </w:r>
      <w:r w:rsidRPr="00BA116D">
        <w:rPr>
          <w:rFonts w:ascii="David" w:hAnsi="David"/>
          <w:b/>
          <w:bCs/>
        </w:rPr>
        <w:t xml:space="preserve"> </w:t>
      </w:r>
      <w:r w:rsidRPr="00BA116D">
        <w:rPr>
          <w:rFonts w:ascii="David" w:hAnsi="David"/>
          <w:b/>
          <w:bCs/>
          <w:rtl/>
        </w:rPr>
        <w:t>אודות</w:t>
      </w:r>
      <w:r w:rsidRPr="00BA116D">
        <w:rPr>
          <w:rFonts w:ascii="David" w:hAnsi="David"/>
          <w:b/>
          <w:bCs/>
        </w:rPr>
        <w:t xml:space="preserve"> </w:t>
      </w:r>
      <w:r w:rsidRPr="00BA116D">
        <w:rPr>
          <w:rFonts w:ascii="David" w:hAnsi="David"/>
          <w:b/>
          <w:bCs/>
          <w:rtl/>
        </w:rPr>
        <w:t>האקדח</w:t>
      </w:r>
      <w:r w:rsidRPr="00BA116D">
        <w:rPr>
          <w:rFonts w:ascii="David" w:hAnsi="David"/>
          <w:b/>
          <w:bCs/>
        </w:rPr>
        <w:t xml:space="preserve"> </w:t>
      </w:r>
      <w:r w:rsidRPr="00BA116D">
        <w:rPr>
          <w:rFonts w:ascii="David" w:hAnsi="David"/>
          <w:b/>
          <w:bCs/>
          <w:rtl/>
        </w:rPr>
        <w:t>במערכה</w:t>
      </w:r>
      <w:r w:rsidRPr="00BA116D">
        <w:rPr>
          <w:rFonts w:ascii="David" w:hAnsi="David"/>
          <w:b/>
          <w:bCs/>
        </w:rPr>
        <w:t xml:space="preserve"> </w:t>
      </w:r>
      <w:r w:rsidRPr="00BA116D">
        <w:rPr>
          <w:rFonts w:ascii="David" w:hAnsi="David"/>
          <w:b/>
          <w:bCs/>
          <w:rtl/>
        </w:rPr>
        <w:t>הראשונה</w:t>
      </w:r>
      <w:r w:rsidRPr="00BA116D">
        <w:rPr>
          <w:rFonts w:ascii="David" w:hAnsi="David"/>
          <w:b/>
          <w:bCs/>
        </w:rPr>
        <w:t xml:space="preserve"> </w:t>
      </w:r>
      <w:r w:rsidRPr="00BA116D">
        <w:rPr>
          <w:rFonts w:ascii="David" w:hAnsi="David"/>
          <w:b/>
          <w:bCs/>
          <w:rtl/>
        </w:rPr>
        <w:t>אינה מדויקת,</w:t>
      </w:r>
      <w:r w:rsidRPr="00BA116D">
        <w:rPr>
          <w:rFonts w:ascii="David" w:hAnsi="David"/>
          <w:b/>
          <w:bCs/>
        </w:rPr>
        <w:t xml:space="preserve"> </w:t>
      </w:r>
      <w:r w:rsidRPr="00BA116D">
        <w:rPr>
          <w:rFonts w:ascii="David" w:hAnsi="David"/>
          <w:b/>
          <w:bCs/>
          <w:rtl/>
        </w:rPr>
        <w:t>באשר</w:t>
      </w:r>
      <w:r w:rsidRPr="00BA116D">
        <w:rPr>
          <w:rFonts w:ascii="David" w:hAnsi="David"/>
          <w:b/>
          <w:bCs/>
        </w:rPr>
        <w:t xml:space="preserve"> </w:t>
      </w:r>
      <w:r w:rsidRPr="00BA116D">
        <w:rPr>
          <w:rFonts w:ascii="David" w:hAnsi="David"/>
          <w:b/>
          <w:bCs/>
          <w:rtl/>
        </w:rPr>
        <w:t>לעיתים</w:t>
      </w:r>
      <w:r w:rsidRPr="00BA116D">
        <w:rPr>
          <w:rFonts w:ascii="David" w:hAnsi="David"/>
          <w:b/>
          <w:bCs/>
        </w:rPr>
        <w:t xml:space="preserve"> </w:t>
      </w:r>
      <w:r w:rsidRPr="00BA116D">
        <w:rPr>
          <w:rFonts w:ascii="David" w:hAnsi="David"/>
          <w:b/>
          <w:bCs/>
          <w:rtl/>
        </w:rPr>
        <w:t>מזומנות</w:t>
      </w:r>
      <w:r w:rsidRPr="00BA116D">
        <w:rPr>
          <w:rFonts w:ascii="David" w:hAnsi="David"/>
          <w:b/>
          <w:bCs/>
        </w:rPr>
        <w:t xml:space="preserve"> </w:t>
      </w:r>
      <w:r w:rsidRPr="00BA116D">
        <w:rPr>
          <w:rFonts w:ascii="David" w:hAnsi="David"/>
          <w:b/>
          <w:bCs/>
          <w:rtl/>
        </w:rPr>
        <w:t>האקדח</w:t>
      </w:r>
      <w:r w:rsidRPr="00BA116D">
        <w:rPr>
          <w:rFonts w:ascii="David" w:hAnsi="David"/>
          <w:b/>
          <w:bCs/>
        </w:rPr>
        <w:t xml:space="preserve"> </w:t>
      </w:r>
      <w:r w:rsidRPr="00BA116D">
        <w:rPr>
          <w:rFonts w:ascii="David" w:hAnsi="David"/>
          <w:b/>
          <w:bCs/>
          <w:rtl/>
        </w:rPr>
        <w:t>אינו</w:t>
      </w:r>
      <w:r w:rsidRPr="00BA116D">
        <w:rPr>
          <w:rFonts w:ascii="David" w:hAnsi="David"/>
          <w:b/>
          <w:bCs/>
        </w:rPr>
        <w:t xml:space="preserve"> </w:t>
      </w:r>
      <w:r w:rsidRPr="00BA116D">
        <w:rPr>
          <w:rFonts w:ascii="David" w:hAnsi="David"/>
          <w:b/>
          <w:bCs/>
          <w:rtl/>
        </w:rPr>
        <w:t>ממתין</w:t>
      </w:r>
      <w:r w:rsidRPr="00BA116D">
        <w:rPr>
          <w:rFonts w:ascii="David" w:hAnsi="David"/>
          <w:b/>
          <w:bCs/>
        </w:rPr>
        <w:t xml:space="preserve"> </w:t>
      </w:r>
      <w:r w:rsidRPr="00BA116D">
        <w:rPr>
          <w:rFonts w:ascii="David" w:hAnsi="David"/>
          <w:b/>
          <w:bCs/>
          <w:rtl/>
        </w:rPr>
        <w:t>עד</w:t>
      </w:r>
      <w:r w:rsidRPr="00BA116D">
        <w:rPr>
          <w:rFonts w:ascii="David" w:hAnsi="David"/>
          <w:b/>
          <w:bCs/>
        </w:rPr>
        <w:t xml:space="preserve"> </w:t>
      </w:r>
      <w:r w:rsidRPr="00BA116D">
        <w:rPr>
          <w:rFonts w:ascii="David" w:hAnsi="David"/>
          <w:b/>
          <w:bCs/>
          <w:rtl/>
        </w:rPr>
        <w:t>למערכה</w:t>
      </w:r>
      <w:r w:rsidRPr="00BA116D">
        <w:rPr>
          <w:rFonts w:ascii="David" w:hAnsi="David"/>
          <w:b/>
          <w:bCs/>
        </w:rPr>
        <w:t xml:space="preserve"> </w:t>
      </w:r>
      <w:r w:rsidRPr="00BA116D">
        <w:rPr>
          <w:rFonts w:ascii="David" w:hAnsi="David"/>
          <w:b/>
          <w:bCs/>
          <w:rtl/>
        </w:rPr>
        <w:t>האחרונה</w:t>
      </w:r>
      <w:r w:rsidRPr="00BA116D">
        <w:rPr>
          <w:rFonts w:ascii="David" w:hAnsi="David"/>
          <w:b/>
          <w:bCs/>
        </w:rPr>
        <w:t xml:space="preserve"> </w:t>
      </w:r>
      <w:r w:rsidRPr="00BA116D">
        <w:rPr>
          <w:rFonts w:ascii="David" w:hAnsi="David"/>
          <w:b/>
          <w:bCs/>
          <w:rtl/>
        </w:rPr>
        <w:t>ויורה</w:t>
      </w:r>
      <w:r w:rsidRPr="00BA116D">
        <w:rPr>
          <w:rFonts w:ascii="David" w:hAnsi="David"/>
          <w:b/>
          <w:bCs/>
        </w:rPr>
        <w:t xml:space="preserve"> </w:t>
      </w:r>
      <w:r w:rsidRPr="00BA116D">
        <w:rPr>
          <w:rFonts w:ascii="David" w:hAnsi="David"/>
          <w:b/>
          <w:bCs/>
          <w:rtl/>
        </w:rPr>
        <w:t>עוד קודם</w:t>
      </w:r>
      <w:r w:rsidRPr="00BA116D">
        <w:rPr>
          <w:rFonts w:ascii="David" w:hAnsi="David"/>
          <w:b/>
          <w:bCs/>
        </w:rPr>
        <w:t xml:space="preserve"> </w:t>
      </w:r>
      <w:r w:rsidRPr="00BA116D">
        <w:rPr>
          <w:rFonts w:ascii="David" w:hAnsi="David"/>
          <w:b/>
          <w:bCs/>
          <w:rtl/>
        </w:rPr>
        <w:t>לכן,</w:t>
      </w:r>
      <w:r w:rsidRPr="00BA116D">
        <w:rPr>
          <w:rFonts w:ascii="David" w:hAnsi="David"/>
          <w:b/>
          <w:bCs/>
        </w:rPr>
        <w:t xml:space="preserve"> </w:t>
      </w:r>
      <w:r w:rsidRPr="00BA116D">
        <w:rPr>
          <w:rFonts w:ascii="David" w:hAnsi="David"/>
          <w:b/>
          <w:bCs/>
          <w:rtl/>
        </w:rPr>
        <w:t>מכאן,</w:t>
      </w:r>
      <w:r w:rsidRPr="00BA116D">
        <w:rPr>
          <w:rFonts w:ascii="David" w:hAnsi="David"/>
          <w:b/>
          <w:bCs/>
        </w:rPr>
        <w:t xml:space="preserve"> </w:t>
      </w:r>
      <w:r w:rsidRPr="00BA116D">
        <w:rPr>
          <w:rFonts w:ascii="David" w:hAnsi="David"/>
          <w:b/>
          <w:bCs/>
          <w:rtl/>
        </w:rPr>
        <w:t>שבעבירות</w:t>
      </w:r>
      <w:r w:rsidRPr="00BA116D">
        <w:rPr>
          <w:rFonts w:ascii="David" w:hAnsi="David"/>
          <w:b/>
          <w:bCs/>
        </w:rPr>
        <w:t xml:space="preserve"> </w:t>
      </w:r>
      <w:r w:rsidRPr="00BA116D">
        <w:rPr>
          <w:rFonts w:ascii="David" w:hAnsi="David"/>
          <w:b/>
          <w:bCs/>
          <w:rtl/>
        </w:rPr>
        <w:t>כגון</w:t>
      </w:r>
      <w:r w:rsidRPr="00BA116D">
        <w:rPr>
          <w:rFonts w:ascii="David" w:hAnsi="David"/>
          <w:b/>
          <w:bCs/>
        </w:rPr>
        <w:t xml:space="preserve"> </w:t>
      </w:r>
      <w:r w:rsidRPr="00BA116D">
        <w:rPr>
          <w:rFonts w:ascii="David" w:hAnsi="David"/>
          <w:b/>
          <w:bCs/>
          <w:rtl/>
        </w:rPr>
        <w:t>דא, גם</w:t>
      </w:r>
      <w:r w:rsidRPr="00BA116D">
        <w:rPr>
          <w:rFonts w:ascii="David" w:hAnsi="David"/>
          <w:b/>
          <w:bCs/>
        </w:rPr>
        <w:t xml:space="preserve"> </w:t>
      </w:r>
      <w:r w:rsidRPr="00BA116D">
        <w:rPr>
          <w:rFonts w:ascii="David" w:hAnsi="David"/>
          <w:b/>
          <w:bCs/>
          <w:rtl/>
        </w:rPr>
        <w:t>לשיקולי</w:t>
      </w:r>
      <w:r w:rsidRPr="00BA116D">
        <w:rPr>
          <w:rFonts w:ascii="David" w:hAnsi="David"/>
          <w:b/>
          <w:bCs/>
        </w:rPr>
        <w:t xml:space="preserve"> </w:t>
      </w:r>
      <w:r w:rsidRPr="00BA116D">
        <w:rPr>
          <w:rFonts w:ascii="David" w:hAnsi="David"/>
          <w:b/>
          <w:bCs/>
          <w:rtl/>
        </w:rPr>
        <w:t>ההרתעה</w:t>
      </w:r>
      <w:r w:rsidRPr="00BA116D">
        <w:rPr>
          <w:rFonts w:ascii="David" w:hAnsi="David"/>
          <w:b/>
          <w:bCs/>
        </w:rPr>
        <w:t xml:space="preserve"> </w:t>
      </w:r>
      <w:r w:rsidRPr="00BA116D">
        <w:rPr>
          <w:rFonts w:ascii="David" w:hAnsi="David"/>
          <w:b/>
          <w:bCs/>
          <w:rtl/>
        </w:rPr>
        <w:t>משקל</w:t>
      </w:r>
      <w:r w:rsidRPr="00BA116D">
        <w:rPr>
          <w:rFonts w:ascii="David" w:hAnsi="David"/>
          <w:b/>
          <w:bCs/>
        </w:rPr>
        <w:t xml:space="preserve"> </w:t>
      </w:r>
      <w:r w:rsidRPr="00BA116D">
        <w:rPr>
          <w:rFonts w:ascii="David" w:hAnsi="David"/>
          <w:b/>
          <w:bCs/>
          <w:rtl/>
        </w:rPr>
        <w:t>של</w:t>
      </w:r>
      <w:r w:rsidRPr="00BA116D">
        <w:rPr>
          <w:rFonts w:ascii="David" w:hAnsi="David"/>
          <w:b/>
          <w:bCs/>
        </w:rPr>
        <w:t xml:space="preserve"> </w:t>
      </w:r>
      <w:r w:rsidRPr="00BA116D">
        <w:rPr>
          <w:rFonts w:ascii="David" w:hAnsi="David"/>
          <w:b/>
          <w:bCs/>
          <w:rtl/>
        </w:rPr>
        <w:t>ממש</w:t>
      </w:r>
      <w:r w:rsidRPr="00BA116D">
        <w:rPr>
          <w:rFonts w:ascii="David" w:hAnsi="David"/>
          <w:b/>
          <w:bCs/>
        </w:rPr>
        <w:t>.</w:t>
      </w:r>
      <w:r w:rsidRPr="00BA116D">
        <w:rPr>
          <w:rFonts w:ascii="David" w:hAnsi="David"/>
          <w:b/>
          <w:bCs/>
          <w:rtl/>
        </w:rPr>
        <w:t>"</w:t>
      </w:r>
    </w:p>
    <w:p w14:paraId="457DA07A" w14:textId="77777777" w:rsidR="00794B39" w:rsidRPr="00BA116D" w:rsidRDefault="00794B39" w:rsidP="00794B39">
      <w:pPr>
        <w:autoSpaceDE w:val="0"/>
        <w:autoSpaceDN w:val="0"/>
        <w:spacing w:line="360" w:lineRule="auto"/>
        <w:ind w:left="1418" w:right="1418"/>
        <w:jc w:val="both"/>
        <w:rPr>
          <w:rFonts w:ascii="David" w:hAnsi="David"/>
        </w:rPr>
      </w:pPr>
    </w:p>
    <w:p w14:paraId="7F823531" w14:textId="77777777" w:rsidR="00794B39" w:rsidRPr="00BA116D" w:rsidRDefault="00794B39" w:rsidP="00794B39">
      <w:pPr>
        <w:spacing w:after="240" w:line="360" w:lineRule="auto"/>
        <w:jc w:val="both"/>
        <w:rPr>
          <w:rFonts w:ascii="David" w:hAnsi="David"/>
          <w:rtl/>
        </w:rPr>
      </w:pPr>
      <w:r w:rsidRPr="00BA116D">
        <w:rPr>
          <w:rFonts w:ascii="David" w:hAnsi="David"/>
          <w:rtl/>
        </w:rPr>
        <w:t>עדים אנו לקריאות של בתי המשפט בכל הערכאות, להעלות את רף הענישה בעבירות הנשק לסוגיהן. ב</w:t>
      </w:r>
      <w:hyperlink r:id="rId27" w:history="1">
        <w:r w:rsidR="00BB70E4" w:rsidRPr="00BB70E4">
          <w:rPr>
            <w:rFonts w:ascii="David" w:hAnsi="David"/>
            <w:color w:val="0000FF"/>
            <w:u w:val="single"/>
            <w:rtl/>
          </w:rPr>
          <w:t>ע"פ 4406/19</w:t>
        </w:r>
      </w:hyperlink>
      <w:r w:rsidRPr="00BA116D">
        <w:rPr>
          <w:rFonts w:ascii="David" w:hAnsi="David"/>
          <w:rtl/>
        </w:rPr>
        <w:t xml:space="preserve"> </w:t>
      </w:r>
      <w:r w:rsidRPr="00BA116D">
        <w:rPr>
          <w:rFonts w:ascii="David" w:hAnsi="David"/>
          <w:b/>
          <w:bCs/>
          <w:rtl/>
        </w:rPr>
        <w:t>מדינת ישראל נ' יונס סובח</w:t>
      </w:r>
      <w:r w:rsidRPr="00BA116D">
        <w:rPr>
          <w:rFonts w:ascii="David" w:hAnsi="David"/>
          <w:rtl/>
        </w:rPr>
        <w:t xml:space="preserve"> (05.11.19 [פורסם בנבו]) יצאה קריאה ברורה ומפורשת להחמיר בענישה בעבירות נשק:</w:t>
      </w:r>
    </w:p>
    <w:p w14:paraId="413FA6F1" w14:textId="77777777" w:rsidR="00794B39" w:rsidRPr="00BA116D" w:rsidRDefault="00794B39" w:rsidP="00794B39">
      <w:pPr>
        <w:autoSpaceDE w:val="0"/>
        <w:autoSpaceDN w:val="0"/>
        <w:spacing w:line="360" w:lineRule="auto"/>
        <w:ind w:left="567" w:right="567"/>
        <w:jc w:val="both"/>
        <w:rPr>
          <w:rFonts w:ascii="David" w:hAnsi="David"/>
          <w:b/>
          <w:bCs/>
          <w:sz w:val="22"/>
          <w:szCs w:val="22"/>
          <w:rtl/>
        </w:rPr>
      </w:pPr>
      <w:r w:rsidRPr="00BA116D">
        <w:rPr>
          <w:rFonts w:ascii="David" w:hAnsi="David"/>
          <w:b/>
          <w:bCs/>
          <w:rtl/>
        </w:rPr>
        <w:t>"המאבק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w:t>
      </w:r>
    </w:p>
    <w:p w14:paraId="41F4350E" w14:textId="77777777" w:rsidR="00794B39" w:rsidRPr="00BA116D" w:rsidRDefault="00794B39" w:rsidP="00794B39">
      <w:pPr>
        <w:autoSpaceDE w:val="0"/>
        <w:autoSpaceDN w:val="0"/>
        <w:spacing w:line="360" w:lineRule="auto"/>
        <w:ind w:left="1418" w:right="1418"/>
        <w:jc w:val="both"/>
        <w:rPr>
          <w:rFonts w:ascii="David" w:hAnsi="David"/>
          <w:rtl/>
        </w:rPr>
      </w:pPr>
    </w:p>
    <w:p w14:paraId="50A43B31" w14:textId="77777777" w:rsidR="00794B39" w:rsidRPr="00BA116D" w:rsidRDefault="00794B39" w:rsidP="00794B39">
      <w:pPr>
        <w:autoSpaceDE w:val="0"/>
        <w:autoSpaceDN w:val="0"/>
        <w:spacing w:line="360" w:lineRule="auto"/>
        <w:jc w:val="both"/>
        <w:rPr>
          <w:rFonts w:ascii="David" w:hAnsi="David"/>
        </w:rPr>
      </w:pPr>
      <w:r w:rsidRPr="00BA116D">
        <w:rPr>
          <w:rFonts w:ascii="David" w:hAnsi="David"/>
          <w:rtl/>
        </w:rPr>
        <w:t>כפי שנכתב ב</w:t>
      </w:r>
      <w:hyperlink r:id="rId28" w:history="1">
        <w:r w:rsidR="00BB70E4" w:rsidRPr="00BB70E4">
          <w:rPr>
            <w:rFonts w:ascii="David" w:hAnsi="David"/>
            <w:color w:val="0000FF"/>
            <w:u w:val="single"/>
            <w:rtl/>
          </w:rPr>
          <w:t>ע"פ 6383/21</w:t>
        </w:r>
      </w:hyperlink>
      <w:r w:rsidRPr="00BA116D">
        <w:rPr>
          <w:rFonts w:ascii="David" w:hAnsi="David"/>
          <w:rtl/>
        </w:rPr>
        <w:t xml:space="preserve"> </w:t>
      </w:r>
      <w:r w:rsidRPr="00BA116D">
        <w:rPr>
          <w:rFonts w:ascii="David" w:hAnsi="David"/>
          <w:b/>
          <w:bCs/>
          <w:rtl/>
        </w:rPr>
        <w:t>קריף נ' מדינת ישראל</w:t>
      </w:r>
      <w:r w:rsidRPr="00BA116D">
        <w:rPr>
          <w:rFonts w:ascii="David" w:hAnsi="David"/>
          <w:rtl/>
        </w:rPr>
        <w:t xml:space="preserve"> (13.02.22):</w:t>
      </w:r>
    </w:p>
    <w:p w14:paraId="477FB03A" w14:textId="77777777" w:rsidR="00794B39" w:rsidRPr="00BA116D" w:rsidRDefault="00794B39" w:rsidP="00794B39">
      <w:pPr>
        <w:autoSpaceDE w:val="0"/>
        <w:autoSpaceDN w:val="0"/>
        <w:spacing w:line="360" w:lineRule="auto"/>
        <w:ind w:left="567" w:right="567"/>
        <w:jc w:val="both"/>
        <w:rPr>
          <w:rFonts w:ascii="David" w:hAnsi="David"/>
          <w:b/>
          <w:bCs/>
          <w:rtl/>
        </w:rPr>
      </w:pPr>
      <w:r w:rsidRPr="00BA116D">
        <w:rPr>
          <w:rFonts w:ascii="David" w:hAnsi="David"/>
          <w:rtl/>
        </w:rPr>
        <w:t>"</w:t>
      </w:r>
      <w:r w:rsidRPr="00BA116D">
        <w:rPr>
          <w:rFonts w:ascii="David" w:hAnsi="David"/>
          <w:b/>
          <w:bCs/>
          <w:rtl/>
        </w:rPr>
        <w:t xml:space="preserve">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 ענישה מחמירה, מעבר לזו שהייתה נקוטה בעבר. בפסיקה הובהר שוב ושוב בשנים האחרונות כי הענישה בעבירות נשק צריכה להיות מחמירה. לצערנו מספרן והיקפן של עבירות אלה גדלים בשנים האחרונות. פגיעתו הרעה של הנשק אינה תחומה לסביבה העבריינית. לא פעם נפגעי העבירה נקלעים למקום במקרה, ואינם קשורים למעגל עברייני כלשהו. כל חטאו של נפגע עבירה, לפעמים, הוא בכך שיצא מביתו ובחר להסתובב ברשות הרבים. </w:t>
      </w:r>
    </w:p>
    <w:p w14:paraId="08986A5B" w14:textId="77777777" w:rsidR="00794B39" w:rsidRPr="00BA116D" w:rsidRDefault="00794B39" w:rsidP="00794B39">
      <w:pPr>
        <w:autoSpaceDE w:val="0"/>
        <w:autoSpaceDN w:val="0"/>
        <w:spacing w:line="360" w:lineRule="auto"/>
        <w:ind w:left="567" w:right="567"/>
        <w:jc w:val="both"/>
        <w:rPr>
          <w:rFonts w:ascii="David" w:hAnsi="David"/>
          <w:rtl/>
        </w:rPr>
      </w:pPr>
      <w:r w:rsidRPr="00BA116D">
        <w:rPr>
          <w:rFonts w:ascii="David" w:hAnsi="David"/>
          <w:b/>
          <w:bCs/>
          <w:rtl/>
        </w:rPr>
        <w:t>הפגיעה אף אינה תחומה רק לנזק הפיזי שנגרם כתוצאה מהשימוש בנשק בלבד. השימוש בנשק עלול ליצור תחושת חשש, ופחד מפני ביצוע פעולה אלמנטרית שעומדת בליבת חופש התנועה. בכך נוצרת "הרתעה" של הנפגע הפוטנציאלי. זהו רובד אחד. רובד נוסף הוא התעצמות הפעילות העבריינית, פועלה ושאיפתה לשלוט בתחומים רחבים ושונים...אקדח שיורה "במערכה השלישית" גורם כמובן לנזק רב, אך גם אקדח שמונח על השולחן "במערכה הראשונה" – אף אם לא נעשה בו כל שימוש אחר בהמשך – עלול לפגוע בשלום הציבור באופן ממשי. יש לקשור אפוא מלחמת חורמה על עבירות הנשק למיניהן, וגם על בית המשפט לתרום את חלקו למלחמה זו באמצעות ענישה הולמת ומרתיעה...אין להפריז במשקל שיש לתת לנתונים כגון סוג האקדח, ולקבוע מעין "מדרגה עונשית" שמתמקדת אך ורק בנתון זה ובתוצאה, ולא בסיכון שנוצר. העיקר נעוץ, כאמור, בכוחו של הנשק לפגוע באדם – ואף להמיתו – ולשבש את חיי השגרה של החברה. כפי שהובהר, חלק מרעתן החולה של עבירות הנשק מצוי לאו דווקא בשימוש הישיר בנשק, אלא בנזקים שנלווים להחזקה ונשיאה של כלי נשק בידי אזרחים באופן בלתי חוקי.</w:t>
      </w:r>
      <w:r w:rsidRPr="00BA116D">
        <w:rPr>
          <w:rFonts w:ascii="David" w:hAnsi="David"/>
          <w:rtl/>
        </w:rPr>
        <w:t xml:space="preserve">" </w:t>
      </w:r>
    </w:p>
    <w:p w14:paraId="5A34CAE5" w14:textId="77777777" w:rsidR="00794B39" w:rsidRPr="00BA116D" w:rsidRDefault="00794B39" w:rsidP="00794B39">
      <w:pPr>
        <w:autoSpaceDE w:val="0"/>
        <w:autoSpaceDN w:val="0"/>
        <w:spacing w:line="360" w:lineRule="auto"/>
        <w:jc w:val="both"/>
        <w:rPr>
          <w:rFonts w:ascii="David" w:hAnsi="David"/>
          <w:rtl/>
        </w:rPr>
      </w:pPr>
    </w:p>
    <w:p w14:paraId="3658A8FB" w14:textId="77777777" w:rsidR="00794B39" w:rsidRPr="00BA116D" w:rsidRDefault="00794B39" w:rsidP="00794B39">
      <w:pPr>
        <w:autoSpaceDE w:val="0"/>
        <w:autoSpaceDN w:val="0"/>
        <w:spacing w:line="360" w:lineRule="auto"/>
        <w:jc w:val="both"/>
        <w:rPr>
          <w:rFonts w:ascii="David" w:hAnsi="David"/>
          <w:rtl/>
        </w:rPr>
      </w:pPr>
      <w:r w:rsidRPr="00BA116D">
        <w:rPr>
          <w:rFonts w:ascii="David" w:hAnsi="David"/>
          <w:rtl/>
        </w:rPr>
        <w:t>באשר ל</w:t>
      </w:r>
      <w:r>
        <w:rPr>
          <w:rFonts w:ascii="David" w:hAnsi="David" w:hint="cs"/>
          <w:rtl/>
        </w:rPr>
        <w:t xml:space="preserve">טיעוני ב"כ הנאשם </w:t>
      </w:r>
      <w:r w:rsidRPr="00BA116D">
        <w:rPr>
          <w:rFonts w:ascii="David" w:hAnsi="David"/>
          <w:rtl/>
        </w:rPr>
        <w:t>לקביעת מתחמי ענישה חמורים פחות מאלו שאליהם הפנתה המאשימה מצאתי לנכון להפנות לדברים נוספים שנכתבו בעניין סובח, שלדאבון הלב, רלוונטיים מתמיד בימים טרופים אלה כאשר אנו מתבשרים חדשות לבקרים על שימוש לא חוקי בנשק בסביבה אזרחית:</w:t>
      </w:r>
    </w:p>
    <w:p w14:paraId="02576D58" w14:textId="77777777" w:rsidR="00794B39" w:rsidRPr="00BA116D" w:rsidRDefault="00794B39" w:rsidP="00794B39">
      <w:pPr>
        <w:autoSpaceDE w:val="0"/>
        <w:autoSpaceDN w:val="0"/>
        <w:spacing w:line="360" w:lineRule="auto"/>
        <w:ind w:left="567" w:right="567"/>
        <w:jc w:val="both"/>
        <w:rPr>
          <w:rFonts w:ascii="David" w:hAnsi="David"/>
          <w:b/>
          <w:bCs/>
          <w:rtl/>
        </w:rPr>
      </w:pPr>
      <w:r w:rsidRPr="00BA116D">
        <w:rPr>
          <w:rFonts w:ascii="David" w:hAnsi="David"/>
          <w:b/>
          <w:bCs/>
          <w:rtl/>
        </w:rPr>
        <w:t>"..לעיתים</w:t>
      </w:r>
      <w:r w:rsidRPr="00BA116D">
        <w:rPr>
          <w:rFonts w:ascii="David" w:hAnsi="David"/>
          <w:b/>
          <w:bCs/>
        </w:rPr>
        <w:t xml:space="preserve"> </w:t>
      </w:r>
      <w:r w:rsidRPr="00BA116D">
        <w:rPr>
          <w:rFonts w:ascii="David" w:hAnsi="David"/>
          <w:b/>
          <w:bCs/>
          <w:rtl/>
        </w:rPr>
        <w:t>מדיניות</w:t>
      </w:r>
      <w:r w:rsidRPr="00BA116D">
        <w:rPr>
          <w:rFonts w:ascii="David" w:hAnsi="David"/>
          <w:b/>
          <w:bCs/>
        </w:rPr>
        <w:t xml:space="preserve"> </w:t>
      </w:r>
      <w:r w:rsidRPr="00BA116D">
        <w:rPr>
          <w:rFonts w:ascii="David" w:hAnsi="David"/>
          <w:b/>
          <w:bCs/>
          <w:rtl/>
        </w:rPr>
        <w:t>הענישה</w:t>
      </w:r>
      <w:r w:rsidRPr="00BA116D">
        <w:rPr>
          <w:rFonts w:ascii="David" w:hAnsi="David"/>
          <w:b/>
          <w:bCs/>
        </w:rPr>
        <w:t xml:space="preserve"> </w:t>
      </w:r>
      <w:r w:rsidRPr="00BA116D">
        <w:rPr>
          <w:rFonts w:ascii="David" w:hAnsi="David"/>
          <w:b/>
          <w:bCs/>
          <w:rtl/>
        </w:rPr>
        <w:t>הנוהגת</w:t>
      </w:r>
      <w:r w:rsidRPr="00BA116D">
        <w:rPr>
          <w:rFonts w:ascii="David" w:hAnsi="David"/>
          <w:b/>
          <w:bCs/>
        </w:rPr>
        <w:t xml:space="preserve"> </w:t>
      </w:r>
      <w:r w:rsidRPr="00BA116D">
        <w:rPr>
          <w:rFonts w:ascii="David" w:hAnsi="David"/>
          <w:b/>
          <w:bCs/>
          <w:rtl/>
        </w:rPr>
        <w:t>ביחס</w:t>
      </w:r>
      <w:r w:rsidRPr="00BA116D">
        <w:rPr>
          <w:rFonts w:ascii="David" w:hAnsi="David"/>
          <w:b/>
          <w:bCs/>
        </w:rPr>
        <w:t xml:space="preserve"> </w:t>
      </w:r>
      <w:r w:rsidRPr="00BA116D">
        <w:rPr>
          <w:rFonts w:ascii="David" w:hAnsi="David"/>
          <w:b/>
          <w:bCs/>
          <w:rtl/>
        </w:rPr>
        <w:t>לעבירה</w:t>
      </w:r>
      <w:r w:rsidRPr="00BA116D">
        <w:rPr>
          <w:rFonts w:ascii="David" w:hAnsi="David"/>
          <w:b/>
          <w:bCs/>
        </w:rPr>
        <w:t xml:space="preserve"> </w:t>
      </w:r>
      <w:r w:rsidRPr="00BA116D">
        <w:rPr>
          <w:rFonts w:ascii="David" w:hAnsi="David"/>
          <w:b/>
          <w:bCs/>
          <w:rtl/>
        </w:rPr>
        <w:t>מסוימת</w:t>
      </w:r>
      <w:r w:rsidRPr="00BA116D">
        <w:rPr>
          <w:rFonts w:ascii="David" w:hAnsi="David"/>
          <w:b/>
          <w:bCs/>
        </w:rPr>
        <w:t xml:space="preserve"> </w:t>
      </w:r>
      <w:r w:rsidRPr="00BA116D">
        <w:rPr>
          <w:rFonts w:ascii="David" w:hAnsi="David"/>
          <w:b/>
          <w:bCs/>
          <w:rtl/>
        </w:rPr>
        <w:t>אינה</w:t>
      </w:r>
      <w:r w:rsidRPr="00BA116D">
        <w:rPr>
          <w:rFonts w:ascii="David" w:hAnsi="David"/>
          <w:b/>
          <w:bCs/>
        </w:rPr>
        <w:t xml:space="preserve"> </w:t>
      </w:r>
      <w:r w:rsidRPr="00BA116D">
        <w:rPr>
          <w:rFonts w:ascii="David" w:hAnsi="David"/>
          <w:b/>
          <w:bCs/>
          <w:rtl/>
        </w:rPr>
        <w:t>מספקת, ועל</w:t>
      </w:r>
      <w:r w:rsidRPr="00BA116D">
        <w:rPr>
          <w:rFonts w:ascii="David" w:hAnsi="David"/>
          <w:b/>
          <w:bCs/>
        </w:rPr>
        <w:t xml:space="preserve"> </w:t>
      </w:r>
      <w:r w:rsidRPr="00BA116D">
        <w:rPr>
          <w:rFonts w:ascii="David" w:hAnsi="David"/>
          <w:b/>
          <w:bCs/>
          <w:rtl/>
        </w:rPr>
        <w:t>בית</w:t>
      </w:r>
      <w:r w:rsidRPr="00BA116D">
        <w:rPr>
          <w:rFonts w:ascii="David" w:hAnsi="David"/>
          <w:b/>
          <w:bCs/>
        </w:rPr>
        <w:t xml:space="preserve"> </w:t>
      </w:r>
      <w:r w:rsidRPr="00BA116D">
        <w:rPr>
          <w:rFonts w:ascii="David" w:hAnsi="David"/>
          <w:b/>
          <w:bCs/>
          <w:rtl/>
        </w:rPr>
        <w:t>המשפט</w:t>
      </w:r>
      <w:r w:rsidRPr="00BA116D">
        <w:rPr>
          <w:rFonts w:ascii="David" w:hAnsi="David"/>
          <w:b/>
          <w:bCs/>
        </w:rPr>
        <w:t xml:space="preserve"> </w:t>
      </w:r>
      <w:r w:rsidRPr="00BA116D">
        <w:rPr>
          <w:rFonts w:ascii="David" w:hAnsi="David"/>
          <w:b/>
          <w:bCs/>
          <w:rtl/>
        </w:rPr>
        <w:t>להורות</w:t>
      </w:r>
      <w:r w:rsidRPr="00BA116D">
        <w:rPr>
          <w:rFonts w:ascii="David" w:hAnsi="David"/>
          <w:b/>
          <w:bCs/>
        </w:rPr>
        <w:t xml:space="preserve"> </w:t>
      </w:r>
      <w:r w:rsidRPr="00BA116D">
        <w:rPr>
          <w:rFonts w:ascii="David" w:hAnsi="David"/>
          <w:b/>
          <w:bCs/>
          <w:rtl/>
        </w:rPr>
        <w:t>על</w:t>
      </w:r>
      <w:r w:rsidRPr="00BA116D">
        <w:rPr>
          <w:rFonts w:ascii="David" w:hAnsi="David"/>
          <w:b/>
          <w:bCs/>
        </w:rPr>
        <w:t xml:space="preserve"> </w:t>
      </w:r>
      <w:r w:rsidRPr="00BA116D">
        <w:rPr>
          <w:rFonts w:ascii="David" w:hAnsi="David"/>
          <w:b/>
          <w:bCs/>
          <w:rtl/>
        </w:rPr>
        <w:t>החמרה</w:t>
      </w:r>
      <w:r w:rsidRPr="00BA116D">
        <w:rPr>
          <w:rFonts w:ascii="David" w:hAnsi="David"/>
          <w:b/>
          <w:bCs/>
        </w:rPr>
        <w:t xml:space="preserve"> </w:t>
      </w:r>
      <w:r w:rsidRPr="00BA116D">
        <w:rPr>
          <w:rFonts w:ascii="David" w:hAnsi="David"/>
          <w:b/>
          <w:bCs/>
          <w:rtl/>
        </w:rPr>
        <w:t>בענישה</w:t>
      </w:r>
      <w:r w:rsidRPr="00BA116D">
        <w:rPr>
          <w:rFonts w:ascii="David" w:hAnsi="David"/>
          <w:b/>
          <w:bCs/>
        </w:rPr>
        <w:t xml:space="preserve"> </w:t>
      </w:r>
      <w:r w:rsidRPr="00BA116D">
        <w:rPr>
          <w:rFonts w:ascii="David" w:hAnsi="David"/>
          <w:b/>
          <w:bCs/>
          <w:rtl/>
        </w:rPr>
        <w:t>על</w:t>
      </w:r>
      <w:r w:rsidRPr="00BA116D">
        <w:rPr>
          <w:rFonts w:ascii="David" w:hAnsi="David"/>
          <w:b/>
          <w:bCs/>
        </w:rPr>
        <w:t xml:space="preserve"> </w:t>
      </w:r>
      <w:r w:rsidRPr="00BA116D">
        <w:rPr>
          <w:rFonts w:ascii="David" w:hAnsi="David"/>
          <w:b/>
          <w:bCs/>
          <w:rtl/>
        </w:rPr>
        <w:t>מנת</w:t>
      </w:r>
      <w:r w:rsidRPr="00BA116D">
        <w:rPr>
          <w:rFonts w:ascii="David" w:hAnsi="David"/>
          <w:b/>
          <w:bCs/>
        </w:rPr>
        <w:t xml:space="preserve"> </w:t>
      </w:r>
      <w:r w:rsidRPr="00BA116D">
        <w:rPr>
          <w:rFonts w:ascii="David" w:hAnsi="David"/>
          <w:b/>
          <w:bCs/>
          <w:rtl/>
        </w:rPr>
        <w:t>לקדם</w:t>
      </w:r>
      <w:r w:rsidRPr="00BA116D">
        <w:rPr>
          <w:rFonts w:ascii="David" w:hAnsi="David"/>
          <w:b/>
          <w:bCs/>
        </w:rPr>
        <w:t xml:space="preserve"> </w:t>
      </w:r>
      <w:r w:rsidRPr="00BA116D">
        <w:rPr>
          <w:rFonts w:ascii="David" w:hAnsi="David"/>
          <w:b/>
          <w:bCs/>
          <w:rtl/>
        </w:rPr>
        <w:t>ולהגן</w:t>
      </w:r>
      <w:r w:rsidRPr="00BA116D">
        <w:rPr>
          <w:rFonts w:ascii="David" w:hAnsi="David"/>
          <w:b/>
          <w:bCs/>
        </w:rPr>
        <w:t xml:space="preserve"> </w:t>
      </w:r>
      <w:r w:rsidRPr="00BA116D">
        <w:rPr>
          <w:rFonts w:ascii="David" w:hAnsi="David"/>
          <w:b/>
          <w:bCs/>
          <w:rtl/>
        </w:rPr>
        <w:t>על</w:t>
      </w:r>
      <w:r w:rsidRPr="00BA116D">
        <w:rPr>
          <w:rFonts w:ascii="David" w:hAnsi="David"/>
          <w:b/>
          <w:bCs/>
        </w:rPr>
        <w:t xml:space="preserve"> </w:t>
      </w:r>
      <w:r w:rsidRPr="00BA116D">
        <w:rPr>
          <w:rFonts w:ascii="David" w:hAnsi="David"/>
          <w:b/>
          <w:bCs/>
          <w:rtl/>
        </w:rPr>
        <w:t>הערכים</w:t>
      </w:r>
      <w:r w:rsidRPr="00BA116D">
        <w:rPr>
          <w:rFonts w:ascii="David" w:hAnsi="David"/>
          <w:b/>
          <w:bCs/>
        </w:rPr>
        <w:t xml:space="preserve"> </w:t>
      </w:r>
      <w:r w:rsidRPr="00BA116D">
        <w:rPr>
          <w:rFonts w:ascii="David" w:hAnsi="David"/>
          <w:b/>
          <w:bCs/>
          <w:rtl/>
        </w:rPr>
        <w:t>אשר</w:t>
      </w:r>
      <w:r w:rsidRPr="00BA116D">
        <w:rPr>
          <w:rFonts w:ascii="David" w:hAnsi="David"/>
          <w:b/>
          <w:bCs/>
        </w:rPr>
        <w:t xml:space="preserve"> </w:t>
      </w:r>
      <w:r w:rsidRPr="00BA116D">
        <w:rPr>
          <w:rFonts w:ascii="David" w:hAnsi="David"/>
          <w:b/>
          <w:bCs/>
          <w:rtl/>
        </w:rPr>
        <w:t>ביסודה, ובכך</w:t>
      </w:r>
      <w:r w:rsidRPr="00BA116D">
        <w:rPr>
          <w:rFonts w:ascii="David" w:hAnsi="David"/>
          <w:b/>
          <w:bCs/>
        </w:rPr>
        <w:t xml:space="preserve"> </w:t>
      </w:r>
      <w:r w:rsidRPr="00BA116D">
        <w:rPr>
          <w:rFonts w:ascii="David" w:hAnsi="David"/>
          <w:b/>
          <w:bCs/>
          <w:rtl/>
        </w:rPr>
        <w:t>לבלום</w:t>
      </w:r>
      <w:r w:rsidRPr="00BA116D">
        <w:rPr>
          <w:rFonts w:ascii="David" w:hAnsi="David"/>
          <w:b/>
          <w:bCs/>
        </w:rPr>
        <w:t xml:space="preserve"> </w:t>
      </w:r>
      <w:r w:rsidRPr="00BA116D">
        <w:rPr>
          <w:rFonts w:ascii="David" w:hAnsi="David"/>
          <w:b/>
          <w:bCs/>
          <w:rtl/>
        </w:rPr>
        <w:t>את</w:t>
      </w:r>
      <w:r w:rsidRPr="00BA116D">
        <w:rPr>
          <w:rFonts w:ascii="David" w:hAnsi="David"/>
          <w:b/>
          <w:bCs/>
        </w:rPr>
        <w:t xml:space="preserve"> </w:t>
      </w:r>
      <w:r w:rsidRPr="00BA116D">
        <w:rPr>
          <w:rFonts w:ascii="David" w:hAnsi="David"/>
          <w:b/>
          <w:bCs/>
          <w:rtl/>
        </w:rPr>
        <w:t>נפיצותן</w:t>
      </w:r>
      <w:r w:rsidRPr="00BA116D">
        <w:rPr>
          <w:rFonts w:ascii="David" w:hAnsi="David"/>
          <w:b/>
          <w:bCs/>
        </w:rPr>
        <w:t xml:space="preserve"> </w:t>
      </w:r>
      <w:r w:rsidRPr="00BA116D">
        <w:rPr>
          <w:rFonts w:ascii="David" w:hAnsi="David"/>
          <w:b/>
          <w:bCs/>
          <w:rtl/>
        </w:rPr>
        <w:t>של</w:t>
      </w:r>
      <w:r w:rsidRPr="00BA116D">
        <w:rPr>
          <w:rFonts w:ascii="David" w:hAnsi="David"/>
          <w:b/>
          <w:bCs/>
        </w:rPr>
        <w:t xml:space="preserve"> </w:t>
      </w:r>
      <w:r w:rsidRPr="00BA116D">
        <w:rPr>
          <w:rFonts w:ascii="David" w:hAnsi="David"/>
          <w:b/>
          <w:bCs/>
          <w:rtl/>
        </w:rPr>
        <w:t>עבירות</w:t>
      </w:r>
      <w:r w:rsidRPr="00BA116D">
        <w:rPr>
          <w:rFonts w:ascii="David" w:hAnsi="David"/>
          <w:b/>
          <w:bCs/>
        </w:rPr>
        <w:t xml:space="preserve"> </w:t>
      </w:r>
      <w:r w:rsidRPr="00BA116D">
        <w:rPr>
          <w:rFonts w:ascii="David" w:hAnsi="David"/>
          <w:b/>
          <w:bCs/>
          <w:rtl/>
        </w:rPr>
        <w:t>מסוימות</w:t>
      </w:r>
      <w:r w:rsidRPr="00BA116D">
        <w:rPr>
          <w:rFonts w:ascii="David" w:hAnsi="David"/>
          <w:b/>
          <w:bCs/>
        </w:rPr>
        <w:t xml:space="preserve"> </w:t>
      </w:r>
      <w:r w:rsidRPr="00BA116D">
        <w:rPr>
          <w:rFonts w:ascii="David" w:hAnsi="David"/>
          <w:b/>
          <w:bCs/>
          <w:rtl/>
        </w:rPr>
        <w:t>ההופכות</w:t>
      </w:r>
      <w:r w:rsidRPr="00BA116D">
        <w:rPr>
          <w:rFonts w:ascii="David" w:hAnsi="David"/>
          <w:b/>
          <w:bCs/>
        </w:rPr>
        <w:t xml:space="preserve"> </w:t>
      </w:r>
      <w:r w:rsidRPr="00BA116D">
        <w:rPr>
          <w:rFonts w:ascii="David" w:hAnsi="David"/>
          <w:b/>
          <w:bCs/>
          <w:rtl/>
        </w:rPr>
        <w:t>ל'מכת</w:t>
      </w:r>
      <w:r w:rsidRPr="00BA116D">
        <w:rPr>
          <w:rFonts w:ascii="David" w:hAnsi="David"/>
          <w:b/>
          <w:bCs/>
        </w:rPr>
        <w:t xml:space="preserve"> </w:t>
      </w:r>
      <w:r w:rsidRPr="00BA116D">
        <w:rPr>
          <w:rFonts w:ascii="David" w:hAnsi="David"/>
          <w:b/>
          <w:bCs/>
          <w:rtl/>
        </w:rPr>
        <w:t>מדינה', ולתת</w:t>
      </w:r>
      <w:r w:rsidRPr="00BA116D">
        <w:rPr>
          <w:rFonts w:ascii="David" w:hAnsi="David"/>
          <w:b/>
          <w:bCs/>
        </w:rPr>
        <w:t xml:space="preserve"> </w:t>
      </w:r>
      <w:r w:rsidRPr="00BA116D">
        <w:rPr>
          <w:rFonts w:ascii="David" w:hAnsi="David"/>
          <w:b/>
          <w:bCs/>
          <w:rtl/>
        </w:rPr>
        <w:t>ביטוי</w:t>
      </w:r>
      <w:r w:rsidRPr="00BA116D">
        <w:rPr>
          <w:rFonts w:ascii="David" w:hAnsi="David"/>
          <w:b/>
          <w:bCs/>
        </w:rPr>
        <w:t xml:space="preserve"> </w:t>
      </w:r>
      <w:r w:rsidRPr="00BA116D">
        <w:rPr>
          <w:rFonts w:ascii="David" w:hAnsi="David"/>
          <w:b/>
          <w:bCs/>
          <w:rtl/>
        </w:rPr>
        <w:t>לחומרה</w:t>
      </w:r>
      <w:r w:rsidRPr="00BA116D">
        <w:rPr>
          <w:rFonts w:ascii="David" w:hAnsi="David"/>
          <w:b/>
          <w:bCs/>
        </w:rPr>
        <w:t xml:space="preserve"> </w:t>
      </w:r>
      <w:r w:rsidRPr="00BA116D">
        <w:rPr>
          <w:rFonts w:ascii="David" w:hAnsi="David"/>
          <w:b/>
          <w:bCs/>
          <w:rtl/>
        </w:rPr>
        <w:t>שיש</w:t>
      </w:r>
      <w:r w:rsidRPr="00BA116D">
        <w:rPr>
          <w:rFonts w:ascii="David" w:hAnsi="David"/>
          <w:b/>
          <w:bCs/>
        </w:rPr>
        <w:t xml:space="preserve"> </w:t>
      </w:r>
      <w:r w:rsidRPr="00BA116D">
        <w:rPr>
          <w:rFonts w:ascii="David" w:hAnsi="David"/>
          <w:b/>
          <w:bCs/>
          <w:rtl/>
        </w:rPr>
        <w:t>לייחס</w:t>
      </w:r>
      <w:r w:rsidRPr="00BA116D">
        <w:rPr>
          <w:rFonts w:ascii="David" w:hAnsi="David"/>
          <w:b/>
          <w:bCs/>
        </w:rPr>
        <w:t xml:space="preserve"> </w:t>
      </w:r>
      <w:r w:rsidRPr="00BA116D">
        <w:rPr>
          <w:rFonts w:ascii="David" w:hAnsi="David"/>
          <w:b/>
          <w:bCs/>
          <w:rtl/>
        </w:rPr>
        <w:t>להן...השימוש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...על רקע המציאות אותה אנו חווים למרבה הצער מדי יום, אנו עדים לקריאה ציבורית נרגשת להגברת האכיפה כלפי עבירות נשק – ולהחמרה במדיניות הענישה הנוהגת...</w:t>
      </w:r>
      <w:r w:rsidRPr="00BA116D">
        <w:rPr>
          <w:rFonts w:ascii="David" w:hAnsi="David"/>
          <w:b/>
          <w:bCs/>
          <w:spacing w:val="10"/>
          <w:rtl/>
        </w:rPr>
        <w:t xml:space="preserve"> </w:t>
      </w:r>
      <w:r w:rsidRPr="00BA116D">
        <w:rPr>
          <w:rFonts w:ascii="David" w:hAnsi="David"/>
          <w:b/>
          <w:bCs/>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6F0A795F" w14:textId="77777777" w:rsidR="00794B39" w:rsidRPr="00BA116D" w:rsidRDefault="00794B39" w:rsidP="00794B39">
      <w:pPr>
        <w:autoSpaceDE w:val="0"/>
        <w:autoSpaceDN w:val="0"/>
        <w:spacing w:line="360" w:lineRule="auto"/>
        <w:ind w:left="567" w:right="567"/>
        <w:jc w:val="both"/>
        <w:rPr>
          <w:rFonts w:ascii="David" w:hAnsi="David"/>
          <w:b/>
          <w:bCs/>
          <w:rtl/>
        </w:rPr>
      </w:pPr>
      <w:r w:rsidRPr="00BA116D">
        <w:rPr>
          <w:rFonts w:ascii="David" w:hAnsi="David"/>
          <w:b/>
          <w:bCs/>
          <w:rtl/>
        </w:rPr>
        <w:t>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עוינים ובכללם גורמי טרור.</w:t>
      </w:r>
    </w:p>
    <w:p w14:paraId="7FDF1863" w14:textId="77777777" w:rsidR="00794B39" w:rsidRPr="00BA116D" w:rsidRDefault="00794B39" w:rsidP="00794B39">
      <w:pPr>
        <w:autoSpaceDE w:val="0"/>
        <w:autoSpaceDN w:val="0"/>
        <w:spacing w:line="360" w:lineRule="auto"/>
        <w:ind w:left="567" w:right="567"/>
        <w:jc w:val="both"/>
        <w:rPr>
          <w:rFonts w:ascii="David" w:hAnsi="David"/>
          <w:b/>
          <w:bCs/>
          <w:rtl/>
        </w:rPr>
      </w:pPr>
    </w:p>
    <w:p w14:paraId="2CB78DDE" w14:textId="77777777" w:rsidR="00794B39" w:rsidRPr="00BA116D" w:rsidRDefault="00794B39" w:rsidP="00794B39">
      <w:pPr>
        <w:autoSpaceDE w:val="0"/>
        <w:autoSpaceDN w:val="0"/>
        <w:spacing w:line="360" w:lineRule="auto"/>
        <w:ind w:left="567" w:right="567"/>
        <w:jc w:val="both"/>
        <w:rPr>
          <w:rFonts w:ascii="David" w:hAnsi="David"/>
          <w:b/>
          <w:bCs/>
          <w:rtl/>
        </w:rPr>
      </w:pPr>
      <w:r w:rsidRPr="00BA116D">
        <w:rPr>
          <w:rFonts w:ascii="David" w:hAnsi="David"/>
          <w:b/>
          <w:bCs/>
          <w:rtl/>
        </w:rPr>
        <w:t xml:space="preserve">נמצא אפוא כי בנסיבות דהיום, ראוי ונכון להחמיר את מדיניות הענישה הנוהגת, זאת בין היתר על מנת להרתיע עבריינים פוטנציאליים משימוש בו כאמצעי ליישוב סכסוכים" </w:t>
      </w:r>
    </w:p>
    <w:p w14:paraId="18CA59E3" w14:textId="77777777" w:rsidR="00794B39" w:rsidRPr="00BA116D" w:rsidRDefault="00BB70E4" w:rsidP="00794B39">
      <w:pPr>
        <w:spacing w:line="360" w:lineRule="auto"/>
        <w:jc w:val="both"/>
        <w:rPr>
          <w:rFonts w:ascii="David" w:hAnsi="David"/>
          <w:rtl/>
        </w:rPr>
      </w:pPr>
      <w:r>
        <w:rPr>
          <w:rFonts w:ascii="David" w:hAnsi="David"/>
          <w:rtl/>
        </w:rPr>
        <w:t xml:space="preserve">           </w:t>
      </w:r>
      <w:r w:rsidR="00794B39" w:rsidRPr="00BA116D">
        <w:rPr>
          <w:rFonts w:ascii="David" w:hAnsi="David"/>
          <w:rtl/>
        </w:rPr>
        <w:t xml:space="preserve"> </w:t>
      </w:r>
    </w:p>
    <w:p w14:paraId="25E723F2" w14:textId="77777777" w:rsidR="00794B39" w:rsidRDefault="00794B39" w:rsidP="00794B39">
      <w:pPr>
        <w:spacing w:line="360" w:lineRule="auto"/>
        <w:jc w:val="both"/>
        <w:rPr>
          <w:rFonts w:ascii="David" w:hAnsi="David"/>
          <w:b/>
          <w:bCs/>
          <w:rtl/>
        </w:rPr>
      </w:pPr>
      <w:r w:rsidRPr="00BA116D">
        <w:rPr>
          <w:rFonts w:ascii="David" w:hAnsi="David"/>
          <w:rtl/>
        </w:rPr>
        <w:t>וכפי שנאמר ב</w:t>
      </w:r>
      <w:hyperlink r:id="rId29" w:history="1">
        <w:r w:rsidR="00BB70E4" w:rsidRPr="00BB70E4">
          <w:rPr>
            <w:rFonts w:ascii="David" w:hAnsi="David"/>
            <w:color w:val="0000FF"/>
            <w:u w:val="single"/>
            <w:rtl/>
          </w:rPr>
          <w:t>עפ"ג (חי') 23517-02-20</w:t>
        </w:r>
      </w:hyperlink>
      <w:r w:rsidRPr="00BA116D">
        <w:rPr>
          <w:rFonts w:ascii="David" w:hAnsi="David"/>
          <w:rtl/>
        </w:rPr>
        <w:t xml:space="preserve"> </w:t>
      </w:r>
      <w:r w:rsidRPr="00BA116D">
        <w:rPr>
          <w:rFonts w:ascii="David" w:hAnsi="David"/>
          <w:b/>
          <w:bCs/>
          <w:rtl/>
        </w:rPr>
        <w:t>מדינת ישראל נ' אלכילאני</w:t>
      </w:r>
      <w:r w:rsidRPr="00BA116D">
        <w:rPr>
          <w:rFonts w:ascii="David" w:hAnsi="David"/>
          <w:rtl/>
        </w:rPr>
        <w:t xml:space="preserve"> (28.07.20): "</w:t>
      </w:r>
      <w:r w:rsidRPr="00BA116D">
        <w:rPr>
          <w:rFonts w:ascii="David" w:hAnsi="David"/>
          <w:b/>
          <w:bCs/>
          <w:rtl/>
        </w:rPr>
        <w:t>מגמת</w:t>
      </w:r>
      <w:r w:rsidRPr="00BA116D">
        <w:rPr>
          <w:rFonts w:ascii="David" w:hAnsi="David"/>
          <w:b/>
          <w:bCs/>
        </w:rPr>
        <w:t xml:space="preserve"> </w:t>
      </w:r>
      <w:r w:rsidRPr="00BA116D">
        <w:rPr>
          <w:rFonts w:ascii="David" w:hAnsi="David"/>
          <w:b/>
          <w:bCs/>
          <w:rtl/>
        </w:rPr>
        <w:t>החמרה</w:t>
      </w:r>
      <w:r w:rsidRPr="00BA116D">
        <w:rPr>
          <w:rFonts w:ascii="David" w:hAnsi="David"/>
          <w:b/>
          <w:bCs/>
        </w:rPr>
        <w:t xml:space="preserve"> </w:t>
      </w:r>
      <w:r w:rsidRPr="00BA116D">
        <w:rPr>
          <w:rFonts w:ascii="David" w:hAnsi="David"/>
          <w:b/>
          <w:bCs/>
          <w:rtl/>
        </w:rPr>
        <w:t>זו</w:t>
      </w:r>
      <w:r w:rsidRPr="00BA116D">
        <w:rPr>
          <w:rFonts w:ascii="David" w:hAnsi="David"/>
          <w:b/>
          <w:bCs/>
        </w:rPr>
        <w:t xml:space="preserve"> </w:t>
      </w:r>
      <w:r w:rsidRPr="00BA116D">
        <w:rPr>
          <w:rFonts w:ascii="David" w:hAnsi="David"/>
          <w:b/>
          <w:bCs/>
          <w:rtl/>
        </w:rPr>
        <w:t>ניכרת</w:t>
      </w:r>
      <w:r w:rsidRPr="00BA116D">
        <w:rPr>
          <w:rFonts w:ascii="David" w:hAnsi="David"/>
          <w:b/>
          <w:bCs/>
        </w:rPr>
        <w:t xml:space="preserve"> </w:t>
      </w:r>
      <w:r w:rsidRPr="00BA116D">
        <w:rPr>
          <w:rFonts w:ascii="David" w:hAnsi="David"/>
          <w:b/>
          <w:bCs/>
          <w:rtl/>
        </w:rPr>
        <w:t>במיוחד</w:t>
      </w:r>
      <w:r w:rsidRPr="00BA116D">
        <w:rPr>
          <w:rFonts w:ascii="David" w:hAnsi="David"/>
          <w:b/>
          <w:bCs/>
        </w:rPr>
        <w:t xml:space="preserve"> </w:t>
      </w:r>
      <w:r w:rsidRPr="00BA116D">
        <w:rPr>
          <w:rFonts w:ascii="David" w:hAnsi="David"/>
          <w:b/>
          <w:bCs/>
          <w:rtl/>
        </w:rPr>
        <w:t>בפסיקה</w:t>
      </w:r>
      <w:r w:rsidRPr="00BA116D">
        <w:rPr>
          <w:rFonts w:ascii="David" w:hAnsi="David"/>
          <w:b/>
          <w:bCs/>
        </w:rPr>
        <w:t xml:space="preserve"> </w:t>
      </w:r>
      <w:r w:rsidRPr="00BA116D">
        <w:rPr>
          <w:rFonts w:ascii="David" w:hAnsi="David"/>
          <w:b/>
          <w:bCs/>
          <w:rtl/>
        </w:rPr>
        <w:t>מן</w:t>
      </w:r>
      <w:r w:rsidRPr="00BA116D">
        <w:rPr>
          <w:rFonts w:ascii="David" w:hAnsi="David"/>
          <w:b/>
          <w:bCs/>
        </w:rPr>
        <w:t xml:space="preserve"> </w:t>
      </w:r>
      <w:r w:rsidRPr="00BA116D">
        <w:rPr>
          <w:rFonts w:ascii="David" w:hAnsi="David"/>
          <w:b/>
          <w:bCs/>
          <w:rtl/>
        </w:rPr>
        <w:t>התקופה</w:t>
      </w:r>
      <w:r w:rsidRPr="00BA116D">
        <w:rPr>
          <w:rFonts w:ascii="David" w:hAnsi="David"/>
          <w:b/>
          <w:bCs/>
        </w:rPr>
        <w:t xml:space="preserve"> </w:t>
      </w:r>
      <w:r w:rsidRPr="00BA116D">
        <w:rPr>
          <w:rFonts w:ascii="David" w:hAnsi="David"/>
          <w:b/>
          <w:bCs/>
          <w:u w:val="single"/>
          <w:rtl/>
        </w:rPr>
        <w:t>האחרונה</w:t>
      </w:r>
      <w:r w:rsidRPr="00BA116D">
        <w:rPr>
          <w:rFonts w:ascii="David" w:hAnsi="David"/>
          <w:b/>
          <w:bCs/>
          <w:rtl/>
        </w:rPr>
        <w:t>, החמרה</w:t>
      </w:r>
      <w:r w:rsidRPr="00BA116D">
        <w:rPr>
          <w:rFonts w:ascii="David" w:hAnsi="David"/>
          <w:b/>
          <w:bCs/>
        </w:rPr>
        <w:t xml:space="preserve"> </w:t>
      </w:r>
      <w:r w:rsidRPr="00BA116D">
        <w:rPr>
          <w:rFonts w:ascii="David" w:hAnsi="David"/>
          <w:b/>
          <w:bCs/>
          <w:rtl/>
        </w:rPr>
        <w:t>אשר</w:t>
      </w:r>
      <w:r w:rsidRPr="00BA116D">
        <w:rPr>
          <w:rFonts w:ascii="David" w:hAnsi="David"/>
          <w:b/>
          <w:bCs/>
        </w:rPr>
        <w:t xml:space="preserve"> </w:t>
      </w:r>
      <w:r w:rsidRPr="00BA116D">
        <w:rPr>
          <w:rFonts w:ascii="David" w:hAnsi="David"/>
          <w:b/>
          <w:bCs/>
          <w:rtl/>
        </w:rPr>
        <w:t>באה לידי</w:t>
      </w:r>
      <w:r w:rsidRPr="00BA116D">
        <w:rPr>
          <w:rFonts w:ascii="David" w:hAnsi="David"/>
          <w:b/>
          <w:bCs/>
        </w:rPr>
        <w:t xml:space="preserve"> </w:t>
      </w:r>
      <w:r w:rsidRPr="00BA116D">
        <w:rPr>
          <w:rFonts w:ascii="David" w:hAnsi="David"/>
          <w:b/>
          <w:bCs/>
          <w:rtl/>
        </w:rPr>
        <w:t>ביטוי, בין</w:t>
      </w:r>
      <w:r w:rsidRPr="00BA116D">
        <w:rPr>
          <w:rFonts w:ascii="David" w:hAnsi="David"/>
          <w:b/>
          <w:bCs/>
        </w:rPr>
        <w:t xml:space="preserve"> </w:t>
      </w:r>
      <w:r w:rsidRPr="00BA116D">
        <w:rPr>
          <w:rFonts w:ascii="David" w:hAnsi="David"/>
          <w:b/>
          <w:bCs/>
          <w:rtl/>
        </w:rPr>
        <w:t>היתר, בכך</w:t>
      </w:r>
      <w:r w:rsidRPr="00BA116D">
        <w:rPr>
          <w:rFonts w:ascii="David" w:hAnsi="David"/>
          <w:b/>
          <w:bCs/>
        </w:rPr>
        <w:t xml:space="preserve"> </w:t>
      </w:r>
      <w:r w:rsidRPr="00BA116D">
        <w:rPr>
          <w:rFonts w:ascii="David" w:hAnsi="David"/>
          <w:b/>
          <w:bCs/>
          <w:rtl/>
        </w:rPr>
        <w:t>שהסף</w:t>
      </w:r>
      <w:r w:rsidRPr="00BA116D">
        <w:rPr>
          <w:rFonts w:ascii="David" w:hAnsi="David"/>
          <w:b/>
          <w:bCs/>
        </w:rPr>
        <w:t xml:space="preserve"> </w:t>
      </w:r>
      <w:r w:rsidRPr="00BA116D">
        <w:rPr>
          <w:rFonts w:ascii="David" w:hAnsi="David"/>
          <w:b/>
          <w:bCs/>
          <w:rtl/>
        </w:rPr>
        <w:t>התחתון</w:t>
      </w:r>
      <w:r w:rsidRPr="00BA116D">
        <w:rPr>
          <w:rFonts w:ascii="David" w:hAnsi="David"/>
          <w:b/>
          <w:bCs/>
        </w:rPr>
        <w:t xml:space="preserve"> </w:t>
      </w:r>
      <w:r w:rsidRPr="00BA116D">
        <w:rPr>
          <w:rFonts w:ascii="David" w:hAnsi="David"/>
          <w:b/>
          <w:bCs/>
          <w:rtl/>
        </w:rPr>
        <w:t>של</w:t>
      </w:r>
      <w:r w:rsidRPr="00BA116D">
        <w:rPr>
          <w:rFonts w:ascii="David" w:hAnsi="David"/>
          <w:b/>
          <w:bCs/>
        </w:rPr>
        <w:t xml:space="preserve"> </w:t>
      </w:r>
      <w:r w:rsidRPr="00BA116D">
        <w:rPr>
          <w:rFonts w:ascii="David" w:hAnsi="David"/>
          <w:b/>
          <w:bCs/>
          <w:rtl/>
        </w:rPr>
        <w:t>מתחם</w:t>
      </w:r>
      <w:r w:rsidRPr="00BA116D">
        <w:rPr>
          <w:rFonts w:ascii="David" w:hAnsi="David"/>
          <w:b/>
          <w:bCs/>
        </w:rPr>
        <w:t xml:space="preserve"> </w:t>
      </w:r>
      <w:r w:rsidRPr="00BA116D">
        <w:rPr>
          <w:rFonts w:ascii="David" w:hAnsi="David"/>
          <w:b/>
          <w:bCs/>
          <w:rtl/>
        </w:rPr>
        <w:t>הענישה</w:t>
      </w:r>
      <w:r w:rsidRPr="00BA116D">
        <w:rPr>
          <w:rFonts w:ascii="David" w:hAnsi="David"/>
          <w:b/>
          <w:bCs/>
        </w:rPr>
        <w:t xml:space="preserve"> </w:t>
      </w:r>
      <w:r w:rsidRPr="00BA116D">
        <w:rPr>
          <w:rFonts w:ascii="David" w:hAnsi="David"/>
          <w:b/>
          <w:bCs/>
          <w:rtl/>
        </w:rPr>
        <w:t>בעבירה</w:t>
      </w:r>
      <w:r w:rsidRPr="00BA116D">
        <w:rPr>
          <w:rFonts w:ascii="David" w:hAnsi="David"/>
          <w:b/>
          <w:bCs/>
        </w:rPr>
        <w:t xml:space="preserve"> </w:t>
      </w:r>
      <w:r w:rsidRPr="00BA116D">
        <w:rPr>
          <w:rFonts w:ascii="David" w:hAnsi="David"/>
          <w:b/>
          <w:bCs/>
          <w:rtl/>
        </w:rPr>
        <w:t>של</w:t>
      </w:r>
      <w:r w:rsidRPr="00BA116D">
        <w:rPr>
          <w:rFonts w:ascii="David" w:hAnsi="David"/>
          <w:b/>
          <w:bCs/>
        </w:rPr>
        <w:t xml:space="preserve"> </w:t>
      </w:r>
      <w:r w:rsidRPr="00BA116D">
        <w:rPr>
          <w:rFonts w:ascii="David" w:hAnsi="David"/>
          <w:b/>
          <w:bCs/>
          <w:rtl/>
        </w:rPr>
        <w:t>החזקת נשק</w:t>
      </w:r>
      <w:r w:rsidRPr="00BA116D">
        <w:rPr>
          <w:rFonts w:ascii="David" w:hAnsi="David"/>
          <w:b/>
          <w:bCs/>
        </w:rPr>
        <w:t xml:space="preserve"> </w:t>
      </w:r>
      <w:r w:rsidRPr="00BA116D">
        <w:rPr>
          <w:rFonts w:ascii="David" w:hAnsi="David"/>
          <w:b/>
          <w:bCs/>
          <w:rtl/>
        </w:rPr>
        <w:t>שלא</w:t>
      </w:r>
      <w:r w:rsidRPr="00BA116D">
        <w:rPr>
          <w:rFonts w:ascii="David" w:hAnsi="David"/>
          <w:b/>
          <w:bCs/>
        </w:rPr>
        <w:t xml:space="preserve"> </w:t>
      </w:r>
      <w:r w:rsidRPr="00BA116D">
        <w:rPr>
          <w:rFonts w:ascii="David" w:hAnsi="David"/>
          <w:b/>
          <w:bCs/>
          <w:rtl/>
        </w:rPr>
        <w:t>כדין,</w:t>
      </w:r>
      <w:r w:rsidRPr="00BA116D">
        <w:rPr>
          <w:rFonts w:ascii="David" w:hAnsi="David"/>
          <w:b/>
          <w:bCs/>
        </w:rPr>
        <w:t xml:space="preserve"> </w:t>
      </w:r>
      <w:r w:rsidRPr="00BA116D">
        <w:rPr>
          <w:rFonts w:ascii="David" w:hAnsi="David"/>
          <w:b/>
          <w:bCs/>
          <w:rtl/>
        </w:rPr>
        <w:t>גם</w:t>
      </w:r>
      <w:r w:rsidRPr="00BA116D">
        <w:rPr>
          <w:rFonts w:ascii="David" w:hAnsi="David"/>
          <w:b/>
          <w:bCs/>
        </w:rPr>
        <w:t xml:space="preserve"> </w:t>
      </w:r>
      <w:r w:rsidRPr="00BA116D">
        <w:rPr>
          <w:rFonts w:ascii="David" w:hAnsi="David"/>
          <w:b/>
          <w:bCs/>
          <w:rtl/>
        </w:rPr>
        <w:t>כאשר</w:t>
      </w:r>
      <w:r w:rsidRPr="00BA116D">
        <w:rPr>
          <w:rFonts w:ascii="David" w:hAnsi="David"/>
          <w:b/>
          <w:bCs/>
        </w:rPr>
        <w:t xml:space="preserve"> </w:t>
      </w:r>
      <w:r w:rsidRPr="00BA116D">
        <w:rPr>
          <w:rFonts w:ascii="David" w:hAnsi="David"/>
          <w:b/>
          <w:bCs/>
          <w:rtl/>
        </w:rPr>
        <w:t>הנאשם</w:t>
      </w:r>
      <w:r w:rsidRPr="00BA116D">
        <w:rPr>
          <w:rFonts w:ascii="David" w:hAnsi="David"/>
          <w:b/>
          <w:bCs/>
        </w:rPr>
        <w:t xml:space="preserve"> </w:t>
      </w:r>
      <w:r w:rsidRPr="00BA116D">
        <w:rPr>
          <w:rFonts w:ascii="David" w:hAnsi="David"/>
          <w:b/>
          <w:bCs/>
          <w:rtl/>
        </w:rPr>
        <w:t>נעדר</w:t>
      </w:r>
      <w:r w:rsidRPr="00BA116D">
        <w:rPr>
          <w:rFonts w:ascii="David" w:hAnsi="David"/>
          <w:b/>
          <w:bCs/>
        </w:rPr>
        <w:t xml:space="preserve"> </w:t>
      </w:r>
      <w:r w:rsidRPr="00BA116D">
        <w:rPr>
          <w:rFonts w:ascii="David" w:hAnsi="David"/>
          <w:b/>
          <w:bCs/>
          <w:rtl/>
        </w:rPr>
        <w:t>עבר</w:t>
      </w:r>
      <w:r w:rsidRPr="00BA116D">
        <w:rPr>
          <w:rFonts w:ascii="David" w:hAnsi="David"/>
          <w:b/>
          <w:bCs/>
        </w:rPr>
        <w:t xml:space="preserve"> </w:t>
      </w:r>
      <w:r w:rsidRPr="00BA116D">
        <w:rPr>
          <w:rFonts w:ascii="David" w:hAnsi="David"/>
          <w:b/>
          <w:bCs/>
          <w:rtl/>
        </w:rPr>
        <w:t>פלילי, עולה</w:t>
      </w:r>
      <w:r w:rsidRPr="00BA116D">
        <w:rPr>
          <w:rFonts w:ascii="David" w:hAnsi="David"/>
          <w:b/>
          <w:bCs/>
        </w:rPr>
        <w:t xml:space="preserve"> </w:t>
      </w:r>
      <w:r w:rsidRPr="00BA116D">
        <w:rPr>
          <w:rFonts w:ascii="David" w:hAnsi="David"/>
          <w:b/>
          <w:bCs/>
          <w:rtl/>
        </w:rPr>
        <w:t>על</w:t>
      </w:r>
      <w:r w:rsidRPr="00BA116D">
        <w:rPr>
          <w:rFonts w:ascii="David" w:hAnsi="David"/>
          <w:b/>
          <w:bCs/>
        </w:rPr>
        <w:t xml:space="preserve"> </w:t>
      </w:r>
      <w:r w:rsidRPr="00BA116D">
        <w:rPr>
          <w:rFonts w:ascii="David" w:hAnsi="David"/>
          <w:b/>
          <w:bCs/>
          <w:rtl/>
        </w:rPr>
        <w:t>תשעה</w:t>
      </w:r>
      <w:r w:rsidRPr="00BA116D">
        <w:rPr>
          <w:rFonts w:ascii="David" w:hAnsi="David"/>
          <w:b/>
          <w:bCs/>
        </w:rPr>
        <w:t xml:space="preserve"> </w:t>
      </w:r>
      <w:r w:rsidRPr="00BA116D">
        <w:rPr>
          <w:rFonts w:ascii="David" w:hAnsi="David"/>
          <w:b/>
          <w:bCs/>
          <w:rtl/>
        </w:rPr>
        <w:t>חודשי</w:t>
      </w:r>
      <w:r w:rsidRPr="00BA116D">
        <w:rPr>
          <w:rFonts w:ascii="David" w:hAnsi="David"/>
          <w:b/>
          <w:bCs/>
        </w:rPr>
        <w:t xml:space="preserve"> </w:t>
      </w:r>
      <w:r w:rsidRPr="00BA116D">
        <w:rPr>
          <w:rFonts w:ascii="David" w:hAnsi="David"/>
          <w:b/>
          <w:bCs/>
          <w:rtl/>
        </w:rPr>
        <w:t>מאסר, דהיינו, פרק</w:t>
      </w:r>
      <w:r w:rsidRPr="00BA116D">
        <w:rPr>
          <w:rFonts w:ascii="David" w:hAnsi="David"/>
          <w:b/>
          <w:bCs/>
        </w:rPr>
        <w:t xml:space="preserve"> </w:t>
      </w:r>
      <w:r w:rsidRPr="00BA116D">
        <w:rPr>
          <w:rFonts w:ascii="David" w:hAnsi="David"/>
          <w:b/>
          <w:bCs/>
          <w:rtl/>
        </w:rPr>
        <w:t>זמן</w:t>
      </w:r>
      <w:r w:rsidRPr="00BA116D">
        <w:rPr>
          <w:rFonts w:ascii="David" w:hAnsi="David"/>
          <w:b/>
          <w:bCs/>
        </w:rPr>
        <w:t xml:space="preserve"> </w:t>
      </w:r>
      <w:r w:rsidRPr="00BA116D">
        <w:rPr>
          <w:rFonts w:ascii="David" w:hAnsi="David"/>
          <w:b/>
          <w:bCs/>
          <w:rtl/>
        </w:rPr>
        <w:t>אשר</w:t>
      </w:r>
      <w:r w:rsidRPr="00BA116D">
        <w:rPr>
          <w:rFonts w:ascii="David" w:hAnsi="David"/>
          <w:b/>
          <w:bCs/>
        </w:rPr>
        <w:t xml:space="preserve"> </w:t>
      </w:r>
      <w:r w:rsidRPr="00BA116D">
        <w:rPr>
          <w:rFonts w:ascii="David" w:hAnsi="David"/>
          <w:b/>
          <w:bCs/>
          <w:rtl/>
        </w:rPr>
        <w:t>אינו</w:t>
      </w:r>
      <w:r w:rsidRPr="00BA116D">
        <w:rPr>
          <w:rFonts w:ascii="David" w:hAnsi="David"/>
          <w:b/>
          <w:bCs/>
        </w:rPr>
        <w:t xml:space="preserve"> </w:t>
      </w:r>
      <w:r w:rsidRPr="00BA116D">
        <w:rPr>
          <w:rFonts w:ascii="David" w:hAnsi="David"/>
          <w:b/>
          <w:bCs/>
          <w:rtl/>
        </w:rPr>
        <w:t>מאפשר</w:t>
      </w:r>
      <w:r w:rsidRPr="00BA116D">
        <w:rPr>
          <w:rFonts w:ascii="David" w:hAnsi="David"/>
          <w:b/>
          <w:bCs/>
        </w:rPr>
        <w:t xml:space="preserve"> </w:t>
      </w:r>
      <w:r w:rsidRPr="00BA116D">
        <w:rPr>
          <w:rFonts w:ascii="David" w:hAnsi="David"/>
          <w:b/>
          <w:bCs/>
          <w:rtl/>
        </w:rPr>
        <w:t>ריצוי</w:t>
      </w:r>
      <w:r w:rsidRPr="00BA116D">
        <w:rPr>
          <w:rFonts w:ascii="David" w:hAnsi="David"/>
          <w:b/>
          <w:bCs/>
        </w:rPr>
        <w:t xml:space="preserve"> </w:t>
      </w:r>
      <w:r w:rsidRPr="00BA116D">
        <w:rPr>
          <w:rFonts w:ascii="David" w:hAnsi="David"/>
          <w:b/>
          <w:bCs/>
          <w:rtl/>
        </w:rPr>
        <w:t>עונש</w:t>
      </w:r>
      <w:r w:rsidRPr="00BA116D">
        <w:rPr>
          <w:rFonts w:ascii="David" w:hAnsi="David"/>
          <w:b/>
          <w:bCs/>
        </w:rPr>
        <w:t xml:space="preserve"> </w:t>
      </w:r>
      <w:r w:rsidRPr="00BA116D">
        <w:rPr>
          <w:rFonts w:ascii="David" w:hAnsi="David"/>
          <w:b/>
          <w:bCs/>
          <w:rtl/>
        </w:rPr>
        <w:t>המאסר</w:t>
      </w:r>
      <w:r w:rsidRPr="00BA116D">
        <w:rPr>
          <w:rFonts w:ascii="David" w:hAnsi="David"/>
          <w:b/>
          <w:bCs/>
        </w:rPr>
        <w:t xml:space="preserve"> </w:t>
      </w:r>
      <w:r w:rsidRPr="00BA116D">
        <w:rPr>
          <w:rFonts w:ascii="David" w:hAnsi="David"/>
          <w:b/>
          <w:bCs/>
          <w:rtl/>
        </w:rPr>
        <w:t>על</w:t>
      </w:r>
      <w:r w:rsidRPr="00BA116D">
        <w:rPr>
          <w:rFonts w:ascii="David" w:hAnsi="David"/>
          <w:b/>
          <w:bCs/>
        </w:rPr>
        <w:t xml:space="preserve"> </w:t>
      </w:r>
      <w:r w:rsidRPr="00BA116D">
        <w:rPr>
          <w:rFonts w:ascii="David" w:hAnsi="David"/>
          <w:b/>
          <w:bCs/>
          <w:rtl/>
        </w:rPr>
        <w:t>דרך</w:t>
      </w:r>
      <w:r w:rsidRPr="00BA116D">
        <w:rPr>
          <w:rFonts w:ascii="David" w:hAnsi="David"/>
          <w:b/>
          <w:bCs/>
        </w:rPr>
        <w:t xml:space="preserve"> </w:t>
      </w:r>
      <w:r w:rsidRPr="00BA116D">
        <w:rPr>
          <w:rFonts w:ascii="David" w:hAnsi="David"/>
          <w:b/>
          <w:bCs/>
          <w:rtl/>
        </w:rPr>
        <w:t>של</w:t>
      </w:r>
      <w:r w:rsidRPr="00BA116D">
        <w:rPr>
          <w:rFonts w:ascii="David" w:hAnsi="David"/>
          <w:b/>
          <w:bCs/>
        </w:rPr>
        <w:t xml:space="preserve"> </w:t>
      </w:r>
      <w:r w:rsidRPr="00BA116D">
        <w:rPr>
          <w:rFonts w:ascii="David" w:hAnsi="David"/>
          <w:b/>
          <w:bCs/>
          <w:rtl/>
        </w:rPr>
        <w:t>עבודות</w:t>
      </w:r>
      <w:r w:rsidRPr="00BA116D">
        <w:rPr>
          <w:rFonts w:ascii="David" w:hAnsi="David"/>
          <w:b/>
          <w:bCs/>
        </w:rPr>
        <w:t xml:space="preserve"> </w:t>
      </w:r>
      <w:r w:rsidRPr="00BA116D">
        <w:rPr>
          <w:rFonts w:ascii="David" w:hAnsi="David"/>
          <w:b/>
          <w:bCs/>
          <w:rtl/>
        </w:rPr>
        <w:t>שירות</w:t>
      </w:r>
      <w:r w:rsidRPr="00BA116D">
        <w:rPr>
          <w:rFonts w:ascii="David" w:hAnsi="David"/>
          <w:rtl/>
        </w:rPr>
        <w:t>." וכן בהמשך: "</w:t>
      </w:r>
      <w:r w:rsidRPr="00BA116D">
        <w:rPr>
          <w:rFonts w:ascii="David" w:hAnsi="David"/>
          <w:b/>
          <w:bCs/>
          <w:rtl/>
        </w:rPr>
        <w:t>אם</w:t>
      </w:r>
      <w:r w:rsidRPr="00BA116D">
        <w:rPr>
          <w:rFonts w:ascii="David" w:hAnsi="David"/>
          <w:b/>
          <w:bCs/>
        </w:rPr>
        <w:t xml:space="preserve"> </w:t>
      </w:r>
      <w:r w:rsidRPr="00BA116D">
        <w:rPr>
          <w:rFonts w:ascii="David" w:hAnsi="David"/>
          <w:b/>
          <w:bCs/>
          <w:rtl/>
        </w:rPr>
        <w:t>נסכם</w:t>
      </w:r>
      <w:r w:rsidRPr="00BA116D">
        <w:rPr>
          <w:rFonts w:ascii="David" w:hAnsi="David"/>
          <w:b/>
          <w:bCs/>
        </w:rPr>
        <w:t xml:space="preserve"> </w:t>
      </w:r>
      <w:r w:rsidRPr="00BA116D">
        <w:rPr>
          <w:rFonts w:ascii="David" w:hAnsi="David"/>
          <w:b/>
          <w:bCs/>
          <w:rtl/>
        </w:rPr>
        <w:t>את</w:t>
      </w:r>
      <w:r w:rsidRPr="00BA116D">
        <w:rPr>
          <w:rFonts w:ascii="David" w:hAnsi="David"/>
          <w:b/>
          <w:bCs/>
        </w:rPr>
        <w:t xml:space="preserve"> </w:t>
      </w:r>
      <w:r w:rsidRPr="00BA116D">
        <w:rPr>
          <w:rFonts w:ascii="David" w:hAnsi="David"/>
          <w:b/>
          <w:bCs/>
          <w:rtl/>
        </w:rPr>
        <w:t>הדברים: גזר</w:t>
      </w:r>
      <w:r w:rsidRPr="00BA116D">
        <w:rPr>
          <w:rFonts w:ascii="David" w:hAnsi="David"/>
          <w:b/>
          <w:bCs/>
        </w:rPr>
        <w:t>-</w:t>
      </w:r>
      <w:r w:rsidRPr="00BA116D">
        <w:rPr>
          <w:rFonts w:ascii="David" w:hAnsi="David"/>
          <w:b/>
          <w:bCs/>
          <w:rtl/>
        </w:rPr>
        <w:t>דינו</w:t>
      </w:r>
      <w:r w:rsidRPr="00BA116D">
        <w:rPr>
          <w:rFonts w:ascii="David" w:hAnsi="David"/>
          <w:b/>
          <w:bCs/>
        </w:rPr>
        <w:t xml:space="preserve"> </w:t>
      </w:r>
      <w:r w:rsidRPr="00BA116D">
        <w:rPr>
          <w:rFonts w:ascii="David" w:hAnsi="David"/>
          <w:b/>
          <w:bCs/>
          <w:rtl/>
        </w:rPr>
        <w:t>של</w:t>
      </w:r>
      <w:r w:rsidRPr="00BA116D">
        <w:rPr>
          <w:rFonts w:ascii="David" w:hAnsi="David"/>
          <w:b/>
          <w:bCs/>
        </w:rPr>
        <w:t xml:space="preserve"> </w:t>
      </w:r>
      <w:r w:rsidRPr="00BA116D">
        <w:rPr>
          <w:rFonts w:ascii="David" w:hAnsi="David"/>
          <w:b/>
          <w:bCs/>
          <w:rtl/>
        </w:rPr>
        <w:t>בית</w:t>
      </w:r>
      <w:r w:rsidRPr="00BA116D">
        <w:rPr>
          <w:rFonts w:ascii="David" w:hAnsi="David"/>
          <w:b/>
          <w:bCs/>
        </w:rPr>
        <w:t>-</w:t>
      </w:r>
      <w:r w:rsidRPr="00BA116D">
        <w:rPr>
          <w:rFonts w:ascii="David" w:hAnsi="David"/>
          <w:b/>
          <w:bCs/>
          <w:rtl/>
        </w:rPr>
        <w:t>משפט</w:t>
      </w:r>
      <w:r w:rsidRPr="00BA116D">
        <w:rPr>
          <w:rFonts w:ascii="David" w:hAnsi="David"/>
          <w:b/>
          <w:bCs/>
        </w:rPr>
        <w:t xml:space="preserve"> </w:t>
      </w:r>
      <w:r w:rsidRPr="00BA116D">
        <w:rPr>
          <w:rFonts w:ascii="David" w:hAnsi="David"/>
          <w:b/>
          <w:bCs/>
          <w:rtl/>
        </w:rPr>
        <w:t>השלום, שהסתפק</w:t>
      </w:r>
      <w:r w:rsidRPr="00BA116D">
        <w:rPr>
          <w:rFonts w:ascii="David" w:hAnsi="David"/>
          <w:b/>
          <w:bCs/>
        </w:rPr>
        <w:t xml:space="preserve"> </w:t>
      </w:r>
      <w:r w:rsidRPr="00BA116D">
        <w:rPr>
          <w:rFonts w:ascii="David" w:hAnsi="David"/>
          <w:b/>
          <w:bCs/>
          <w:rtl/>
        </w:rPr>
        <w:t>בהטלת</w:t>
      </w:r>
      <w:r w:rsidRPr="00BA116D">
        <w:rPr>
          <w:rFonts w:ascii="David" w:hAnsi="David"/>
          <w:b/>
          <w:bCs/>
        </w:rPr>
        <w:t xml:space="preserve"> </w:t>
      </w:r>
      <w:r w:rsidRPr="00BA116D">
        <w:rPr>
          <w:rFonts w:ascii="David" w:hAnsi="David"/>
          <w:b/>
          <w:bCs/>
          <w:rtl/>
        </w:rPr>
        <w:t>ענישה</w:t>
      </w:r>
      <w:r w:rsidRPr="00BA116D">
        <w:rPr>
          <w:rFonts w:ascii="David" w:hAnsi="David"/>
          <w:b/>
          <w:bCs/>
        </w:rPr>
        <w:t xml:space="preserve"> </w:t>
      </w:r>
      <w:r w:rsidRPr="00BA116D">
        <w:rPr>
          <w:rFonts w:ascii="David" w:hAnsi="David"/>
          <w:b/>
          <w:bCs/>
          <w:rtl/>
        </w:rPr>
        <w:t>של</w:t>
      </w:r>
      <w:r w:rsidRPr="00BA116D">
        <w:rPr>
          <w:rFonts w:ascii="David" w:hAnsi="David"/>
          <w:b/>
          <w:bCs/>
        </w:rPr>
        <w:t xml:space="preserve"> </w:t>
      </w:r>
      <w:r w:rsidRPr="00BA116D">
        <w:rPr>
          <w:rFonts w:ascii="David" w:hAnsi="David"/>
          <w:b/>
          <w:bCs/>
          <w:rtl/>
        </w:rPr>
        <w:t>שמונה</w:t>
      </w:r>
      <w:r w:rsidRPr="00BA116D">
        <w:rPr>
          <w:rFonts w:ascii="David" w:hAnsi="David"/>
          <w:b/>
          <w:bCs/>
        </w:rPr>
        <w:t xml:space="preserve"> </w:t>
      </w:r>
      <w:r w:rsidRPr="00BA116D">
        <w:rPr>
          <w:rFonts w:ascii="David" w:hAnsi="David"/>
          <w:b/>
          <w:bCs/>
          <w:rtl/>
        </w:rPr>
        <w:t>חודשי</w:t>
      </w:r>
      <w:r w:rsidRPr="00BA116D">
        <w:rPr>
          <w:rFonts w:ascii="David" w:hAnsi="David"/>
          <w:b/>
          <w:bCs/>
        </w:rPr>
        <w:t xml:space="preserve"> </w:t>
      </w:r>
      <w:r w:rsidRPr="00BA116D">
        <w:rPr>
          <w:rFonts w:ascii="David" w:hAnsi="David"/>
          <w:b/>
          <w:bCs/>
          <w:rtl/>
        </w:rPr>
        <w:t>מאסר</w:t>
      </w:r>
      <w:r w:rsidRPr="00BA116D">
        <w:rPr>
          <w:rFonts w:ascii="David" w:hAnsi="David"/>
          <w:b/>
          <w:bCs/>
        </w:rPr>
        <w:t xml:space="preserve"> </w:t>
      </w:r>
      <w:r w:rsidRPr="00BA116D">
        <w:rPr>
          <w:rFonts w:ascii="David" w:hAnsi="David"/>
          <w:b/>
          <w:bCs/>
          <w:rtl/>
        </w:rPr>
        <w:t>לריצוי</w:t>
      </w:r>
      <w:r w:rsidRPr="00BA116D">
        <w:rPr>
          <w:rFonts w:ascii="David" w:hAnsi="David"/>
          <w:b/>
          <w:bCs/>
        </w:rPr>
        <w:t xml:space="preserve"> </w:t>
      </w:r>
      <w:r w:rsidRPr="00BA116D">
        <w:rPr>
          <w:rFonts w:ascii="David" w:hAnsi="David"/>
          <w:b/>
          <w:bCs/>
          <w:rtl/>
        </w:rPr>
        <w:t>בעבודות</w:t>
      </w:r>
      <w:r w:rsidRPr="00BA116D">
        <w:rPr>
          <w:rFonts w:ascii="David" w:hAnsi="David"/>
          <w:b/>
          <w:bCs/>
        </w:rPr>
        <w:t xml:space="preserve"> </w:t>
      </w:r>
      <w:r w:rsidRPr="00BA116D">
        <w:rPr>
          <w:rFonts w:ascii="David" w:hAnsi="David"/>
          <w:b/>
          <w:bCs/>
          <w:rtl/>
        </w:rPr>
        <w:t>שירות, אינו</w:t>
      </w:r>
      <w:r w:rsidRPr="00BA116D">
        <w:rPr>
          <w:rFonts w:ascii="David" w:hAnsi="David"/>
          <w:b/>
          <w:bCs/>
        </w:rPr>
        <w:t xml:space="preserve"> </w:t>
      </w:r>
      <w:r w:rsidRPr="00BA116D">
        <w:rPr>
          <w:rFonts w:ascii="David" w:hAnsi="David"/>
          <w:b/>
          <w:bCs/>
          <w:rtl/>
        </w:rPr>
        <w:t>יכול</w:t>
      </w:r>
      <w:r w:rsidRPr="00BA116D">
        <w:rPr>
          <w:rFonts w:ascii="David" w:hAnsi="David"/>
          <w:b/>
          <w:bCs/>
        </w:rPr>
        <w:t xml:space="preserve"> </w:t>
      </w:r>
      <w:r w:rsidRPr="00BA116D">
        <w:rPr>
          <w:rFonts w:ascii="David" w:hAnsi="David"/>
          <w:b/>
          <w:bCs/>
          <w:rtl/>
        </w:rPr>
        <w:t>לעמוד, וזאת</w:t>
      </w:r>
      <w:r w:rsidRPr="00BA116D">
        <w:rPr>
          <w:rFonts w:ascii="David" w:hAnsi="David"/>
          <w:b/>
          <w:bCs/>
        </w:rPr>
        <w:t xml:space="preserve"> </w:t>
      </w:r>
      <w:r w:rsidRPr="00BA116D">
        <w:rPr>
          <w:rFonts w:ascii="David" w:hAnsi="David"/>
          <w:b/>
          <w:bCs/>
          <w:rtl/>
        </w:rPr>
        <w:t>בשים</w:t>
      </w:r>
      <w:r w:rsidRPr="00BA116D">
        <w:rPr>
          <w:rFonts w:ascii="David" w:hAnsi="David"/>
          <w:b/>
          <w:bCs/>
        </w:rPr>
        <w:t xml:space="preserve"> </w:t>
      </w:r>
      <w:r w:rsidRPr="00BA116D">
        <w:rPr>
          <w:rFonts w:ascii="David" w:hAnsi="David"/>
          <w:b/>
          <w:bCs/>
          <w:rtl/>
        </w:rPr>
        <w:t>לב</w:t>
      </w:r>
      <w:r w:rsidRPr="00BA116D">
        <w:rPr>
          <w:rFonts w:ascii="David" w:hAnsi="David"/>
          <w:b/>
          <w:bCs/>
        </w:rPr>
        <w:t xml:space="preserve"> </w:t>
      </w:r>
      <w:r w:rsidRPr="00BA116D">
        <w:rPr>
          <w:rFonts w:ascii="David" w:hAnsi="David"/>
          <w:b/>
          <w:bCs/>
          <w:rtl/>
        </w:rPr>
        <w:t>לחומרת</w:t>
      </w:r>
      <w:r w:rsidRPr="00BA116D">
        <w:rPr>
          <w:rFonts w:ascii="David" w:hAnsi="David"/>
          <w:b/>
          <w:bCs/>
        </w:rPr>
        <w:t xml:space="preserve"> </w:t>
      </w:r>
      <w:r w:rsidRPr="00BA116D">
        <w:rPr>
          <w:rFonts w:ascii="David" w:hAnsi="David"/>
          <w:b/>
          <w:bCs/>
          <w:rtl/>
        </w:rPr>
        <w:t>העבירה</w:t>
      </w:r>
      <w:r w:rsidRPr="00BA116D">
        <w:rPr>
          <w:rFonts w:ascii="David" w:hAnsi="David"/>
          <w:b/>
          <w:bCs/>
        </w:rPr>
        <w:t xml:space="preserve"> </w:t>
      </w:r>
      <w:r w:rsidRPr="00BA116D">
        <w:rPr>
          <w:rFonts w:ascii="David" w:hAnsi="David"/>
          <w:b/>
          <w:bCs/>
          <w:rtl/>
        </w:rPr>
        <w:t>של</w:t>
      </w:r>
      <w:r w:rsidRPr="00BA116D">
        <w:rPr>
          <w:rFonts w:ascii="David" w:hAnsi="David"/>
          <w:b/>
          <w:bCs/>
        </w:rPr>
        <w:t xml:space="preserve"> </w:t>
      </w:r>
      <w:r w:rsidRPr="00BA116D">
        <w:rPr>
          <w:rFonts w:ascii="David" w:hAnsi="David"/>
          <w:b/>
          <w:bCs/>
          <w:rtl/>
        </w:rPr>
        <w:t>החזקת</w:t>
      </w:r>
      <w:r w:rsidRPr="00BA116D">
        <w:rPr>
          <w:rFonts w:ascii="David" w:hAnsi="David"/>
          <w:b/>
          <w:bCs/>
        </w:rPr>
        <w:t xml:space="preserve"> </w:t>
      </w:r>
      <w:r w:rsidRPr="00BA116D">
        <w:rPr>
          <w:rFonts w:ascii="David" w:hAnsi="David"/>
          <w:b/>
          <w:bCs/>
          <w:rtl/>
        </w:rPr>
        <w:t>נשק</w:t>
      </w:r>
      <w:r w:rsidRPr="00BA116D">
        <w:rPr>
          <w:rFonts w:ascii="David" w:hAnsi="David"/>
          <w:b/>
          <w:bCs/>
        </w:rPr>
        <w:t xml:space="preserve"> </w:t>
      </w:r>
      <w:r w:rsidRPr="00BA116D">
        <w:rPr>
          <w:rFonts w:ascii="David" w:hAnsi="David"/>
          <w:b/>
          <w:bCs/>
          <w:rtl/>
        </w:rPr>
        <w:t>שלא</w:t>
      </w:r>
      <w:r w:rsidRPr="00BA116D">
        <w:rPr>
          <w:rFonts w:ascii="David" w:hAnsi="David"/>
          <w:b/>
          <w:bCs/>
        </w:rPr>
        <w:t xml:space="preserve"> </w:t>
      </w:r>
      <w:r w:rsidRPr="00BA116D">
        <w:rPr>
          <w:rFonts w:ascii="David" w:hAnsi="David"/>
          <w:b/>
          <w:bCs/>
          <w:rtl/>
        </w:rPr>
        <w:t>כדין, ופוטנציאל</w:t>
      </w:r>
      <w:r w:rsidRPr="00BA116D">
        <w:rPr>
          <w:rFonts w:ascii="David" w:hAnsi="David"/>
          <w:b/>
          <w:bCs/>
        </w:rPr>
        <w:t xml:space="preserve"> </w:t>
      </w:r>
      <w:r w:rsidRPr="00BA116D">
        <w:rPr>
          <w:rFonts w:ascii="David" w:hAnsi="David"/>
          <w:b/>
          <w:bCs/>
          <w:rtl/>
        </w:rPr>
        <w:t>הסיכון</w:t>
      </w:r>
      <w:r w:rsidRPr="00BA116D">
        <w:rPr>
          <w:rFonts w:ascii="David" w:hAnsi="David"/>
          <w:b/>
          <w:bCs/>
        </w:rPr>
        <w:t xml:space="preserve"> </w:t>
      </w:r>
      <w:r w:rsidRPr="00BA116D">
        <w:rPr>
          <w:rFonts w:ascii="David" w:hAnsi="David"/>
          <w:b/>
          <w:bCs/>
          <w:rtl/>
        </w:rPr>
        <w:t>הטמון</w:t>
      </w:r>
      <w:r w:rsidRPr="00BA116D">
        <w:rPr>
          <w:rFonts w:ascii="David" w:hAnsi="David"/>
          <w:b/>
          <w:bCs/>
        </w:rPr>
        <w:t xml:space="preserve"> </w:t>
      </w:r>
      <w:r w:rsidRPr="00BA116D">
        <w:rPr>
          <w:rFonts w:ascii="David" w:hAnsi="David"/>
          <w:b/>
          <w:bCs/>
          <w:rtl/>
        </w:rPr>
        <w:t>בהחזקת</w:t>
      </w:r>
      <w:r w:rsidRPr="00BA116D">
        <w:rPr>
          <w:rFonts w:ascii="David" w:hAnsi="David"/>
          <w:b/>
          <w:bCs/>
        </w:rPr>
        <w:t xml:space="preserve"> </w:t>
      </w:r>
      <w:r w:rsidRPr="00BA116D">
        <w:rPr>
          <w:rFonts w:ascii="David" w:hAnsi="David"/>
          <w:b/>
          <w:bCs/>
          <w:rtl/>
        </w:rPr>
        <w:t>הנשק</w:t>
      </w:r>
      <w:r w:rsidRPr="00BA116D">
        <w:rPr>
          <w:rFonts w:ascii="David" w:hAnsi="David"/>
          <w:b/>
          <w:bCs/>
        </w:rPr>
        <w:t xml:space="preserve"> </w:t>
      </w:r>
      <w:r w:rsidRPr="00BA116D">
        <w:rPr>
          <w:rFonts w:ascii="David" w:hAnsi="David"/>
          <w:b/>
          <w:bCs/>
          <w:rtl/>
        </w:rPr>
        <w:t>ללא</w:t>
      </w:r>
      <w:r w:rsidRPr="00BA116D">
        <w:rPr>
          <w:rFonts w:ascii="David" w:hAnsi="David"/>
          <w:b/>
          <w:bCs/>
        </w:rPr>
        <w:t xml:space="preserve"> </w:t>
      </w:r>
      <w:r w:rsidRPr="00BA116D">
        <w:rPr>
          <w:rFonts w:ascii="David" w:hAnsi="David"/>
          <w:b/>
          <w:bCs/>
          <w:rtl/>
        </w:rPr>
        <w:t>היתר, עבירה</w:t>
      </w:r>
      <w:r w:rsidRPr="00BA116D">
        <w:rPr>
          <w:rFonts w:ascii="David" w:hAnsi="David"/>
          <w:b/>
          <w:bCs/>
        </w:rPr>
        <w:t xml:space="preserve"> </w:t>
      </w:r>
      <w:r w:rsidRPr="00BA116D">
        <w:rPr>
          <w:rFonts w:ascii="David" w:hAnsi="David"/>
          <w:b/>
          <w:bCs/>
          <w:rtl/>
        </w:rPr>
        <w:t>שהפכה</w:t>
      </w:r>
      <w:r w:rsidRPr="00BA116D">
        <w:rPr>
          <w:rFonts w:ascii="David" w:hAnsi="David"/>
          <w:b/>
          <w:bCs/>
        </w:rPr>
        <w:t xml:space="preserve"> </w:t>
      </w:r>
      <w:r w:rsidRPr="00BA116D">
        <w:rPr>
          <w:rFonts w:ascii="David" w:hAnsi="David"/>
          <w:b/>
          <w:bCs/>
          <w:rtl/>
        </w:rPr>
        <w:t>ל</w:t>
      </w:r>
      <w:r w:rsidRPr="00BA116D">
        <w:rPr>
          <w:rFonts w:ascii="David" w:hAnsi="David"/>
          <w:b/>
          <w:bCs/>
        </w:rPr>
        <w:t>"</w:t>
      </w:r>
      <w:r w:rsidRPr="00BA116D">
        <w:rPr>
          <w:rFonts w:ascii="David" w:hAnsi="David"/>
          <w:b/>
          <w:bCs/>
          <w:rtl/>
        </w:rPr>
        <w:t>מכת</w:t>
      </w:r>
      <w:r w:rsidRPr="00BA116D">
        <w:rPr>
          <w:rFonts w:ascii="David" w:hAnsi="David"/>
          <w:b/>
          <w:bCs/>
        </w:rPr>
        <w:t xml:space="preserve"> </w:t>
      </w:r>
      <w:r w:rsidRPr="00BA116D">
        <w:rPr>
          <w:rFonts w:ascii="David" w:hAnsi="David"/>
          <w:b/>
          <w:bCs/>
          <w:rtl/>
        </w:rPr>
        <w:t>מדינה", והביאה</w:t>
      </w:r>
      <w:r w:rsidRPr="00BA116D">
        <w:rPr>
          <w:rFonts w:ascii="David" w:hAnsi="David"/>
          <w:b/>
          <w:bCs/>
        </w:rPr>
        <w:t xml:space="preserve"> </w:t>
      </w:r>
      <w:r w:rsidRPr="00BA116D">
        <w:rPr>
          <w:rFonts w:ascii="David" w:hAnsi="David"/>
          <w:b/>
          <w:bCs/>
          <w:rtl/>
        </w:rPr>
        <w:t>למגמת</w:t>
      </w:r>
      <w:r w:rsidRPr="00BA116D">
        <w:rPr>
          <w:rFonts w:ascii="David" w:hAnsi="David"/>
          <w:b/>
          <w:bCs/>
        </w:rPr>
        <w:t xml:space="preserve"> </w:t>
      </w:r>
      <w:r w:rsidRPr="00BA116D">
        <w:rPr>
          <w:rFonts w:ascii="David" w:hAnsi="David"/>
          <w:b/>
          <w:bCs/>
          <w:rtl/>
        </w:rPr>
        <w:t>החמרה</w:t>
      </w:r>
      <w:r w:rsidRPr="00BA116D">
        <w:rPr>
          <w:rFonts w:ascii="David" w:hAnsi="David"/>
          <w:b/>
          <w:bCs/>
        </w:rPr>
        <w:t xml:space="preserve"> </w:t>
      </w:r>
      <w:r w:rsidRPr="00BA116D">
        <w:rPr>
          <w:rFonts w:ascii="David" w:hAnsi="David"/>
          <w:b/>
          <w:bCs/>
          <w:rtl/>
        </w:rPr>
        <w:t>בפסיקה</w:t>
      </w:r>
      <w:r w:rsidRPr="00BA116D">
        <w:rPr>
          <w:rFonts w:ascii="David" w:hAnsi="David"/>
          <w:b/>
          <w:bCs/>
        </w:rPr>
        <w:t xml:space="preserve"> </w:t>
      </w:r>
      <w:r w:rsidRPr="00BA116D">
        <w:rPr>
          <w:rFonts w:ascii="David" w:hAnsi="David"/>
          <w:b/>
          <w:bCs/>
          <w:rtl/>
        </w:rPr>
        <w:t>כשבית</w:t>
      </w:r>
      <w:r w:rsidRPr="00BA116D">
        <w:rPr>
          <w:rFonts w:ascii="David" w:hAnsi="David"/>
          <w:b/>
          <w:bCs/>
        </w:rPr>
        <w:t xml:space="preserve"> </w:t>
      </w:r>
      <w:r w:rsidRPr="00BA116D">
        <w:rPr>
          <w:rFonts w:ascii="David" w:hAnsi="David"/>
          <w:b/>
          <w:bCs/>
          <w:rtl/>
        </w:rPr>
        <w:t>המשפט</w:t>
      </w:r>
      <w:r w:rsidRPr="00BA116D">
        <w:rPr>
          <w:rFonts w:ascii="David" w:hAnsi="David"/>
          <w:b/>
          <w:bCs/>
        </w:rPr>
        <w:t xml:space="preserve"> </w:t>
      </w:r>
      <w:r w:rsidRPr="00BA116D">
        <w:rPr>
          <w:rFonts w:ascii="David" w:hAnsi="David"/>
          <w:b/>
          <w:bCs/>
          <w:rtl/>
        </w:rPr>
        <w:t>נקרא</w:t>
      </w:r>
      <w:r w:rsidRPr="00BA116D">
        <w:rPr>
          <w:rFonts w:ascii="David" w:hAnsi="David"/>
          <w:b/>
          <w:bCs/>
        </w:rPr>
        <w:t xml:space="preserve"> </w:t>
      </w:r>
      <w:r w:rsidRPr="00BA116D">
        <w:rPr>
          <w:rFonts w:ascii="David" w:hAnsi="David"/>
          <w:b/>
          <w:bCs/>
          <w:rtl/>
        </w:rPr>
        <w:t>להירתם</w:t>
      </w:r>
      <w:r w:rsidRPr="00BA116D">
        <w:rPr>
          <w:rFonts w:ascii="David" w:hAnsi="David"/>
          <w:b/>
          <w:bCs/>
        </w:rPr>
        <w:t xml:space="preserve"> </w:t>
      </w:r>
      <w:r w:rsidRPr="00BA116D">
        <w:rPr>
          <w:rFonts w:ascii="David" w:hAnsi="David"/>
          <w:b/>
          <w:bCs/>
          <w:rtl/>
        </w:rPr>
        <w:t>למאבק</w:t>
      </w:r>
      <w:r w:rsidRPr="00BA116D">
        <w:rPr>
          <w:rFonts w:ascii="David" w:hAnsi="David"/>
          <w:b/>
          <w:bCs/>
        </w:rPr>
        <w:t xml:space="preserve"> </w:t>
      </w:r>
      <w:r w:rsidRPr="00BA116D">
        <w:rPr>
          <w:rFonts w:ascii="David" w:hAnsi="David"/>
          <w:b/>
          <w:bCs/>
          <w:rtl/>
        </w:rPr>
        <w:t>בעבירה</w:t>
      </w:r>
      <w:r w:rsidRPr="00BA116D">
        <w:rPr>
          <w:rFonts w:ascii="David" w:hAnsi="David"/>
          <w:b/>
          <w:bCs/>
        </w:rPr>
        <w:t xml:space="preserve"> </w:t>
      </w:r>
      <w:r w:rsidRPr="00BA116D">
        <w:rPr>
          <w:rFonts w:ascii="David" w:hAnsi="David"/>
          <w:b/>
          <w:bCs/>
          <w:rtl/>
        </w:rPr>
        <w:t>זו."</w:t>
      </w:r>
    </w:p>
    <w:p w14:paraId="2F5AC385" w14:textId="77777777" w:rsidR="00794B39" w:rsidRDefault="00794B39" w:rsidP="00794B39">
      <w:pPr>
        <w:spacing w:line="360" w:lineRule="auto"/>
        <w:jc w:val="both"/>
        <w:rPr>
          <w:rFonts w:ascii="David" w:hAnsi="David"/>
          <w:b/>
          <w:bCs/>
          <w:rtl/>
        </w:rPr>
      </w:pPr>
    </w:p>
    <w:p w14:paraId="480B9F88" w14:textId="77777777" w:rsidR="00794B39" w:rsidRPr="004B18C4" w:rsidRDefault="00794B39" w:rsidP="00794B39">
      <w:pPr>
        <w:spacing w:line="360" w:lineRule="auto"/>
        <w:jc w:val="both"/>
        <w:rPr>
          <w:rFonts w:ascii="David" w:hAnsi="David"/>
          <w:b/>
          <w:bCs/>
          <w:rtl/>
        </w:rPr>
      </w:pPr>
      <w:r>
        <w:rPr>
          <w:rFonts w:ascii="David" w:hAnsi="David" w:hint="cs"/>
          <w:rtl/>
        </w:rPr>
        <w:t xml:space="preserve">באשר למדיניות הענישה הנוהגת די אם אפנה לפסק הדין שניתן בבית משפט המחוזי בחיפה </w:t>
      </w:r>
      <w:hyperlink r:id="rId30" w:history="1">
        <w:r w:rsidR="00BB70E4" w:rsidRPr="00BB70E4">
          <w:rPr>
            <w:rFonts w:ascii="David" w:hAnsi="David"/>
            <w:color w:val="0000FF"/>
            <w:u w:val="single"/>
            <w:rtl/>
          </w:rPr>
          <w:t>עפ"ג 50840-03-22</w:t>
        </w:r>
      </w:hyperlink>
      <w:r>
        <w:rPr>
          <w:rFonts w:ascii="David" w:hAnsi="David" w:hint="cs"/>
          <w:rtl/>
        </w:rPr>
        <w:t xml:space="preserve"> מדינת ישראל נ' עלאא סלאמה, שם נקבע בין היתר כדלהלן: </w:t>
      </w:r>
      <w:r w:rsidRPr="004B18C4">
        <w:rPr>
          <w:rFonts w:ascii="David" w:hAnsi="David" w:hint="cs"/>
          <w:b/>
          <w:bCs/>
          <w:rtl/>
        </w:rPr>
        <w:t xml:space="preserve">"... רק ענישה חמורה וכואבת, שתוטל על מטי המעט מן המעט, אשר נתפסים כשהם רוכשים, מחזיקים, נושאים ומובילים נשק, עשויה לשנות במשהו את מאזן </w:t>
      </w:r>
      <w:r w:rsidRPr="004B18C4">
        <w:rPr>
          <w:rFonts w:ascii="David" w:hAnsi="David"/>
          <w:b/>
          <w:bCs/>
          <w:rtl/>
        </w:rPr>
        <w:t>–</w:t>
      </w:r>
      <w:r w:rsidRPr="004B18C4">
        <w:rPr>
          <w:rFonts w:ascii="David" w:hAnsi="David" w:hint="cs"/>
          <w:b/>
          <w:bCs/>
          <w:rtl/>
        </w:rPr>
        <w:t xml:space="preserve"> הכדאיות של מי ששוקל לעבור עבירות שכאלו". </w:t>
      </w:r>
    </w:p>
    <w:p w14:paraId="00F3F290" w14:textId="77777777" w:rsidR="00794B39" w:rsidRDefault="00794B39" w:rsidP="00794B39">
      <w:pPr>
        <w:spacing w:line="360" w:lineRule="auto"/>
        <w:jc w:val="both"/>
        <w:rPr>
          <w:rFonts w:ascii="David" w:hAnsi="David"/>
          <w:rtl/>
        </w:rPr>
      </w:pPr>
    </w:p>
    <w:p w14:paraId="29AD1CBC" w14:textId="77777777" w:rsidR="00794B39" w:rsidRDefault="00794B39" w:rsidP="00794B39">
      <w:pPr>
        <w:spacing w:line="360" w:lineRule="auto"/>
        <w:jc w:val="both"/>
        <w:rPr>
          <w:rFonts w:ascii="David" w:hAnsi="David"/>
          <w:b/>
          <w:bCs/>
          <w:rtl/>
        </w:rPr>
      </w:pPr>
      <w:r>
        <w:rPr>
          <w:rFonts w:ascii="David" w:hAnsi="David" w:hint="cs"/>
          <w:rtl/>
        </w:rPr>
        <w:t xml:space="preserve">ובהמשך לפסק דין זה נקבע : </w:t>
      </w:r>
      <w:r w:rsidRPr="004B18C4">
        <w:rPr>
          <w:rFonts w:ascii="David" w:hAnsi="David" w:hint="cs"/>
          <w:b/>
          <w:bCs/>
          <w:rtl/>
        </w:rPr>
        <w:t xml:space="preserve">"מיגור תופעת ההחזקה של אמל"ח בלתי </w:t>
      </w:r>
      <w:r w:rsidRPr="004B18C4">
        <w:rPr>
          <w:rFonts w:ascii="David" w:hAnsi="David"/>
          <w:b/>
          <w:bCs/>
          <w:rtl/>
        </w:rPr>
        <w:t>–</w:t>
      </w:r>
      <w:r w:rsidRPr="004B18C4">
        <w:rPr>
          <w:rFonts w:ascii="David" w:hAnsi="David" w:hint="cs"/>
          <w:b/>
          <w:bCs/>
          <w:rtl/>
        </w:rPr>
        <w:t xml:space="preserve"> חוקי, יוכל לצאת מגדר המילה הנאמרת או הנכתבת אל הפועל לעולם המציאות רק אם העבירות המרכיבות אותה יזכו להכרה כעבירות חמורות ומסוכנות, כאלו הראויות לעונש חמור ומכביד". </w:t>
      </w:r>
    </w:p>
    <w:p w14:paraId="71342865" w14:textId="77777777" w:rsidR="00794B39" w:rsidRDefault="00794B39" w:rsidP="00794B39">
      <w:pPr>
        <w:spacing w:line="360" w:lineRule="auto"/>
        <w:jc w:val="both"/>
        <w:rPr>
          <w:rFonts w:ascii="David" w:hAnsi="David"/>
          <w:b/>
          <w:bCs/>
          <w:rtl/>
        </w:rPr>
      </w:pPr>
    </w:p>
    <w:p w14:paraId="78FE96B3" w14:textId="77777777" w:rsidR="00794B39" w:rsidRDefault="00794B39" w:rsidP="00794B39">
      <w:pPr>
        <w:spacing w:line="360" w:lineRule="auto"/>
        <w:jc w:val="both"/>
        <w:rPr>
          <w:rFonts w:ascii="David" w:hAnsi="David"/>
          <w:rtl/>
        </w:rPr>
      </w:pPr>
      <w:r>
        <w:rPr>
          <w:rFonts w:ascii="David" w:hAnsi="David" w:hint="cs"/>
          <w:rtl/>
        </w:rPr>
        <w:t xml:space="preserve">בענייננו עסקינן כאמור בנאשם שהחזיק שני כלי נשק, הסכנה הכרוכה בהחזקה זו היא מוחשית לציבור. וודאי כאשר הנאשם לא סיפק תשובות ביחס לסיבת ההחזקה בנשק וכיצד הגיע הנשק לרשותו, הרי שאין מקום להניח הנחות מקלות לזכות הנאשם. </w:t>
      </w:r>
    </w:p>
    <w:p w14:paraId="59E837C1" w14:textId="77777777" w:rsidR="00794B39" w:rsidRDefault="00794B39" w:rsidP="00794B39">
      <w:pPr>
        <w:spacing w:line="360" w:lineRule="auto"/>
        <w:jc w:val="both"/>
        <w:rPr>
          <w:rFonts w:ascii="David" w:hAnsi="David"/>
          <w:rtl/>
        </w:rPr>
      </w:pPr>
    </w:p>
    <w:p w14:paraId="3CAFC227" w14:textId="77777777" w:rsidR="00794B39" w:rsidRDefault="00794B39" w:rsidP="00794B39">
      <w:pPr>
        <w:spacing w:line="360" w:lineRule="auto"/>
        <w:jc w:val="both"/>
        <w:rPr>
          <w:rFonts w:ascii="David" w:hAnsi="David"/>
          <w:rtl/>
        </w:rPr>
      </w:pPr>
      <w:r>
        <w:rPr>
          <w:rFonts w:ascii="David" w:hAnsi="David" w:hint="cs"/>
          <w:rtl/>
        </w:rPr>
        <w:t>משכך, אני קובע כי מתחם העונש ההולם למעשי העבירות בהן הורשע הנאשם בהליך זה שלפני נע בין 24-50 חודשי מאסר, (כפי שהדבר נקבע ב</w:t>
      </w:r>
      <w:hyperlink r:id="rId31" w:history="1">
        <w:r w:rsidR="00BB70E4" w:rsidRPr="00BB70E4">
          <w:rPr>
            <w:rFonts w:ascii="David" w:hAnsi="David"/>
            <w:color w:val="0000FF"/>
            <w:u w:val="single"/>
            <w:rtl/>
          </w:rPr>
          <w:t>עפ"ג 50840-03-22</w:t>
        </w:r>
      </w:hyperlink>
      <w:r>
        <w:rPr>
          <w:rFonts w:ascii="David" w:hAnsi="David" w:hint="cs"/>
          <w:rtl/>
        </w:rPr>
        <w:t xml:space="preserve"> אשר אוזכר לעיל שכן הנסיבות שנדונו שם דומות לנסיבות מושא הליך זה שבפני). </w:t>
      </w:r>
    </w:p>
    <w:p w14:paraId="3DB8203E" w14:textId="77777777" w:rsidR="00794B39" w:rsidRDefault="00794B39" w:rsidP="00794B39">
      <w:pPr>
        <w:spacing w:line="360" w:lineRule="auto"/>
        <w:jc w:val="both"/>
        <w:rPr>
          <w:rFonts w:ascii="David" w:hAnsi="David"/>
          <w:rtl/>
        </w:rPr>
      </w:pPr>
    </w:p>
    <w:p w14:paraId="5BB9CEB4" w14:textId="77777777" w:rsidR="00794B39" w:rsidRDefault="00794B39" w:rsidP="00794B39">
      <w:pPr>
        <w:spacing w:line="360" w:lineRule="auto"/>
        <w:jc w:val="both"/>
        <w:rPr>
          <w:rFonts w:ascii="David" w:hAnsi="David"/>
          <w:rtl/>
        </w:rPr>
      </w:pPr>
      <w:r>
        <w:rPr>
          <w:rFonts w:ascii="David" w:hAnsi="David" w:hint="cs"/>
          <w:rtl/>
        </w:rPr>
        <w:t xml:space="preserve">באשר למיקום העונש בתוך המתחם שנקבע על פי נסיבות שאינן קשורות לביצוע העבירה, לקחתי בחשבון את העובדה שהנאשם הודה בהזדמנות הראשונה, לקח אחריות מלאה על מעשיו, חסך זמן שיפוטי יקר, לרבות זמנם של עדי התביעה וכן לא נעלמו מעיני נסיבותיו המשפחתיות והאישיות. </w:t>
      </w:r>
    </w:p>
    <w:p w14:paraId="023BA39D" w14:textId="77777777" w:rsidR="00794B39" w:rsidRDefault="00794B39" w:rsidP="00794B39">
      <w:pPr>
        <w:spacing w:line="360" w:lineRule="auto"/>
        <w:jc w:val="both"/>
        <w:rPr>
          <w:rFonts w:ascii="David" w:hAnsi="David"/>
          <w:rtl/>
        </w:rPr>
      </w:pPr>
    </w:p>
    <w:p w14:paraId="450077CE" w14:textId="77777777" w:rsidR="00794B39" w:rsidRDefault="00794B39" w:rsidP="00794B39">
      <w:pPr>
        <w:spacing w:line="360" w:lineRule="auto"/>
        <w:jc w:val="both"/>
        <w:rPr>
          <w:rFonts w:ascii="David" w:hAnsi="David"/>
          <w:rtl/>
        </w:rPr>
      </w:pPr>
      <w:r>
        <w:rPr>
          <w:rFonts w:ascii="David" w:hAnsi="David" w:hint="cs"/>
          <w:rtl/>
        </w:rPr>
        <w:t xml:space="preserve">לאור מכלול הנתונים שהוצגו בפני, אני מוצא לנכון לקבוע שיש להטיל על הנאשם ענישה מעט מעל הרף התחתון כלומר בשליש התחתון של מתחם העונש ההולם לצד ענישה הצופה פני עתיד. </w:t>
      </w:r>
    </w:p>
    <w:p w14:paraId="3E00F567" w14:textId="77777777" w:rsidR="00794B39" w:rsidRDefault="00794B39" w:rsidP="00794B39">
      <w:pPr>
        <w:spacing w:line="360" w:lineRule="auto"/>
        <w:jc w:val="both"/>
        <w:rPr>
          <w:rFonts w:ascii="David" w:hAnsi="David"/>
          <w:rtl/>
        </w:rPr>
      </w:pPr>
    </w:p>
    <w:p w14:paraId="45D3398C" w14:textId="77777777" w:rsidR="00794B39" w:rsidRPr="000E6268" w:rsidRDefault="00794B39" w:rsidP="00794B39">
      <w:pPr>
        <w:spacing w:line="360" w:lineRule="auto"/>
        <w:jc w:val="both"/>
        <w:rPr>
          <w:rFonts w:ascii="David" w:hAnsi="David"/>
          <w:u w:val="single"/>
          <w:rtl/>
        </w:rPr>
      </w:pPr>
      <w:r w:rsidRPr="000E6268">
        <w:rPr>
          <w:rFonts w:ascii="David" w:hAnsi="David" w:hint="cs"/>
          <w:u w:val="single"/>
          <w:rtl/>
        </w:rPr>
        <w:t xml:space="preserve">על כן ולאור האמור לעיל אני מטיל בזאת על הנאשם את העונשים הבאים: </w:t>
      </w:r>
    </w:p>
    <w:p w14:paraId="5353947D" w14:textId="77777777" w:rsidR="00794B39" w:rsidRDefault="00794B39" w:rsidP="00794B39">
      <w:pPr>
        <w:spacing w:line="360" w:lineRule="auto"/>
        <w:jc w:val="both"/>
        <w:rPr>
          <w:rFonts w:ascii="David" w:hAnsi="David"/>
          <w:rtl/>
        </w:rPr>
      </w:pPr>
    </w:p>
    <w:p w14:paraId="48745713" w14:textId="77777777" w:rsidR="00794B39" w:rsidRDefault="00794B39" w:rsidP="00794B39">
      <w:pPr>
        <w:spacing w:line="360" w:lineRule="auto"/>
        <w:jc w:val="both"/>
        <w:rPr>
          <w:rFonts w:ascii="David" w:hAnsi="David"/>
          <w:rtl/>
        </w:rPr>
      </w:pPr>
      <w:r>
        <w:rPr>
          <w:rFonts w:ascii="David" w:hAnsi="David" w:hint="cs"/>
          <w:rtl/>
        </w:rPr>
        <w:t>1.</w:t>
      </w:r>
      <w:r>
        <w:rPr>
          <w:rFonts w:ascii="David" w:hAnsi="David" w:hint="cs"/>
          <w:rtl/>
        </w:rPr>
        <w:tab/>
        <w:t xml:space="preserve">מאסר בפועל למשך 30 חודשים אשר יחושב ממועד מעצרו, 30/10/22. </w:t>
      </w:r>
    </w:p>
    <w:p w14:paraId="323D61AC" w14:textId="77777777" w:rsidR="00794B39" w:rsidRDefault="00794B39" w:rsidP="00794B39">
      <w:pPr>
        <w:spacing w:line="360" w:lineRule="auto"/>
        <w:jc w:val="both"/>
        <w:rPr>
          <w:rFonts w:ascii="David" w:hAnsi="David"/>
          <w:rtl/>
        </w:rPr>
      </w:pPr>
    </w:p>
    <w:p w14:paraId="77D8E14B" w14:textId="77777777" w:rsidR="00794B39" w:rsidRDefault="00794B39" w:rsidP="00794B39">
      <w:pPr>
        <w:spacing w:line="360" w:lineRule="auto"/>
        <w:ind w:left="720" w:hanging="720"/>
        <w:jc w:val="both"/>
        <w:rPr>
          <w:rFonts w:ascii="David" w:hAnsi="David"/>
          <w:rtl/>
        </w:rPr>
      </w:pPr>
      <w:r>
        <w:rPr>
          <w:rFonts w:ascii="David" w:hAnsi="David" w:hint="cs"/>
          <w:rtl/>
        </w:rPr>
        <w:t>2.</w:t>
      </w:r>
      <w:r>
        <w:rPr>
          <w:rFonts w:ascii="David" w:hAnsi="David" w:hint="cs"/>
          <w:rtl/>
        </w:rPr>
        <w:tab/>
        <w:t xml:space="preserve">מאסר על תנאי של 12 חודשים למשך 3 שנים והתנאי שהנאשם לא יעבור לאחר שחרורו מריצוי תום מאסרו בגין תיק זה, על העבירות בהן הורשע בהליך זה שלפני או על כל עבירה מסוג פשע לפי </w:t>
      </w:r>
      <w:hyperlink r:id="rId32" w:history="1">
        <w:r w:rsidR="00BB70E4" w:rsidRPr="00BB70E4">
          <w:rPr>
            <w:rFonts w:ascii="David" w:hAnsi="David"/>
            <w:color w:val="0000FF"/>
            <w:u w:val="single"/>
            <w:rtl/>
          </w:rPr>
          <w:t>חוק העונשין</w:t>
        </w:r>
      </w:hyperlink>
      <w:r>
        <w:rPr>
          <w:rFonts w:ascii="David" w:hAnsi="David" w:hint="cs"/>
          <w:rtl/>
        </w:rPr>
        <w:t xml:space="preserve">. </w:t>
      </w:r>
    </w:p>
    <w:p w14:paraId="5647E3F8" w14:textId="77777777" w:rsidR="00794B39" w:rsidRPr="000E6268" w:rsidRDefault="00794B39" w:rsidP="00794B39">
      <w:pPr>
        <w:spacing w:line="360" w:lineRule="auto"/>
        <w:ind w:left="720" w:hanging="720"/>
        <w:jc w:val="both"/>
        <w:rPr>
          <w:rFonts w:ascii="David" w:hAnsi="David"/>
          <w:b/>
          <w:bCs/>
          <w:rtl/>
        </w:rPr>
      </w:pPr>
    </w:p>
    <w:p w14:paraId="1F018653" w14:textId="77777777" w:rsidR="00794B39" w:rsidRPr="000E6268" w:rsidRDefault="00794B39" w:rsidP="00794B39">
      <w:pPr>
        <w:spacing w:line="360" w:lineRule="auto"/>
        <w:ind w:left="720" w:hanging="720"/>
        <w:jc w:val="both"/>
        <w:rPr>
          <w:rFonts w:ascii="David" w:hAnsi="David"/>
          <w:b/>
          <w:bCs/>
          <w:rtl/>
        </w:rPr>
      </w:pPr>
      <w:r w:rsidRPr="000E6268">
        <w:rPr>
          <w:rFonts w:ascii="David" w:hAnsi="David" w:hint="cs"/>
          <w:b/>
          <w:bCs/>
          <w:rtl/>
        </w:rPr>
        <w:t xml:space="preserve">ניתן בזאת צו להשמדת מוצגים. </w:t>
      </w:r>
    </w:p>
    <w:p w14:paraId="188AE0D7" w14:textId="77777777" w:rsidR="00794B39" w:rsidRPr="000E6268" w:rsidRDefault="00794B39" w:rsidP="00794B39">
      <w:pPr>
        <w:spacing w:line="360" w:lineRule="auto"/>
        <w:ind w:left="720" w:hanging="720"/>
        <w:jc w:val="both"/>
        <w:rPr>
          <w:rFonts w:ascii="David" w:hAnsi="David"/>
          <w:b/>
          <w:bCs/>
          <w:rtl/>
        </w:rPr>
      </w:pPr>
    </w:p>
    <w:p w14:paraId="22E064E9" w14:textId="77777777" w:rsidR="00794B39" w:rsidRDefault="00794B39" w:rsidP="00794B39">
      <w:pPr>
        <w:spacing w:line="360" w:lineRule="auto"/>
        <w:ind w:left="720" w:hanging="720"/>
        <w:jc w:val="both"/>
        <w:rPr>
          <w:rFonts w:ascii="David" w:hAnsi="David"/>
          <w:b/>
          <w:bCs/>
          <w:rtl/>
        </w:rPr>
      </w:pPr>
      <w:r w:rsidRPr="000E6268">
        <w:rPr>
          <w:rFonts w:ascii="David" w:hAnsi="David" w:hint="cs"/>
          <w:b/>
          <w:bCs/>
          <w:rtl/>
        </w:rPr>
        <w:t xml:space="preserve">גזר דין זה מהווה פקודת מאסר. </w:t>
      </w:r>
    </w:p>
    <w:p w14:paraId="158BF917" w14:textId="77777777" w:rsidR="00794B39" w:rsidRDefault="00794B39" w:rsidP="00794B39">
      <w:pPr>
        <w:spacing w:line="360" w:lineRule="auto"/>
        <w:ind w:left="720" w:hanging="720"/>
        <w:jc w:val="both"/>
        <w:rPr>
          <w:rFonts w:ascii="David" w:hAnsi="David"/>
          <w:b/>
          <w:bCs/>
          <w:rtl/>
        </w:rPr>
      </w:pPr>
    </w:p>
    <w:p w14:paraId="35DFB4E8" w14:textId="77777777" w:rsidR="00794B39" w:rsidRPr="000E6268" w:rsidRDefault="00BB70E4" w:rsidP="00794B39">
      <w:pPr>
        <w:spacing w:line="360" w:lineRule="auto"/>
        <w:ind w:left="720" w:hanging="720"/>
        <w:jc w:val="both"/>
        <w:rPr>
          <w:rFonts w:ascii="David" w:hAnsi="David"/>
          <w:b/>
          <w:bCs/>
          <w:rtl/>
        </w:rPr>
      </w:pPr>
      <w:r w:rsidRPr="00BB70E4">
        <w:rPr>
          <w:rFonts w:ascii="David" w:hAnsi="David"/>
          <w:b/>
          <w:bCs/>
          <w:color w:val="FFFFFF"/>
          <w:sz w:val="2"/>
          <w:szCs w:val="2"/>
          <w:rtl/>
        </w:rPr>
        <w:t>5129371</w:t>
      </w:r>
      <w:r w:rsidR="00794B39">
        <w:rPr>
          <w:rFonts w:ascii="David" w:hAnsi="David" w:hint="cs"/>
          <w:b/>
          <w:bCs/>
          <w:rtl/>
        </w:rPr>
        <w:t xml:space="preserve">זכות ערעור לבית המשפט המחוזי בחיפה תוך 45 ימים מהיום. </w:t>
      </w:r>
    </w:p>
    <w:p w14:paraId="622C020B" w14:textId="77777777" w:rsidR="00794B39" w:rsidRPr="00BB70E4" w:rsidRDefault="00BB70E4" w:rsidP="00794B39">
      <w:pPr>
        <w:rPr>
          <w:rFonts w:ascii="David" w:hAnsi="David"/>
          <w:b/>
          <w:bCs/>
          <w:color w:val="FFFFFF"/>
          <w:sz w:val="2"/>
          <w:szCs w:val="2"/>
          <w:rtl/>
        </w:rPr>
      </w:pPr>
      <w:r w:rsidRPr="00BB70E4">
        <w:rPr>
          <w:rFonts w:ascii="David" w:hAnsi="David"/>
          <w:b/>
          <w:bCs/>
          <w:color w:val="FFFFFF"/>
          <w:sz w:val="2"/>
          <w:szCs w:val="2"/>
          <w:rtl/>
        </w:rPr>
        <w:t>54678313</w:t>
      </w:r>
    </w:p>
    <w:p w14:paraId="4D575110" w14:textId="77777777" w:rsidR="00794B39" w:rsidRPr="000F2247" w:rsidRDefault="00794B39" w:rsidP="00794B39">
      <w:pPr>
        <w:rPr>
          <w:rFonts w:ascii="Arial" w:hAnsi="Arial"/>
          <w:b/>
          <w:bCs/>
          <w:sz w:val="26"/>
          <w:szCs w:val="26"/>
          <w:rtl/>
        </w:rPr>
      </w:pPr>
    </w:p>
    <w:p w14:paraId="29CDB053" w14:textId="77777777" w:rsidR="00794B39" w:rsidRPr="000F2247" w:rsidRDefault="00BB70E4" w:rsidP="00794B39">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כ"ג אדר תשפ"ג, 16 מרץ 2023, במעמד הצדדים. </w:t>
      </w:r>
      <w:bookmarkEnd w:id="10"/>
      <w:r w:rsidR="00794B39">
        <w:rPr>
          <w:rFonts w:ascii="Arial" w:hAnsi="Arial"/>
          <w:b/>
          <w:bCs/>
          <w:sz w:val="26"/>
          <w:szCs w:val="26"/>
          <w:rtl/>
        </w:rPr>
        <w:tab/>
      </w:r>
      <w:r w:rsidR="00794B39">
        <w:rPr>
          <w:rFonts w:ascii="Arial" w:hAnsi="Arial"/>
          <w:b/>
          <w:bCs/>
          <w:sz w:val="26"/>
          <w:szCs w:val="26"/>
          <w:rtl/>
        </w:rPr>
        <w:tab/>
      </w:r>
      <w:r w:rsidR="00794B39">
        <w:rPr>
          <w:rFonts w:ascii="Arial" w:hAnsi="Arial"/>
          <w:b/>
          <w:bCs/>
          <w:sz w:val="26"/>
          <w:szCs w:val="26"/>
          <w:rtl/>
        </w:rPr>
        <w:tab/>
      </w:r>
      <w:r w:rsidR="00794B39">
        <w:rPr>
          <w:rFonts w:ascii="Arial" w:hAnsi="Arial"/>
          <w:b/>
          <w:bCs/>
          <w:sz w:val="26"/>
          <w:szCs w:val="26"/>
          <w:rtl/>
        </w:rPr>
        <w:tab/>
      </w:r>
      <w:r w:rsidR="00794B39">
        <w:rPr>
          <w:rFonts w:ascii="Arial" w:hAnsi="Arial"/>
          <w:b/>
          <w:bCs/>
          <w:sz w:val="26"/>
          <w:szCs w:val="26"/>
          <w:rtl/>
        </w:rPr>
        <w:tab/>
      </w:r>
      <w:r w:rsidR="00794B39">
        <w:rPr>
          <w:rFonts w:ascii="Arial" w:hAnsi="Arial"/>
          <w:b/>
          <w:bCs/>
          <w:sz w:val="26"/>
          <w:szCs w:val="26"/>
          <w:rtl/>
        </w:rPr>
        <w:tab/>
      </w:r>
      <w:r w:rsidR="00794B39">
        <w:rPr>
          <w:rFonts w:ascii="Arial" w:hAnsi="Arial"/>
          <w:b/>
          <w:bCs/>
          <w:sz w:val="26"/>
          <w:szCs w:val="26"/>
          <w:rtl/>
        </w:rPr>
        <w:tab/>
      </w:r>
      <w:r w:rsidR="00794B39">
        <w:rPr>
          <w:rFonts w:ascii="Arial" w:hAnsi="Arial" w:hint="cs"/>
          <w:b/>
          <w:bCs/>
          <w:sz w:val="26"/>
          <w:szCs w:val="26"/>
          <w:rtl/>
        </w:rPr>
        <w:t xml:space="preserve">         </w:t>
      </w:r>
    </w:p>
    <w:p w14:paraId="52F22E01" w14:textId="77777777" w:rsidR="00794B39" w:rsidRPr="000F2247" w:rsidRDefault="00794B39" w:rsidP="00BB70E4">
      <w:pPr>
        <w:jc w:val="right"/>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FDBABA4" w14:textId="77777777" w:rsidR="00794B39" w:rsidRPr="000F2247" w:rsidRDefault="00794B39" w:rsidP="00794B39">
      <w:pPr>
        <w:jc w:val="center"/>
        <w:rPr>
          <w:rFonts w:ascii="Arial" w:hAnsi="Arial"/>
          <w:b/>
          <w:bCs/>
          <w:sz w:val="26"/>
          <w:szCs w:val="26"/>
          <w:rtl/>
        </w:rPr>
      </w:pPr>
    </w:p>
    <w:p w14:paraId="19546CCD" w14:textId="77777777" w:rsidR="00783FB6" w:rsidRPr="00BB70E4" w:rsidRDefault="00783FB6" w:rsidP="00BB70E4">
      <w:pPr>
        <w:keepNext/>
        <w:rPr>
          <w:rFonts w:ascii="David" w:hAnsi="David"/>
          <w:color w:val="000000"/>
          <w:sz w:val="22"/>
          <w:szCs w:val="22"/>
          <w:rtl/>
        </w:rPr>
      </w:pPr>
    </w:p>
    <w:p w14:paraId="56DEAD1E" w14:textId="77777777" w:rsidR="00BB70E4" w:rsidRPr="00BB70E4" w:rsidRDefault="00BB70E4" w:rsidP="00BB70E4">
      <w:pPr>
        <w:keepNext/>
        <w:rPr>
          <w:rFonts w:ascii="David" w:hAnsi="David"/>
          <w:color w:val="000000"/>
          <w:sz w:val="22"/>
          <w:szCs w:val="22"/>
          <w:rtl/>
        </w:rPr>
      </w:pPr>
      <w:r w:rsidRPr="00BB70E4">
        <w:rPr>
          <w:rFonts w:ascii="David" w:hAnsi="David"/>
          <w:color w:val="000000"/>
          <w:sz w:val="22"/>
          <w:szCs w:val="22"/>
          <w:rtl/>
        </w:rPr>
        <w:t>אלכס אחטר 54678313</w:t>
      </w:r>
    </w:p>
    <w:p w14:paraId="37A43E07" w14:textId="77777777" w:rsidR="00BB70E4" w:rsidRDefault="00BB70E4" w:rsidP="00BB70E4">
      <w:r w:rsidRPr="00BB70E4">
        <w:rPr>
          <w:color w:val="000000"/>
          <w:rtl/>
        </w:rPr>
        <w:t>נוסח מסמך זה כפוף לשינויי ניסוח ועריכה</w:t>
      </w:r>
    </w:p>
    <w:p w14:paraId="32EC5C20" w14:textId="77777777" w:rsidR="00BB70E4" w:rsidRDefault="00BB70E4" w:rsidP="00BB70E4">
      <w:pPr>
        <w:rPr>
          <w:rtl/>
        </w:rPr>
      </w:pPr>
    </w:p>
    <w:p w14:paraId="3096F957" w14:textId="77777777" w:rsidR="00BB70E4" w:rsidRDefault="00BB70E4" w:rsidP="00BB70E4">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2AE83D8C" w14:textId="77777777" w:rsidR="00BB70E4" w:rsidRPr="00BB70E4" w:rsidRDefault="00BB70E4" w:rsidP="00BB70E4">
      <w:pPr>
        <w:jc w:val="center"/>
        <w:rPr>
          <w:color w:val="0000FF"/>
          <w:u w:val="single"/>
        </w:rPr>
      </w:pPr>
    </w:p>
    <w:sectPr w:rsidR="00BB70E4" w:rsidRPr="00BB70E4" w:rsidSect="00BB70E4">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0D3ED" w14:textId="77777777" w:rsidR="006E565A" w:rsidRDefault="006E565A" w:rsidP="00E34027">
      <w:r>
        <w:separator/>
      </w:r>
    </w:p>
  </w:endnote>
  <w:endnote w:type="continuationSeparator" w:id="0">
    <w:p w14:paraId="582652B3" w14:textId="77777777" w:rsidR="006E565A" w:rsidRDefault="006E565A" w:rsidP="00E34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7DA06" w14:textId="77777777" w:rsidR="00BB70E4" w:rsidRDefault="00BB70E4" w:rsidP="00BB70E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3A40175" w14:textId="77777777" w:rsidR="006774AD" w:rsidRPr="00BB70E4" w:rsidRDefault="00BB70E4" w:rsidP="00BB70E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F7947" w14:textId="77777777" w:rsidR="00BB70E4" w:rsidRDefault="00BB70E4" w:rsidP="00BB70E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34422">
      <w:rPr>
        <w:rFonts w:ascii="FrankRuehl" w:hAnsi="FrankRuehl" w:cs="FrankRuehl"/>
        <w:noProof/>
        <w:rtl/>
      </w:rPr>
      <w:t>1</w:t>
    </w:r>
    <w:r>
      <w:rPr>
        <w:rFonts w:ascii="FrankRuehl" w:hAnsi="FrankRuehl" w:cs="FrankRuehl"/>
        <w:rtl/>
      </w:rPr>
      <w:fldChar w:fldCharType="end"/>
    </w:r>
  </w:p>
  <w:p w14:paraId="7AFC6777" w14:textId="77777777" w:rsidR="006774AD" w:rsidRPr="00BB70E4" w:rsidRDefault="00BB70E4" w:rsidP="00BB70E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EC83A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DA9A3" w14:textId="77777777" w:rsidR="006E565A" w:rsidRDefault="006E565A" w:rsidP="00E34027">
      <w:r>
        <w:separator/>
      </w:r>
    </w:p>
  </w:footnote>
  <w:footnote w:type="continuationSeparator" w:id="0">
    <w:p w14:paraId="4F4C5C4C" w14:textId="77777777" w:rsidR="006E565A" w:rsidRDefault="006E565A" w:rsidP="00E340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1F665" w14:textId="77777777" w:rsidR="00BB70E4" w:rsidRPr="00BB70E4" w:rsidRDefault="00BB70E4" w:rsidP="00BB70E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24328-11-22</w:t>
    </w:r>
    <w:r>
      <w:rPr>
        <w:rFonts w:ascii="David" w:hAnsi="David"/>
        <w:color w:val="000000"/>
        <w:sz w:val="22"/>
        <w:szCs w:val="22"/>
        <w:rtl/>
      </w:rPr>
      <w:tab/>
      <w:t xml:space="preserve"> מדינת ישראל נ' עבדאללה מחאמיד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CFAB1" w14:textId="77777777" w:rsidR="00BB70E4" w:rsidRPr="00BB70E4" w:rsidRDefault="00BB70E4" w:rsidP="00BB70E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24328-11-22</w:t>
    </w:r>
    <w:r>
      <w:rPr>
        <w:rFonts w:ascii="David" w:hAnsi="David"/>
        <w:color w:val="000000"/>
        <w:sz w:val="22"/>
        <w:szCs w:val="22"/>
        <w:rtl/>
      </w:rPr>
      <w:tab/>
      <w:t xml:space="preserve"> מדינת ישראל נ' עבדאללה מחאמיד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94B39"/>
    <w:rsid w:val="001B5A3B"/>
    <w:rsid w:val="001F10D8"/>
    <w:rsid w:val="00393798"/>
    <w:rsid w:val="00450AD9"/>
    <w:rsid w:val="005850BF"/>
    <w:rsid w:val="006774AD"/>
    <w:rsid w:val="006E565A"/>
    <w:rsid w:val="00783FB6"/>
    <w:rsid w:val="00794B39"/>
    <w:rsid w:val="00834422"/>
    <w:rsid w:val="00937651"/>
    <w:rsid w:val="009F76F9"/>
    <w:rsid w:val="00BB70E4"/>
    <w:rsid w:val="00E11361"/>
    <w:rsid w:val="00E34027"/>
    <w:rsid w:val="00E755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246C21"/>
  <w15:chartTrackingRefBased/>
  <w15:docId w15:val="{64E9B8EE-BB33-49BC-8204-712973411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94B3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94B39"/>
    <w:pPr>
      <w:tabs>
        <w:tab w:val="center" w:pos="4153"/>
        <w:tab w:val="right" w:pos="8306"/>
      </w:tabs>
    </w:pPr>
  </w:style>
  <w:style w:type="character" w:customStyle="1" w:styleId="a4">
    <w:name w:val="כותרת עליונה תו"/>
    <w:link w:val="a3"/>
    <w:rsid w:val="00794B39"/>
    <w:rPr>
      <w:rFonts w:ascii="Times New Roman" w:eastAsia="Times New Roman" w:hAnsi="Times New Roman" w:cs="David"/>
      <w:sz w:val="24"/>
      <w:szCs w:val="24"/>
    </w:rPr>
  </w:style>
  <w:style w:type="paragraph" w:styleId="a5">
    <w:name w:val="footer"/>
    <w:basedOn w:val="a"/>
    <w:link w:val="a6"/>
    <w:rsid w:val="00794B39"/>
    <w:pPr>
      <w:tabs>
        <w:tab w:val="center" w:pos="4153"/>
        <w:tab w:val="right" w:pos="8306"/>
      </w:tabs>
    </w:pPr>
  </w:style>
  <w:style w:type="character" w:customStyle="1" w:styleId="a6">
    <w:name w:val="כותרת תחתונה תו"/>
    <w:link w:val="a5"/>
    <w:rsid w:val="00794B39"/>
    <w:rPr>
      <w:rFonts w:ascii="Times New Roman" w:eastAsia="Times New Roman" w:hAnsi="Times New Roman" w:cs="David"/>
      <w:sz w:val="24"/>
      <w:szCs w:val="24"/>
    </w:rPr>
  </w:style>
  <w:style w:type="table" w:styleId="a7">
    <w:name w:val="Table Grid"/>
    <w:basedOn w:val="a1"/>
    <w:rsid w:val="00794B3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94B39"/>
  </w:style>
  <w:style w:type="character" w:styleId="Hyperlink">
    <w:name w:val="Hyperlink"/>
    <w:rsid w:val="00BB70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40d" TargetMode="External"/><Relationship Id="rId26" Type="http://schemas.openxmlformats.org/officeDocument/2006/relationships/hyperlink" Target="http://www.nevo.co.il/case/13093744" TargetMode="External"/><Relationship Id="rId39" Type="http://schemas.openxmlformats.org/officeDocument/2006/relationships/theme" Target="theme/theme1.xml"/><Relationship Id="rId21" Type="http://schemas.openxmlformats.org/officeDocument/2006/relationships/hyperlink" Target="http://www.nevo.co.il/case/5762686" TargetMode="External"/><Relationship Id="rId34" Type="http://schemas.openxmlformats.org/officeDocument/2006/relationships/header" Target="header1.xml"/><Relationship Id="rId7" Type="http://schemas.openxmlformats.org/officeDocument/2006/relationships/hyperlink" Target="http://www.nevo.co.il/law/70301/40d"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case/25824863"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5969313" TargetMode="External"/><Relationship Id="rId29" Type="http://schemas.openxmlformats.org/officeDocument/2006/relationships/hyperlink" Target="http://www.nevo.co.il/case/26442335"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0ja"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40i" TargetMode="External"/><Relationship Id="rId23" Type="http://schemas.openxmlformats.org/officeDocument/2006/relationships/hyperlink" Target="http://www.nevo.co.il/safrut/bookgroup/412" TargetMode="External"/><Relationship Id="rId28" Type="http://schemas.openxmlformats.org/officeDocument/2006/relationships/hyperlink" Target="http://www.nevo.co.il/case/27925239" TargetMode="External"/><Relationship Id="rId36" Type="http://schemas.openxmlformats.org/officeDocument/2006/relationships/footer" Target="footer1.xml"/><Relationship Id="rId10" Type="http://schemas.openxmlformats.org/officeDocument/2006/relationships/hyperlink" Target="http://www.nevo.co.il/law/70301/144.a" TargetMode="External"/><Relationship Id="rId19" Type="http://schemas.openxmlformats.org/officeDocument/2006/relationships/hyperlink" Target="http://www.nevo.co.il/law/70301/40e" TargetMode="External"/><Relationship Id="rId31" Type="http://schemas.openxmlformats.org/officeDocument/2006/relationships/hyperlink" Target="http://www.nevo.co.il/case/28424228" TargetMode="External"/><Relationship Id="rId4" Type="http://schemas.openxmlformats.org/officeDocument/2006/relationships/footnotes" Target="footnotes.xml"/><Relationship Id="rId9" Type="http://schemas.openxmlformats.org/officeDocument/2006/relationships/hyperlink" Target="http://www.nevo.co.il/law/70301/40i"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7309272" TargetMode="External"/><Relationship Id="rId27" Type="http://schemas.openxmlformats.org/officeDocument/2006/relationships/hyperlink" Target="http://www.nevo.co.il/case/25824863" TargetMode="External"/><Relationship Id="rId30" Type="http://schemas.openxmlformats.org/officeDocument/2006/relationships/hyperlink" Target="http://www.nevo.co.il/case/28424228" TargetMode="External"/><Relationship Id="rId35" Type="http://schemas.openxmlformats.org/officeDocument/2006/relationships/header" Target="header2.xml"/><Relationship Id="rId8" Type="http://schemas.openxmlformats.org/officeDocument/2006/relationships/hyperlink" Target="http://www.nevo.co.il/law/70301/40e"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2602</Words>
  <Characters>13015</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15586</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7995492</vt:i4>
      </vt:variant>
      <vt:variant>
        <vt:i4>81</vt:i4>
      </vt:variant>
      <vt:variant>
        <vt:i4>0</vt:i4>
      </vt:variant>
      <vt:variant>
        <vt:i4>5</vt:i4>
      </vt:variant>
      <vt:variant>
        <vt:lpwstr>http://www.nevo.co.il/law/70301</vt:lpwstr>
      </vt:variant>
      <vt:variant>
        <vt:lpwstr/>
      </vt:variant>
      <vt:variant>
        <vt:i4>3145852</vt:i4>
      </vt:variant>
      <vt:variant>
        <vt:i4>78</vt:i4>
      </vt:variant>
      <vt:variant>
        <vt:i4>0</vt:i4>
      </vt:variant>
      <vt:variant>
        <vt:i4>5</vt:i4>
      </vt:variant>
      <vt:variant>
        <vt:lpwstr>http://www.nevo.co.il/case/28424228</vt:lpwstr>
      </vt:variant>
      <vt:variant>
        <vt:lpwstr/>
      </vt:variant>
      <vt:variant>
        <vt:i4>3145852</vt:i4>
      </vt:variant>
      <vt:variant>
        <vt:i4>75</vt:i4>
      </vt:variant>
      <vt:variant>
        <vt:i4>0</vt:i4>
      </vt:variant>
      <vt:variant>
        <vt:i4>5</vt:i4>
      </vt:variant>
      <vt:variant>
        <vt:lpwstr>http://www.nevo.co.il/case/28424228</vt:lpwstr>
      </vt:variant>
      <vt:variant>
        <vt:lpwstr/>
      </vt:variant>
      <vt:variant>
        <vt:i4>3604597</vt:i4>
      </vt:variant>
      <vt:variant>
        <vt:i4>72</vt:i4>
      </vt:variant>
      <vt:variant>
        <vt:i4>0</vt:i4>
      </vt:variant>
      <vt:variant>
        <vt:i4>5</vt:i4>
      </vt:variant>
      <vt:variant>
        <vt:lpwstr>http://www.nevo.co.il/case/26442335</vt:lpwstr>
      </vt:variant>
      <vt:variant>
        <vt:lpwstr/>
      </vt:variant>
      <vt:variant>
        <vt:i4>3997811</vt:i4>
      </vt:variant>
      <vt:variant>
        <vt:i4>69</vt:i4>
      </vt:variant>
      <vt:variant>
        <vt:i4>0</vt:i4>
      </vt:variant>
      <vt:variant>
        <vt:i4>5</vt:i4>
      </vt:variant>
      <vt:variant>
        <vt:lpwstr>http://www.nevo.co.il/case/27925239</vt:lpwstr>
      </vt:variant>
      <vt:variant>
        <vt:lpwstr/>
      </vt:variant>
      <vt:variant>
        <vt:i4>3670139</vt:i4>
      </vt:variant>
      <vt:variant>
        <vt:i4>66</vt:i4>
      </vt:variant>
      <vt:variant>
        <vt:i4>0</vt:i4>
      </vt:variant>
      <vt:variant>
        <vt:i4>5</vt:i4>
      </vt:variant>
      <vt:variant>
        <vt:lpwstr>http://www.nevo.co.il/case/25824863</vt:lpwstr>
      </vt:variant>
      <vt:variant>
        <vt:lpwstr/>
      </vt:variant>
      <vt:variant>
        <vt:i4>3539065</vt:i4>
      </vt:variant>
      <vt:variant>
        <vt:i4>63</vt:i4>
      </vt:variant>
      <vt:variant>
        <vt:i4>0</vt:i4>
      </vt:variant>
      <vt:variant>
        <vt:i4>5</vt:i4>
      </vt:variant>
      <vt:variant>
        <vt:lpwstr>http://www.nevo.co.il/case/13093744</vt:lpwstr>
      </vt:variant>
      <vt:variant>
        <vt:lpwstr/>
      </vt:variant>
      <vt:variant>
        <vt:i4>3670139</vt:i4>
      </vt:variant>
      <vt:variant>
        <vt:i4>60</vt:i4>
      </vt:variant>
      <vt:variant>
        <vt:i4>0</vt:i4>
      </vt:variant>
      <vt:variant>
        <vt:i4>5</vt:i4>
      </vt:variant>
      <vt:variant>
        <vt:lpwstr>http://www.nevo.co.il/case/25824863</vt:lpwstr>
      </vt:variant>
      <vt:variant>
        <vt:lpwstr/>
      </vt:variant>
      <vt:variant>
        <vt:i4>7995492</vt:i4>
      </vt:variant>
      <vt:variant>
        <vt:i4>57</vt:i4>
      </vt:variant>
      <vt:variant>
        <vt:i4>0</vt:i4>
      </vt:variant>
      <vt:variant>
        <vt:i4>5</vt:i4>
      </vt:variant>
      <vt:variant>
        <vt:lpwstr>http://www.nevo.co.il/law/70301</vt:lpwstr>
      </vt:variant>
      <vt:variant>
        <vt:lpwstr/>
      </vt:variant>
      <vt:variant>
        <vt:i4>2097193</vt:i4>
      </vt:variant>
      <vt:variant>
        <vt:i4>54</vt:i4>
      </vt:variant>
      <vt:variant>
        <vt:i4>0</vt:i4>
      </vt:variant>
      <vt:variant>
        <vt:i4>5</vt:i4>
      </vt:variant>
      <vt:variant>
        <vt:lpwstr>http://www.nevo.co.il/safrut/bookgroup/412</vt:lpwstr>
      </vt:variant>
      <vt:variant>
        <vt:lpwstr/>
      </vt:variant>
      <vt:variant>
        <vt:i4>4128881</vt:i4>
      </vt:variant>
      <vt:variant>
        <vt:i4>51</vt:i4>
      </vt:variant>
      <vt:variant>
        <vt:i4>0</vt:i4>
      </vt:variant>
      <vt:variant>
        <vt:i4>5</vt:i4>
      </vt:variant>
      <vt:variant>
        <vt:lpwstr>http://www.nevo.co.il/case/27309272</vt:lpwstr>
      </vt:variant>
      <vt:variant>
        <vt:lpwstr/>
      </vt:variant>
      <vt:variant>
        <vt:i4>3342457</vt:i4>
      </vt:variant>
      <vt:variant>
        <vt:i4>48</vt:i4>
      </vt:variant>
      <vt:variant>
        <vt:i4>0</vt:i4>
      </vt:variant>
      <vt:variant>
        <vt:i4>5</vt:i4>
      </vt:variant>
      <vt:variant>
        <vt:lpwstr>http://www.nevo.co.il/case/5762686</vt:lpwstr>
      </vt:variant>
      <vt:variant>
        <vt:lpwstr/>
      </vt:variant>
      <vt:variant>
        <vt:i4>3342453</vt:i4>
      </vt:variant>
      <vt:variant>
        <vt:i4>45</vt:i4>
      </vt:variant>
      <vt:variant>
        <vt:i4>0</vt:i4>
      </vt:variant>
      <vt:variant>
        <vt:i4>5</vt:i4>
      </vt:variant>
      <vt:variant>
        <vt:lpwstr>http://www.nevo.co.il/case/5969313</vt:lpwstr>
      </vt:variant>
      <vt:variant>
        <vt:lpwstr/>
      </vt:variant>
      <vt:variant>
        <vt:i4>6619233</vt:i4>
      </vt:variant>
      <vt:variant>
        <vt:i4>42</vt:i4>
      </vt:variant>
      <vt:variant>
        <vt:i4>0</vt:i4>
      </vt:variant>
      <vt:variant>
        <vt:i4>5</vt:i4>
      </vt:variant>
      <vt:variant>
        <vt:lpwstr>http://www.nevo.co.il/law/70301/40e</vt:lpwstr>
      </vt:variant>
      <vt:variant>
        <vt:lpwstr/>
      </vt:variant>
      <vt:variant>
        <vt:i4>6619233</vt:i4>
      </vt:variant>
      <vt:variant>
        <vt:i4>39</vt:i4>
      </vt:variant>
      <vt:variant>
        <vt:i4>0</vt:i4>
      </vt:variant>
      <vt:variant>
        <vt:i4>5</vt:i4>
      </vt:variant>
      <vt:variant>
        <vt:lpwstr>http://www.nevo.co.il/law/70301/40d</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7995492</vt:i4>
      </vt:variant>
      <vt:variant>
        <vt:i4>27</vt:i4>
      </vt:variant>
      <vt:variant>
        <vt:i4>0</vt:i4>
      </vt:variant>
      <vt:variant>
        <vt:i4>5</vt:i4>
      </vt:variant>
      <vt:variant>
        <vt:lpwstr>http://www.nevo.co.il/law/70301</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http://www.nevo.co.il/law/70301/40e</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2025-01-19T17:52:00Z</dcterms:created>
  <dcterms:modified xsi:type="dcterms:W3CDTF">2025-01-19T17:52:00Z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24328</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עבדאללה מחאמיד</vt:lpwstr>
  </property>
  <property fmtid="{D5CDD505-2E9C-101B-9397-08002B2CF9AE}" pid="10" name="LAWYER">
    <vt:lpwstr>דורית לוי פרנק;אסיל מקאלדה</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20230316</vt:lpwstr>
  </property>
  <property fmtid="{D5CDD505-2E9C-101B-9397-08002B2CF9AE}" pid="14" name="TYPE_N_DATE">
    <vt:lpwstr>38020230316</vt:lpwstr>
  </property>
  <property fmtid="{D5CDD505-2E9C-101B-9397-08002B2CF9AE}" pid="15" name="WORDNUMPAGES">
    <vt:lpwstr>8</vt:lpwstr>
  </property>
  <property fmtid="{D5CDD505-2E9C-101B-9397-08002B2CF9AE}" pid="16" name="TYPE_ABS_DATE">
    <vt:lpwstr>380020230316</vt:lpwstr>
  </property>
  <property fmtid="{D5CDD505-2E9C-101B-9397-08002B2CF9AE}" pid="17" name="ISABSTRACT">
    <vt:lpwstr>Y</vt:lpwstr>
  </property>
  <property fmtid="{D5CDD505-2E9C-101B-9397-08002B2CF9AE}" pid="18" name="CASESLISTTMP1">
    <vt:lpwstr>5969313;5762686;27309272;25824863:2;13093744;27925239;26442335;28424228:2</vt:lpwstr>
  </property>
  <property fmtid="{D5CDD505-2E9C-101B-9397-08002B2CF9AE}" pid="19" name="BOOKGROUPTMP1">
    <vt:lpwstr>412</vt:lpwstr>
  </property>
  <property fmtid="{D5CDD505-2E9C-101B-9397-08002B2CF9AE}" pid="20" name="LAWLISTTMP1">
    <vt:lpwstr>70301/144.a;040i;40ja;040d;040e</vt:lpwstr>
  </property>
</Properties>
</file>