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2C0BC0" w:rsidRPr="002C0BC0" w14:paraId="649F0174" w14:textId="77777777" w:rsidTr="008D17A1">
        <w:trPr>
          <w:trHeight w:hRule="exact" w:val="704"/>
          <w:jc w:val="center"/>
        </w:trPr>
        <w:tc>
          <w:tcPr>
            <w:tcW w:w="8721" w:type="dxa"/>
            <w:gridSpan w:val="2"/>
          </w:tcPr>
          <w:p w14:paraId="57B8B906" w14:textId="77777777" w:rsidR="002C0BC0" w:rsidRPr="007D7D3D" w:rsidRDefault="002C0BC0" w:rsidP="008D17A1">
            <w:pPr>
              <w:pStyle w:val="a3"/>
              <w:jc w:val="center"/>
              <w:rPr>
                <w:rFonts w:ascii="Tahoma" w:hAnsi="Tahoma" w:cs="Tahoma"/>
                <w:b/>
                <w:bCs/>
                <w:noProof w:val="0"/>
                <w:color w:val="000080"/>
                <w:rtl/>
              </w:rPr>
            </w:pPr>
            <w:r w:rsidRPr="007D7D3D">
              <w:rPr>
                <w:rFonts w:ascii="Tahoma" w:hAnsi="Tahoma" w:cs="Tahoma"/>
                <w:b/>
                <w:bCs/>
                <w:noProof w:val="0"/>
                <w:color w:val="000080"/>
                <w:rtl/>
              </w:rPr>
              <w:t>בית משפט לנוער בבית משפט השלום בפתח תקווה</w:t>
            </w:r>
          </w:p>
        </w:tc>
      </w:tr>
      <w:tr w:rsidR="002C0BC0" w:rsidRPr="002C0BC0" w14:paraId="4F4EEE5B" w14:textId="77777777" w:rsidTr="008D17A1">
        <w:trPr>
          <w:trHeight w:val="337"/>
          <w:jc w:val="center"/>
        </w:trPr>
        <w:tc>
          <w:tcPr>
            <w:tcW w:w="5047" w:type="dxa"/>
          </w:tcPr>
          <w:p w14:paraId="4307BD05" w14:textId="77777777" w:rsidR="002C0BC0" w:rsidRPr="002C0BC0" w:rsidRDefault="002C0BC0" w:rsidP="008D17A1">
            <w:pPr>
              <w:rPr>
                <w:b/>
                <w:bCs/>
                <w:noProof w:val="0"/>
                <w:sz w:val="26"/>
                <w:szCs w:val="26"/>
                <w:rtl/>
              </w:rPr>
            </w:pPr>
          </w:p>
        </w:tc>
        <w:tc>
          <w:tcPr>
            <w:tcW w:w="3674" w:type="dxa"/>
          </w:tcPr>
          <w:p w14:paraId="1AEB48A7" w14:textId="77777777" w:rsidR="002C0BC0" w:rsidRPr="002C0BC0" w:rsidRDefault="002C0BC0" w:rsidP="008D17A1">
            <w:pPr>
              <w:pStyle w:val="a3"/>
              <w:jc w:val="right"/>
              <w:rPr>
                <w:b/>
                <w:bCs/>
                <w:noProof w:val="0"/>
                <w:sz w:val="26"/>
                <w:szCs w:val="26"/>
                <w:rtl/>
              </w:rPr>
            </w:pPr>
          </w:p>
        </w:tc>
      </w:tr>
      <w:tr w:rsidR="002C0BC0" w:rsidRPr="002C0BC0" w14:paraId="3D7A9F60" w14:textId="77777777" w:rsidTr="008D17A1">
        <w:trPr>
          <w:trHeight w:val="337"/>
          <w:jc w:val="center"/>
        </w:trPr>
        <w:tc>
          <w:tcPr>
            <w:tcW w:w="8721" w:type="dxa"/>
            <w:gridSpan w:val="2"/>
          </w:tcPr>
          <w:p w14:paraId="221B0209" w14:textId="77777777" w:rsidR="002C0BC0" w:rsidRPr="002C0BC0" w:rsidRDefault="002C0BC0" w:rsidP="00BD32F9">
            <w:pPr>
              <w:rPr>
                <w:noProof w:val="0"/>
                <w:sz w:val="20"/>
                <w:szCs w:val="20"/>
                <w:rtl/>
              </w:rPr>
            </w:pPr>
            <w:r w:rsidRPr="002C0BC0">
              <w:rPr>
                <w:b/>
                <w:bCs/>
                <w:noProof w:val="0"/>
                <w:sz w:val="26"/>
                <w:szCs w:val="26"/>
                <w:rtl/>
              </w:rPr>
              <w:t>ת"פ 51251-12-22 מדינת ישראל נ' פלוני</w:t>
            </w:r>
            <w:r w:rsidRPr="002C0BC0">
              <w:rPr>
                <w:noProof w:val="0"/>
                <w:rtl/>
              </w:rPr>
              <w:t xml:space="preserve">                          </w:t>
            </w:r>
            <w:r w:rsidRPr="002C0BC0">
              <w:rPr>
                <w:noProof w:val="0"/>
                <w:sz w:val="20"/>
                <w:szCs w:val="20"/>
                <w:rtl/>
              </w:rPr>
              <w:t xml:space="preserve">                                       </w:t>
            </w:r>
          </w:p>
          <w:p w14:paraId="0129D91B" w14:textId="77777777" w:rsidR="002C0BC0" w:rsidRPr="002C0BC0" w:rsidRDefault="002C0BC0" w:rsidP="008D17A1">
            <w:pPr>
              <w:rPr>
                <w:noProof w:val="0"/>
                <w:sz w:val="20"/>
                <w:szCs w:val="20"/>
                <w:rtl/>
              </w:rPr>
            </w:pPr>
            <w:r w:rsidRPr="002C0BC0">
              <w:rPr>
                <w:noProof w:val="0"/>
                <w:sz w:val="20"/>
                <w:szCs w:val="20"/>
                <w:rtl/>
              </w:rPr>
              <w:t xml:space="preserve">תיק חיצוני: </w:t>
            </w:r>
            <w:r w:rsidRPr="002C0BC0">
              <w:rPr>
                <w:sz w:val="20"/>
                <w:szCs w:val="20"/>
              </w:rPr>
              <w:t>504689/2022</w:t>
            </w:r>
            <w:r w:rsidRPr="002C0BC0">
              <w:rPr>
                <w:noProof w:val="0"/>
                <w:sz w:val="20"/>
                <w:szCs w:val="20"/>
                <w:rtl/>
              </w:rPr>
              <w:t xml:space="preserve">   </w:t>
            </w:r>
          </w:p>
        </w:tc>
      </w:tr>
    </w:tbl>
    <w:p w14:paraId="2440F30E" w14:textId="77777777" w:rsidR="002C0BC0" w:rsidRPr="002C0BC0" w:rsidRDefault="002C0BC0" w:rsidP="002C0BC0">
      <w:pPr>
        <w:pStyle w:val="a3"/>
        <w:rPr>
          <w:noProof w:val="0"/>
          <w:rtl/>
        </w:rPr>
      </w:pPr>
      <w:r w:rsidRPr="002C0BC0">
        <w:rPr>
          <w:noProof w:val="0"/>
          <w:rtl/>
        </w:rPr>
        <w:t xml:space="preserve"> </w:t>
      </w:r>
    </w:p>
    <w:p w14:paraId="6AB92278" w14:textId="77777777" w:rsidR="00382304" w:rsidRPr="002C0BC0" w:rsidRDefault="00382304" w:rsidP="00D44968">
      <w:pPr>
        <w:suppressLineNumbers/>
        <w:rPr>
          <w:noProof w:val="0"/>
          <w:rtl/>
        </w:rPr>
      </w:pPr>
    </w:p>
    <w:tbl>
      <w:tblPr>
        <w:bidiVisual/>
        <w:tblW w:w="8820" w:type="dxa"/>
        <w:jc w:val="center"/>
        <w:tblLook w:val="01E0" w:firstRow="1" w:lastRow="1" w:firstColumn="1" w:lastColumn="1" w:noHBand="0" w:noVBand="0"/>
      </w:tblPr>
      <w:tblGrid>
        <w:gridCol w:w="743"/>
        <w:gridCol w:w="2506"/>
        <w:gridCol w:w="5571"/>
      </w:tblGrid>
      <w:tr w:rsidR="002C0BC0" w:rsidRPr="002C0BC0" w14:paraId="731575C3" w14:textId="77777777" w:rsidTr="008D17A1">
        <w:trPr>
          <w:jc w:val="center"/>
        </w:trPr>
        <w:tc>
          <w:tcPr>
            <w:tcW w:w="743" w:type="dxa"/>
          </w:tcPr>
          <w:p w14:paraId="5B6C533F" w14:textId="77777777" w:rsidR="002C0BC0" w:rsidRPr="00BD32F9" w:rsidRDefault="002C0BC0" w:rsidP="00BD32F9">
            <w:pPr>
              <w:suppressLineNumbers/>
              <w:spacing w:before="120" w:after="120" w:line="240" w:lineRule="exact"/>
              <w:jc w:val="both"/>
              <w:rPr>
                <w:rFonts w:ascii="Arial" w:hAnsi="Arial"/>
                <w:b/>
                <w:bCs/>
                <w:noProof w:val="0"/>
                <w:sz w:val="26"/>
                <w:szCs w:val="26"/>
                <w:rtl/>
              </w:rPr>
            </w:pPr>
            <w:r w:rsidRPr="00BD32F9">
              <w:rPr>
                <w:rFonts w:ascii="Arial" w:hAnsi="Arial"/>
                <w:b/>
                <w:bCs/>
                <w:noProof w:val="0"/>
                <w:sz w:val="26"/>
                <w:szCs w:val="26"/>
                <w:rtl/>
              </w:rPr>
              <w:t xml:space="preserve">בפני </w:t>
            </w:r>
          </w:p>
        </w:tc>
        <w:tc>
          <w:tcPr>
            <w:tcW w:w="8077" w:type="dxa"/>
            <w:gridSpan w:val="2"/>
          </w:tcPr>
          <w:p w14:paraId="65C2892D" w14:textId="77777777" w:rsidR="002C0BC0" w:rsidRPr="00BD32F9" w:rsidRDefault="002C0BC0" w:rsidP="00BD32F9">
            <w:pPr>
              <w:suppressLineNumbers/>
              <w:spacing w:before="120" w:after="120" w:line="240" w:lineRule="exact"/>
              <w:rPr>
                <w:rFonts w:ascii="Arial" w:hAnsi="Arial" w:cs="FrankRuehl"/>
                <w:sz w:val="26"/>
                <w:szCs w:val="26"/>
                <w:highlight w:val="yellow"/>
              </w:rPr>
            </w:pPr>
            <w:r w:rsidRPr="00BD32F9">
              <w:rPr>
                <w:rFonts w:ascii="Arial" w:hAnsi="Arial"/>
                <w:b/>
                <w:bCs/>
                <w:noProof w:val="0"/>
                <w:sz w:val="26"/>
                <w:szCs w:val="26"/>
                <w:rtl/>
              </w:rPr>
              <w:t>כבוד השופטת, סגנית הנשיאה  שרון עצמון הלוי</w:t>
            </w:r>
          </w:p>
        </w:tc>
      </w:tr>
      <w:tr w:rsidR="002C0BC0" w:rsidRPr="002C0BC0" w14:paraId="45E477B2" w14:textId="77777777" w:rsidTr="008D17A1">
        <w:trPr>
          <w:jc w:val="center"/>
        </w:trPr>
        <w:tc>
          <w:tcPr>
            <w:tcW w:w="3249" w:type="dxa"/>
            <w:gridSpan w:val="2"/>
          </w:tcPr>
          <w:p w14:paraId="1953A1B1" w14:textId="77777777" w:rsidR="002C0BC0" w:rsidRPr="00BD32F9" w:rsidRDefault="002C0BC0" w:rsidP="00BD32F9">
            <w:pPr>
              <w:suppressLineNumbers/>
              <w:spacing w:before="120" w:after="120" w:line="240" w:lineRule="exact"/>
              <w:rPr>
                <w:rFonts w:ascii="Arial" w:hAnsi="Arial"/>
                <w:b/>
                <w:bCs/>
                <w:noProof w:val="0"/>
                <w:sz w:val="26"/>
                <w:szCs w:val="26"/>
                <w:rtl/>
              </w:rPr>
            </w:pPr>
            <w:bookmarkStart w:id="0" w:name="FirstAppellant"/>
            <w:bookmarkStart w:id="1" w:name="LastJudge"/>
            <w:bookmarkEnd w:id="1"/>
            <w:r w:rsidRPr="00BD32F9">
              <w:rPr>
                <w:rFonts w:ascii="Arial" w:hAnsi="Arial"/>
                <w:b/>
                <w:bCs/>
                <w:noProof w:val="0"/>
                <w:sz w:val="26"/>
                <w:szCs w:val="26"/>
                <w:rtl/>
              </w:rPr>
              <w:t>המאשימה</w:t>
            </w:r>
          </w:p>
        </w:tc>
        <w:tc>
          <w:tcPr>
            <w:tcW w:w="5571" w:type="dxa"/>
          </w:tcPr>
          <w:p w14:paraId="386ED3D9" w14:textId="77777777" w:rsidR="00BD32F9" w:rsidRDefault="002C0BC0" w:rsidP="00BD32F9">
            <w:pPr>
              <w:suppressLineNumbers/>
              <w:spacing w:before="120" w:after="120" w:line="240" w:lineRule="exact"/>
              <w:rPr>
                <w:rFonts w:hint="cs"/>
                <w:b/>
                <w:bCs/>
                <w:noProof w:val="0"/>
                <w:sz w:val="26"/>
                <w:szCs w:val="26"/>
                <w:rtl/>
              </w:rPr>
            </w:pPr>
            <w:r w:rsidRPr="00BD32F9">
              <w:rPr>
                <w:rFonts w:ascii="Arial" w:hAnsi="Arial"/>
                <w:b/>
                <w:bCs/>
                <w:noProof w:val="0"/>
                <w:sz w:val="26"/>
                <w:szCs w:val="26"/>
                <w:rtl/>
              </w:rPr>
              <w:t xml:space="preserve">מדינת ישראל </w:t>
            </w:r>
            <w:r w:rsidRPr="00BD32F9">
              <w:rPr>
                <w:b/>
                <w:bCs/>
                <w:noProof w:val="0"/>
                <w:sz w:val="26"/>
                <w:szCs w:val="26"/>
                <w:rtl/>
              </w:rPr>
              <w:t xml:space="preserve">– פרקליטות מחוז מרכז </w:t>
            </w:r>
          </w:p>
          <w:p w14:paraId="0EC20FCA" w14:textId="77777777" w:rsidR="002C0BC0" w:rsidRPr="00BD32F9" w:rsidRDefault="002C0BC0" w:rsidP="00BD32F9">
            <w:pPr>
              <w:suppressLineNumbers/>
              <w:spacing w:before="120" w:after="120" w:line="240" w:lineRule="exact"/>
              <w:rPr>
                <w:b/>
                <w:bCs/>
                <w:noProof w:val="0"/>
                <w:sz w:val="26"/>
                <w:szCs w:val="26"/>
              </w:rPr>
            </w:pPr>
            <w:r w:rsidRPr="00BD32F9">
              <w:rPr>
                <w:b/>
                <w:bCs/>
                <w:noProof w:val="0"/>
                <w:sz w:val="26"/>
                <w:szCs w:val="26"/>
                <w:rtl/>
              </w:rPr>
              <w:t>על ידי עו"ד יהונתן הירש אילון</w:t>
            </w:r>
          </w:p>
        </w:tc>
      </w:tr>
      <w:bookmarkEnd w:id="0"/>
      <w:tr w:rsidR="002C0BC0" w:rsidRPr="002C0BC0" w14:paraId="2E680356" w14:textId="77777777" w:rsidTr="008D17A1">
        <w:trPr>
          <w:jc w:val="center"/>
        </w:trPr>
        <w:tc>
          <w:tcPr>
            <w:tcW w:w="8820" w:type="dxa"/>
            <w:gridSpan w:val="3"/>
          </w:tcPr>
          <w:p w14:paraId="68D0D428" w14:textId="77777777" w:rsidR="002C0BC0" w:rsidRPr="00BD32F9" w:rsidRDefault="002C0BC0" w:rsidP="00BD32F9">
            <w:pPr>
              <w:suppressLineNumbers/>
              <w:spacing w:before="240" w:after="240" w:line="240" w:lineRule="exact"/>
              <w:jc w:val="center"/>
              <w:rPr>
                <w:rFonts w:ascii="Arial" w:hAnsi="Arial" w:hint="cs"/>
                <w:b/>
                <w:bCs/>
                <w:noProof w:val="0"/>
                <w:sz w:val="26"/>
                <w:szCs w:val="26"/>
              </w:rPr>
            </w:pPr>
            <w:r w:rsidRPr="00BD32F9">
              <w:rPr>
                <w:rFonts w:ascii="Arial" w:hAnsi="Arial"/>
                <w:b/>
                <w:bCs/>
                <w:noProof w:val="0"/>
                <w:sz w:val="26"/>
                <w:szCs w:val="26"/>
                <w:rtl/>
              </w:rPr>
              <w:t>נגד</w:t>
            </w:r>
          </w:p>
        </w:tc>
      </w:tr>
      <w:tr w:rsidR="002C0BC0" w:rsidRPr="002C0BC0" w14:paraId="66DEE922" w14:textId="77777777" w:rsidTr="008D17A1">
        <w:trPr>
          <w:jc w:val="center"/>
        </w:trPr>
        <w:tc>
          <w:tcPr>
            <w:tcW w:w="3249" w:type="dxa"/>
            <w:gridSpan w:val="2"/>
          </w:tcPr>
          <w:p w14:paraId="6754B6EF" w14:textId="77777777" w:rsidR="002C0BC0" w:rsidRPr="00BD32F9" w:rsidRDefault="002C0BC0" w:rsidP="00BD32F9">
            <w:pPr>
              <w:suppressLineNumbers/>
              <w:spacing w:before="120" w:after="120" w:line="240" w:lineRule="exact"/>
              <w:rPr>
                <w:rFonts w:ascii="Arial" w:hAnsi="Arial"/>
                <w:b/>
                <w:bCs/>
                <w:noProof w:val="0"/>
                <w:sz w:val="26"/>
                <w:szCs w:val="26"/>
              </w:rPr>
            </w:pPr>
            <w:r w:rsidRPr="00BD32F9">
              <w:rPr>
                <w:rFonts w:ascii="Arial" w:hAnsi="Arial"/>
                <w:b/>
                <w:bCs/>
                <w:noProof w:val="0"/>
                <w:sz w:val="26"/>
                <w:szCs w:val="26"/>
                <w:rtl/>
              </w:rPr>
              <w:t>הנאשם</w:t>
            </w:r>
          </w:p>
        </w:tc>
        <w:tc>
          <w:tcPr>
            <w:tcW w:w="5571" w:type="dxa"/>
          </w:tcPr>
          <w:p w14:paraId="37FACD9C" w14:textId="77777777" w:rsidR="00BD32F9" w:rsidRDefault="002C0BC0" w:rsidP="00BD32F9">
            <w:pPr>
              <w:suppressLineNumbers/>
              <w:spacing w:before="120" w:after="120" w:line="240" w:lineRule="exact"/>
              <w:rPr>
                <w:rFonts w:hint="cs"/>
                <w:b/>
                <w:bCs/>
                <w:noProof w:val="0"/>
                <w:sz w:val="26"/>
                <w:szCs w:val="26"/>
                <w:rtl/>
              </w:rPr>
            </w:pPr>
            <w:r w:rsidRPr="00BD32F9">
              <w:rPr>
                <w:rFonts w:ascii="Arial" w:hAnsi="Arial"/>
                <w:b/>
                <w:bCs/>
                <w:noProof w:val="0"/>
                <w:sz w:val="26"/>
                <w:szCs w:val="26"/>
                <w:rtl/>
              </w:rPr>
              <w:t>פלוני (עציר)</w:t>
            </w:r>
            <w:r w:rsidRPr="00BD32F9">
              <w:rPr>
                <w:b/>
                <w:bCs/>
                <w:noProof w:val="0"/>
                <w:sz w:val="26"/>
                <w:szCs w:val="26"/>
                <w:rtl/>
              </w:rPr>
              <w:t xml:space="preserve"> </w:t>
            </w:r>
          </w:p>
          <w:p w14:paraId="2BAEAAE5" w14:textId="77777777" w:rsidR="002C0BC0" w:rsidRPr="00BD32F9" w:rsidRDefault="002C0BC0" w:rsidP="00BD32F9">
            <w:pPr>
              <w:suppressLineNumbers/>
              <w:spacing w:before="120" w:after="120" w:line="240" w:lineRule="exact"/>
              <w:rPr>
                <w:rFonts w:ascii="Arial" w:hAnsi="Arial" w:hint="cs"/>
                <w:b/>
                <w:bCs/>
                <w:noProof w:val="0"/>
                <w:sz w:val="26"/>
                <w:szCs w:val="26"/>
                <w:rtl/>
              </w:rPr>
            </w:pPr>
            <w:r w:rsidRPr="00BD32F9">
              <w:rPr>
                <w:b/>
                <w:bCs/>
                <w:noProof w:val="0"/>
                <w:sz w:val="26"/>
                <w:szCs w:val="26"/>
                <w:rtl/>
              </w:rPr>
              <w:t xml:space="preserve">על ידי עו"ד איהאב ג'לג'ולי ועו"ד </w:t>
            </w:r>
            <w:r w:rsidRPr="00BD32F9">
              <w:rPr>
                <w:noProof w:val="0"/>
                <w:sz w:val="26"/>
                <w:szCs w:val="26"/>
                <w:rtl/>
              </w:rPr>
              <w:t xml:space="preserve"> </w:t>
            </w:r>
            <w:r w:rsidRPr="00BD32F9">
              <w:rPr>
                <w:rFonts w:ascii="Arial" w:hAnsi="Arial"/>
                <w:b/>
                <w:bCs/>
                <w:noProof w:val="0"/>
                <w:sz w:val="26"/>
                <w:szCs w:val="26"/>
                <w:rtl/>
              </w:rPr>
              <w:t>שי טובים</w:t>
            </w:r>
          </w:p>
        </w:tc>
      </w:tr>
    </w:tbl>
    <w:p w14:paraId="10A2A44E" w14:textId="77777777" w:rsidR="002C0BC0" w:rsidRPr="002C0BC0" w:rsidRDefault="002C0BC0" w:rsidP="002C0BC0">
      <w:pPr>
        <w:suppressLineNumbers/>
        <w:rPr>
          <w:noProof w:val="0"/>
        </w:rPr>
      </w:pPr>
    </w:p>
    <w:p w14:paraId="4A860DD7" w14:textId="77777777" w:rsidR="00BD32F9" w:rsidRPr="00BD32F9" w:rsidRDefault="00BD32F9" w:rsidP="00BD32F9">
      <w:pPr>
        <w:spacing w:before="120" w:after="120" w:line="240" w:lineRule="exact"/>
        <w:ind w:left="283" w:hanging="283"/>
        <w:jc w:val="both"/>
        <w:rPr>
          <w:rFonts w:ascii="FrankRuehl" w:hAnsi="FrankRuehl" w:cs="FrankRuehl"/>
          <w:noProof w:val="0"/>
          <w:rtl/>
        </w:rPr>
      </w:pPr>
      <w:bookmarkStart w:id="2" w:name="LawTable"/>
      <w:bookmarkEnd w:id="2"/>
      <w:r w:rsidRPr="00BD32F9">
        <w:rPr>
          <w:rFonts w:ascii="FrankRuehl" w:hAnsi="FrankRuehl" w:cs="FrankRuehl"/>
          <w:noProof w:val="0"/>
          <w:rtl/>
        </w:rPr>
        <w:t xml:space="preserve">חקיקה שאוזכרה: </w:t>
      </w:r>
    </w:p>
    <w:p w14:paraId="13CDD237" w14:textId="77777777" w:rsidR="00BD32F9" w:rsidRPr="00BD32F9" w:rsidRDefault="00BD32F9" w:rsidP="00BD32F9">
      <w:pPr>
        <w:spacing w:before="120" w:after="120" w:line="240" w:lineRule="exact"/>
        <w:ind w:left="283" w:hanging="283"/>
        <w:jc w:val="both"/>
        <w:rPr>
          <w:rFonts w:ascii="FrankRuehl" w:hAnsi="FrankRuehl" w:cs="FrankRuehl"/>
          <w:noProof w:val="0"/>
          <w:color w:val="0000FF"/>
          <w:rtl/>
        </w:rPr>
      </w:pPr>
      <w:hyperlink r:id="rId7" w:history="1">
        <w:r w:rsidRPr="00BD32F9">
          <w:rPr>
            <w:rStyle w:val="Hyperlink"/>
            <w:rFonts w:ascii="FrankRuehl" w:hAnsi="FrankRuehl" w:cs="FrankRuehl"/>
            <w:u w:val="none"/>
            <w:rtl/>
          </w:rPr>
          <w:t>חוק העונשין, תשל"ז-1977</w:t>
        </w:r>
      </w:hyperlink>
      <w:r w:rsidRPr="00BD32F9">
        <w:rPr>
          <w:rFonts w:ascii="FrankRuehl" w:hAnsi="FrankRuehl" w:cs="FrankRuehl"/>
          <w:noProof w:val="0"/>
          <w:color w:val="0000FF"/>
          <w:rtl/>
        </w:rPr>
        <w:t xml:space="preserve">: סע'  </w:t>
      </w:r>
      <w:hyperlink r:id="rId8" w:history="1">
        <w:r w:rsidRPr="00BD32F9">
          <w:rPr>
            <w:rStyle w:val="Hyperlink"/>
            <w:rFonts w:ascii="FrankRuehl" w:hAnsi="FrankRuehl" w:cs="FrankRuehl"/>
            <w:u w:val="none"/>
          </w:rPr>
          <w:t xml:space="preserve">144 </w:t>
        </w:r>
      </w:hyperlink>
      <w:r w:rsidRPr="00BD32F9">
        <w:rPr>
          <w:rFonts w:ascii="FrankRuehl" w:hAnsi="FrankRuehl" w:cs="FrankRuehl"/>
          <w:noProof w:val="0"/>
          <w:color w:val="0000FF"/>
          <w:rtl/>
        </w:rPr>
        <w:t xml:space="preserve">(א), </w:t>
      </w:r>
      <w:hyperlink r:id="rId9" w:history="1">
        <w:r w:rsidRPr="00BD32F9">
          <w:rPr>
            <w:rStyle w:val="Hyperlink"/>
            <w:rFonts w:ascii="FrankRuehl" w:hAnsi="FrankRuehl" w:cs="FrankRuehl"/>
            <w:u w:val="none"/>
          </w:rPr>
          <w:t>287</w:t>
        </w:r>
      </w:hyperlink>
      <w:r w:rsidRPr="00BD32F9">
        <w:rPr>
          <w:rFonts w:ascii="FrankRuehl" w:hAnsi="FrankRuehl" w:cs="FrankRuehl"/>
          <w:noProof w:val="0"/>
          <w:color w:val="0000FF"/>
          <w:rtl/>
        </w:rPr>
        <w:t>(א)</w:t>
      </w:r>
    </w:p>
    <w:p w14:paraId="5A064B0A" w14:textId="77777777" w:rsidR="00BD32F9" w:rsidRPr="00BD32F9" w:rsidRDefault="00BD32F9" w:rsidP="00BD32F9">
      <w:pPr>
        <w:spacing w:before="120" w:after="120" w:line="240" w:lineRule="exact"/>
        <w:ind w:left="283" w:hanging="283"/>
        <w:jc w:val="both"/>
        <w:rPr>
          <w:rFonts w:ascii="FrankRuehl" w:hAnsi="FrankRuehl" w:cs="FrankRuehl"/>
          <w:noProof w:val="0"/>
          <w:color w:val="0000FF"/>
          <w:rtl/>
        </w:rPr>
      </w:pPr>
      <w:hyperlink r:id="rId10" w:history="1">
        <w:r w:rsidRPr="00BD32F9">
          <w:rPr>
            <w:rStyle w:val="Hyperlink"/>
            <w:rFonts w:ascii="FrankRuehl" w:hAnsi="FrankRuehl" w:cs="FrankRuehl"/>
            <w:u w:val="none"/>
            <w:rtl/>
          </w:rPr>
          <w:t>חוק הנוער (שפיטה, ענישה ודרכי טיפול), תשל"א-1971</w:t>
        </w:r>
      </w:hyperlink>
      <w:r w:rsidRPr="00BD32F9">
        <w:rPr>
          <w:rFonts w:ascii="FrankRuehl" w:hAnsi="FrankRuehl" w:cs="FrankRuehl"/>
          <w:noProof w:val="0"/>
          <w:color w:val="0000FF"/>
          <w:rtl/>
        </w:rPr>
        <w:t xml:space="preserve">: סע'  </w:t>
      </w:r>
      <w:hyperlink r:id="rId11" w:history="1">
        <w:r w:rsidRPr="00BD32F9">
          <w:rPr>
            <w:rStyle w:val="Hyperlink"/>
            <w:rFonts w:ascii="FrankRuehl" w:hAnsi="FrankRuehl" w:cs="FrankRuehl"/>
            <w:u w:val="none"/>
          </w:rPr>
          <w:t>24</w:t>
        </w:r>
      </w:hyperlink>
      <w:r w:rsidRPr="00BD32F9">
        <w:rPr>
          <w:rFonts w:ascii="FrankRuehl" w:hAnsi="FrankRuehl" w:cs="FrankRuehl"/>
          <w:noProof w:val="0"/>
          <w:color w:val="0000FF"/>
          <w:rtl/>
        </w:rPr>
        <w:t xml:space="preserve">(1), </w:t>
      </w:r>
      <w:hyperlink r:id="rId12" w:history="1">
        <w:r w:rsidRPr="00BD32F9">
          <w:rPr>
            <w:rStyle w:val="Hyperlink"/>
            <w:rFonts w:ascii="FrankRuehl" w:hAnsi="FrankRuehl" w:cs="FrankRuehl"/>
            <w:u w:val="none"/>
          </w:rPr>
          <w:t>24</w:t>
        </w:r>
        <w:r w:rsidRPr="00BD32F9">
          <w:rPr>
            <w:rStyle w:val="Hyperlink"/>
            <w:rFonts w:ascii="FrankRuehl" w:hAnsi="FrankRuehl" w:cs="FrankRuehl"/>
            <w:u w:val="none"/>
            <w:rtl/>
          </w:rPr>
          <w:t>א</w:t>
        </w:r>
      </w:hyperlink>
    </w:p>
    <w:p w14:paraId="3E79AE47" w14:textId="77777777" w:rsidR="002C0BC0" w:rsidRDefault="002C0BC0" w:rsidP="00BD32F9">
      <w:pPr>
        <w:spacing w:line="360" w:lineRule="auto"/>
        <w:jc w:val="both"/>
        <w:rPr>
          <w:rFonts w:hint="cs"/>
          <w:noProof w:val="0"/>
          <w:rtl/>
        </w:rPr>
      </w:pPr>
      <w:bookmarkStart w:id="3" w:name="LawTable_End"/>
      <w:bookmarkEnd w:id="3"/>
    </w:p>
    <w:p w14:paraId="5D1FA5FE" w14:textId="77777777" w:rsidR="00091023" w:rsidRDefault="00091023" w:rsidP="00091023">
      <w:pPr>
        <w:pBdr>
          <w:top w:val="single" w:sz="4" w:space="1" w:color="auto"/>
          <w:bottom w:val="single" w:sz="4" w:space="1" w:color="auto"/>
        </w:pBdr>
        <w:spacing w:after="120" w:line="320" w:lineRule="exact"/>
        <w:jc w:val="both"/>
        <w:rPr>
          <w:rFonts w:cs="FrankRuehl" w:hint="cs"/>
          <w:noProof w:val="0"/>
          <w:szCs w:val="26"/>
          <w:rtl/>
        </w:rPr>
      </w:pPr>
      <w:bookmarkStart w:id="4" w:name="ABSTRACT_START"/>
      <w:bookmarkEnd w:id="4"/>
      <w:r>
        <w:rPr>
          <w:rFonts w:cs="FrankRuehl"/>
          <w:noProof w:val="0"/>
          <w:szCs w:val="26"/>
          <w:rtl/>
        </w:rPr>
        <w:t>מיני-רציו:</w:t>
      </w:r>
    </w:p>
    <w:p w14:paraId="222FF710" w14:textId="77777777" w:rsidR="00091023" w:rsidRPr="00DC4576" w:rsidRDefault="00091023" w:rsidP="00091023">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 xml:space="preserve">* </w:t>
      </w:r>
      <w:r w:rsidRPr="00DC4576">
        <w:rPr>
          <w:rFonts w:cs="FrankRuehl" w:hint="cs"/>
          <w:noProof w:val="0"/>
          <w:szCs w:val="26"/>
          <w:rtl/>
        </w:rPr>
        <w:t xml:space="preserve">מדיניות הענישה הראויה בגין ביצוע </w:t>
      </w:r>
      <w:r w:rsidRPr="00DC4576">
        <w:rPr>
          <w:rFonts w:cs="FrankRuehl"/>
          <w:noProof w:val="0"/>
          <w:szCs w:val="26"/>
          <w:rtl/>
        </w:rPr>
        <w:t>עבירות נשק חמורות</w:t>
      </w:r>
      <w:r w:rsidRPr="00DC4576">
        <w:rPr>
          <w:rFonts w:cs="FrankRuehl" w:hint="cs"/>
          <w:noProof w:val="0"/>
          <w:szCs w:val="26"/>
          <w:rtl/>
        </w:rPr>
        <w:t xml:space="preserve"> על ידי נאשם קטין ששרוי בנסיבות אישיות </w:t>
      </w:r>
      <w:r w:rsidRPr="00DC4576">
        <w:rPr>
          <w:rFonts w:cs="FrankRuehl"/>
          <w:noProof w:val="0"/>
          <w:szCs w:val="26"/>
          <w:rtl/>
        </w:rPr>
        <w:t>קשות ומורכבות מאוד</w:t>
      </w:r>
      <w:r w:rsidRPr="00DC4576">
        <w:rPr>
          <w:rFonts w:cs="FrankRuehl" w:hint="cs"/>
          <w:noProof w:val="0"/>
          <w:szCs w:val="26"/>
          <w:rtl/>
        </w:rPr>
        <w:t>.</w:t>
      </w:r>
    </w:p>
    <w:p w14:paraId="2525E8F8" w14:textId="77777777" w:rsidR="00091023" w:rsidRDefault="00091023" w:rsidP="00091023">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עונשין – ענישה – מדיניות ענישה: עבירות נשק</w:t>
      </w:r>
    </w:p>
    <w:p w14:paraId="3A6748DD" w14:textId="77777777" w:rsidR="00091023" w:rsidRDefault="00091023" w:rsidP="00091023">
      <w:pPr>
        <w:pBdr>
          <w:top w:val="single" w:sz="4" w:space="1" w:color="auto"/>
          <w:bottom w:val="single" w:sz="4" w:space="1" w:color="auto"/>
        </w:pBdr>
        <w:spacing w:after="120" w:line="320" w:lineRule="exact"/>
        <w:jc w:val="both"/>
        <w:rPr>
          <w:rFonts w:cs="FrankRuehl" w:hint="cs"/>
          <w:noProof w:val="0"/>
          <w:szCs w:val="26"/>
          <w:rtl/>
        </w:rPr>
      </w:pPr>
      <w:r>
        <w:rPr>
          <w:rFonts w:cs="FrankRuehl"/>
          <w:noProof w:val="0"/>
          <w:szCs w:val="26"/>
          <w:rtl/>
        </w:rPr>
        <w:t>* עונשין – ענישה – מדיניות ענישה: מתחם הענישה</w:t>
      </w:r>
    </w:p>
    <w:p w14:paraId="276306CD" w14:textId="77777777" w:rsidR="00091023" w:rsidRPr="00DC4576" w:rsidRDefault="00091023" w:rsidP="00091023">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w:t>
      </w:r>
    </w:p>
    <w:p w14:paraId="1D08A903" w14:textId="77777777" w:rsidR="00091023" w:rsidRPr="00DC4576" w:rsidRDefault="00091023" w:rsidP="00091023">
      <w:pPr>
        <w:pBdr>
          <w:top w:val="single" w:sz="4" w:space="1" w:color="auto"/>
          <w:bottom w:val="single" w:sz="4" w:space="1" w:color="auto"/>
        </w:pBdr>
        <w:spacing w:after="120" w:line="320" w:lineRule="exact"/>
        <w:jc w:val="both"/>
        <w:rPr>
          <w:rFonts w:cs="FrankRuehl" w:hint="cs"/>
          <w:noProof w:val="0"/>
          <w:szCs w:val="26"/>
          <w:rtl/>
        </w:rPr>
      </w:pPr>
      <w:r w:rsidRPr="00DC4576">
        <w:rPr>
          <w:rFonts w:cs="FrankRuehl" w:hint="cs"/>
          <w:noProof w:val="0"/>
          <w:szCs w:val="26"/>
          <w:rtl/>
        </w:rPr>
        <w:t xml:space="preserve">בית המשפט נדרש לגזור את דינו של הנאשם, </w:t>
      </w:r>
      <w:r w:rsidRPr="00DC4576">
        <w:rPr>
          <w:rFonts w:cs="FrankRuehl"/>
          <w:noProof w:val="0"/>
          <w:szCs w:val="26"/>
          <w:rtl/>
        </w:rPr>
        <w:t>בן 15 בעת ביצוע העבירות</w:t>
      </w:r>
      <w:r w:rsidRPr="00DC4576">
        <w:rPr>
          <w:rFonts w:cs="FrankRuehl" w:hint="cs"/>
          <w:noProof w:val="0"/>
          <w:szCs w:val="26"/>
          <w:rtl/>
        </w:rPr>
        <w:t>, שהודה בביצוע עבירה של החזקת נשק ותחמושת</w:t>
      </w:r>
      <w:r w:rsidRPr="00DC4576">
        <w:rPr>
          <w:rFonts w:cs="FrankRuehl"/>
          <w:noProof w:val="0"/>
          <w:szCs w:val="26"/>
          <w:rtl/>
        </w:rPr>
        <w:t xml:space="preserve"> עבירה לפי </w:t>
      </w:r>
      <w:hyperlink r:id="rId13" w:history="1">
        <w:r w:rsidRPr="00DC4576">
          <w:rPr>
            <w:rStyle w:val="Hyperlink"/>
            <w:rFonts w:cs="FrankRuehl"/>
            <w:noProof w:val="0"/>
            <w:color w:val="auto"/>
            <w:szCs w:val="26"/>
            <w:u w:val="none"/>
            <w:rtl/>
          </w:rPr>
          <w:t>סעיף 144 (א)</w:t>
        </w:r>
      </w:hyperlink>
      <w:r w:rsidRPr="00DC4576">
        <w:rPr>
          <w:rFonts w:cs="FrankRuehl"/>
          <w:noProof w:val="0"/>
          <w:szCs w:val="26"/>
          <w:rtl/>
        </w:rPr>
        <w:t xml:space="preserve"> רישא וסיפא ל</w:t>
      </w:r>
      <w:hyperlink r:id="rId14" w:history="1">
        <w:r w:rsidRPr="00DC4576">
          <w:rPr>
            <w:rStyle w:val="Hyperlink"/>
            <w:rFonts w:cs="FrankRuehl"/>
            <w:noProof w:val="0"/>
            <w:color w:val="auto"/>
            <w:szCs w:val="26"/>
            <w:u w:val="none"/>
            <w:rtl/>
          </w:rPr>
          <w:t>חוק העונשין</w:t>
        </w:r>
      </w:hyperlink>
      <w:r w:rsidRPr="00DC4576">
        <w:rPr>
          <w:rFonts w:cs="FrankRuehl"/>
          <w:noProof w:val="0"/>
          <w:szCs w:val="26"/>
          <w:rtl/>
        </w:rPr>
        <w:t xml:space="preserve"> וכן על עבירה של הפרת הוראה חוקית</w:t>
      </w:r>
      <w:r w:rsidRPr="00DC4576">
        <w:rPr>
          <w:rFonts w:cs="FrankRuehl" w:hint="cs"/>
          <w:noProof w:val="0"/>
          <w:szCs w:val="26"/>
          <w:rtl/>
        </w:rPr>
        <w:t>.</w:t>
      </w:r>
    </w:p>
    <w:p w14:paraId="704896F4" w14:textId="77777777" w:rsidR="00091023" w:rsidRPr="00DC4576" w:rsidRDefault="00091023" w:rsidP="00091023">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w:t>
      </w:r>
    </w:p>
    <w:p w14:paraId="2BD3F7B1" w14:textId="77777777" w:rsidR="00091023" w:rsidRPr="00DC4576" w:rsidRDefault="00091023" w:rsidP="00091023">
      <w:pPr>
        <w:pBdr>
          <w:top w:val="single" w:sz="4" w:space="1" w:color="auto"/>
          <w:bottom w:val="single" w:sz="4" w:space="1" w:color="auto"/>
        </w:pBdr>
        <w:spacing w:after="120" w:line="320" w:lineRule="exact"/>
        <w:jc w:val="both"/>
        <w:rPr>
          <w:rFonts w:cs="FrankRuehl"/>
          <w:noProof w:val="0"/>
          <w:szCs w:val="26"/>
          <w:rtl/>
        </w:rPr>
      </w:pPr>
      <w:r w:rsidRPr="00DC4576">
        <w:rPr>
          <w:rFonts w:cs="FrankRuehl" w:hint="cs"/>
          <w:noProof w:val="0"/>
          <w:szCs w:val="26"/>
          <w:rtl/>
        </w:rPr>
        <w:t>בית המשפט פסק כלהלן:</w:t>
      </w:r>
    </w:p>
    <w:p w14:paraId="7DD20E40" w14:textId="77777777" w:rsidR="00091023" w:rsidRPr="00DC4576" w:rsidRDefault="00091023" w:rsidP="00091023">
      <w:pPr>
        <w:pBdr>
          <w:top w:val="single" w:sz="4" w:space="1" w:color="auto"/>
          <w:bottom w:val="single" w:sz="4" w:space="1" w:color="auto"/>
        </w:pBdr>
        <w:spacing w:after="120" w:line="320" w:lineRule="exact"/>
        <w:jc w:val="both"/>
        <w:rPr>
          <w:rFonts w:cs="FrankRuehl"/>
          <w:noProof w:val="0"/>
          <w:szCs w:val="26"/>
          <w:rtl/>
        </w:rPr>
      </w:pPr>
      <w:r w:rsidRPr="00DC4576">
        <w:rPr>
          <w:rFonts w:cs="FrankRuehl"/>
          <w:noProof w:val="0"/>
          <w:szCs w:val="26"/>
          <w:rtl/>
        </w:rPr>
        <w:t>מערכת השיקולים שעל בית המשפט לשקול בעת גזירת עונשו של נאשם קטין שונה מזו המופעלת בעניינו של עבריין בגיר. בהתאם לפסיקה, גם אם הורשע קטין בעבירות קשות וחמורות במיוחד, על בית המשפט ליתן משקל יתר לשיקולים האינדיבידואליים הנוגעים לו ולאזן בין שיקולי השיקום לשיקולי ההרתעה</w:t>
      </w:r>
      <w:r w:rsidRPr="00DC4576">
        <w:rPr>
          <w:rFonts w:cs="FrankRuehl" w:hint="cs"/>
          <w:noProof w:val="0"/>
          <w:szCs w:val="26"/>
          <w:rtl/>
        </w:rPr>
        <w:t xml:space="preserve">. </w:t>
      </w:r>
      <w:r w:rsidRPr="00DC4576">
        <w:rPr>
          <w:rFonts w:cs="FrankRuehl"/>
          <w:noProof w:val="0"/>
          <w:szCs w:val="26"/>
          <w:rtl/>
        </w:rPr>
        <w:t>לצד זאת נקבע בפסיקה כי קטינות אינה מהווה חסינות בפני עונש ראוי, ובמקרים מתאימים לא יירתע בית המשפט ויטיל על הקטין עונש ההולם את חומרת מעשיו</w:t>
      </w:r>
      <w:r w:rsidRPr="00DC4576">
        <w:rPr>
          <w:rFonts w:cs="FrankRuehl" w:hint="cs"/>
          <w:noProof w:val="0"/>
          <w:szCs w:val="26"/>
          <w:rtl/>
        </w:rPr>
        <w:t>.</w:t>
      </w:r>
    </w:p>
    <w:p w14:paraId="7E799BFE" w14:textId="77777777" w:rsidR="00091023" w:rsidRPr="00DC4576" w:rsidRDefault="00091023" w:rsidP="00091023">
      <w:pPr>
        <w:pBdr>
          <w:top w:val="single" w:sz="4" w:space="1" w:color="auto"/>
          <w:bottom w:val="single" w:sz="4" w:space="1" w:color="auto"/>
        </w:pBdr>
        <w:spacing w:after="120" w:line="320" w:lineRule="exact"/>
        <w:jc w:val="both"/>
        <w:rPr>
          <w:rFonts w:cs="FrankRuehl"/>
          <w:noProof w:val="0"/>
          <w:szCs w:val="26"/>
          <w:rtl/>
        </w:rPr>
      </w:pPr>
      <w:r w:rsidRPr="00DC4576">
        <w:rPr>
          <w:rFonts w:cs="FrankRuehl" w:hint="cs"/>
          <w:noProof w:val="0"/>
          <w:szCs w:val="26"/>
          <w:rtl/>
        </w:rPr>
        <w:lastRenderedPageBreak/>
        <w:t xml:space="preserve">הנאשם </w:t>
      </w:r>
      <w:r w:rsidRPr="00DC4576">
        <w:rPr>
          <w:rFonts w:cs="FrankRuehl"/>
          <w:noProof w:val="0"/>
          <w:szCs w:val="26"/>
          <w:rtl/>
        </w:rPr>
        <w:t xml:space="preserve">החזיק בנשק בלתי חוקי פעמיים בטווח זמנים של מספר חודשים. לדבריו עשה זאת לצורך הגנה עצמית, בשל סכסוך דמים בו מעורבת משפחתו. חומרה יתרה יש בעובדה כי הנאשם ביצע את עבירת הנשק בפעם השנייה, תוך כדי הליך משפטי תלוי ועומד, כאשר הוא מפר תנאים מגבילים. </w:t>
      </w:r>
    </w:p>
    <w:p w14:paraId="1A624B19" w14:textId="77777777" w:rsidR="00091023" w:rsidRPr="00DC4576" w:rsidRDefault="00091023" w:rsidP="00091023">
      <w:pPr>
        <w:pBdr>
          <w:top w:val="single" w:sz="4" w:space="1" w:color="auto"/>
          <w:bottom w:val="single" w:sz="4" w:space="1" w:color="auto"/>
        </w:pBdr>
        <w:spacing w:after="120" w:line="320" w:lineRule="exact"/>
        <w:jc w:val="both"/>
        <w:rPr>
          <w:rFonts w:cs="FrankRuehl"/>
          <w:noProof w:val="0"/>
          <w:szCs w:val="26"/>
          <w:rtl/>
        </w:rPr>
      </w:pPr>
      <w:r w:rsidRPr="00DC4576">
        <w:rPr>
          <w:rFonts w:cs="FrankRuehl"/>
          <w:noProof w:val="0"/>
          <w:szCs w:val="26"/>
          <w:rtl/>
        </w:rPr>
        <w:t xml:space="preserve">אין ספק כי </w:t>
      </w:r>
      <w:r w:rsidRPr="00DC4576">
        <w:rPr>
          <w:rFonts w:cs="FrankRuehl" w:hint="cs"/>
          <w:noProof w:val="0"/>
          <w:szCs w:val="26"/>
          <w:rtl/>
        </w:rPr>
        <w:t>נסיבותיו האישיות של הנאשם</w:t>
      </w:r>
      <w:r w:rsidRPr="00DC4576">
        <w:rPr>
          <w:rFonts w:cs="FrankRuehl"/>
          <w:noProof w:val="0"/>
          <w:szCs w:val="26"/>
          <w:rtl/>
        </w:rPr>
        <w:t xml:space="preserve"> </w:t>
      </w:r>
      <w:r w:rsidRPr="00DC4576">
        <w:rPr>
          <w:rFonts w:cs="FrankRuehl" w:hint="cs"/>
          <w:noProof w:val="0"/>
          <w:szCs w:val="26"/>
          <w:rtl/>
        </w:rPr>
        <w:t>הן</w:t>
      </w:r>
      <w:r w:rsidRPr="00DC4576">
        <w:rPr>
          <w:rFonts w:cs="FrankRuehl"/>
          <w:noProof w:val="0"/>
          <w:szCs w:val="26"/>
          <w:rtl/>
        </w:rPr>
        <w:t xml:space="preserve"> קשות ומורכבות מאוד אותם יש לקחת בחשבון. לצד זאת, </w:t>
      </w:r>
      <w:r w:rsidRPr="00DC4576">
        <w:rPr>
          <w:rFonts w:cs="FrankRuehl" w:hint="cs"/>
          <w:noProof w:val="0"/>
          <w:szCs w:val="26"/>
          <w:rtl/>
        </w:rPr>
        <w:t>יש לתת את הדעת</w:t>
      </w:r>
      <w:r w:rsidRPr="00DC4576">
        <w:rPr>
          <w:rFonts w:cs="FrankRuehl"/>
          <w:noProof w:val="0"/>
          <w:szCs w:val="26"/>
          <w:rtl/>
        </w:rPr>
        <w:t xml:space="preserve"> לגילו הצעיר של פלוני, הוא היה כבן 15 בעת ביצוע העבירות, ולכן אין להחמיר עמו כמו עם נער הקרוב לגיל בגירות</w:t>
      </w:r>
      <w:r w:rsidRPr="00DC4576">
        <w:rPr>
          <w:rFonts w:cs="FrankRuehl" w:hint="cs"/>
          <w:noProof w:val="0"/>
          <w:szCs w:val="26"/>
          <w:rtl/>
        </w:rPr>
        <w:t>.</w:t>
      </w:r>
    </w:p>
    <w:p w14:paraId="47E7C03E" w14:textId="77777777" w:rsidR="00091023" w:rsidRPr="00DC4576" w:rsidRDefault="00091023" w:rsidP="00091023">
      <w:pPr>
        <w:pBdr>
          <w:top w:val="single" w:sz="4" w:space="1" w:color="auto"/>
          <w:bottom w:val="single" w:sz="4" w:space="1" w:color="auto"/>
        </w:pBdr>
        <w:spacing w:after="120" w:line="320" w:lineRule="exact"/>
        <w:jc w:val="both"/>
        <w:rPr>
          <w:rFonts w:cs="FrankRuehl"/>
          <w:noProof w:val="0"/>
          <w:szCs w:val="26"/>
          <w:rtl/>
        </w:rPr>
      </w:pPr>
      <w:r w:rsidRPr="00DC4576">
        <w:rPr>
          <w:rFonts w:cs="FrankRuehl"/>
          <w:noProof w:val="0"/>
          <w:szCs w:val="26"/>
          <w:rtl/>
        </w:rPr>
        <w:t xml:space="preserve">יש להטיל חלק מהקנס על אמו של הנאשם. על אף טענותיהם של הסנגורים כי אמו של נאשם היא הגורם אשר יכול לסייע בשיקומו, נראה כי לא הצליחה לעשות כן עד כה. להיפך, היא לא מנעה ממנו להחזיק בנשק, בביתה, פעמיים. </w:t>
      </w:r>
    </w:p>
    <w:p w14:paraId="20C6F347" w14:textId="77777777" w:rsidR="00091023" w:rsidRPr="00BD32F9" w:rsidRDefault="00091023" w:rsidP="00BD32F9">
      <w:pPr>
        <w:spacing w:line="360" w:lineRule="auto"/>
        <w:jc w:val="both"/>
        <w:rPr>
          <w:rFonts w:hint="cs"/>
          <w:noProof w:val="0"/>
          <w:rtl/>
        </w:rPr>
      </w:pPr>
      <w:bookmarkStart w:id="5" w:name="ABSTRACT_END"/>
      <w:bookmarkEnd w:id="5"/>
    </w:p>
    <w:tbl>
      <w:tblPr>
        <w:bidiVisual/>
        <w:tblW w:w="8820" w:type="dxa"/>
        <w:jc w:val="center"/>
        <w:tblLook w:val="01E0" w:firstRow="1" w:lastRow="1" w:firstColumn="1" w:lastColumn="1" w:noHBand="0" w:noVBand="0"/>
      </w:tblPr>
      <w:tblGrid>
        <w:gridCol w:w="8820"/>
      </w:tblGrid>
      <w:tr w:rsidR="002C0BC0" w:rsidRPr="00DE1E7D" w14:paraId="01BD940F" w14:textId="77777777" w:rsidTr="008D17A1">
        <w:trPr>
          <w:trHeight w:val="63"/>
          <w:jc w:val="center"/>
        </w:trPr>
        <w:tc>
          <w:tcPr>
            <w:tcW w:w="8820" w:type="dxa"/>
          </w:tcPr>
          <w:p w14:paraId="0B6F9BBA" w14:textId="77777777" w:rsidR="002C0BC0" w:rsidRPr="002C0BC0" w:rsidRDefault="002C0BC0" w:rsidP="002C0BC0">
            <w:pPr>
              <w:bidi w:val="0"/>
              <w:jc w:val="center"/>
              <w:rPr>
                <w:rFonts w:ascii="Arial" w:hAnsi="Arial"/>
                <w:b/>
                <w:bCs/>
                <w:noProof w:val="0"/>
                <w:sz w:val="28"/>
                <w:szCs w:val="28"/>
                <w:u w:val="single"/>
                <w:rtl/>
              </w:rPr>
            </w:pPr>
            <w:bookmarkStart w:id="6" w:name="PsakDin"/>
            <w:r w:rsidRPr="002C0BC0">
              <w:rPr>
                <w:rFonts w:ascii="Arial" w:hAnsi="Arial"/>
                <w:b/>
                <w:bCs/>
                <w:noProof w:val="0"/>
                <w:sz w:val="28"/>
                <w:szCs w:val="28"/>
                <w:u w:val="single"/>
                <w:rtl/>
              </w:rPr>
              <w:t>גזר דין</w:t>
            </w:r>
          </w:p>
          <w:bookmarkEnd w:id="6"/>
          <w:p w14:paraId="53B5D322" w14:textId="77777777" w:rsidR="002C0BC0" w:rsidRPr="00D44B16" w:rsidRDefault="002C0BC0" w:rsidP="001421E3">
            <w:pPr>
              <w:bidi w:val="0"/>
              <w:jc w:val="center"/>
              <w:rPr>
                <w:rFonts w:ascii="Arial" w:hAnsi="Arial"/>
                <w:b/>
                <w:bCs/>
                <w:noProof w:val="0"/>
                <w:sz w:val="28"/>
                <w:szCs w:val="28"/>
                <w:u w:val="single"/>
                <w:rtl/>
              </w:rPr>
            </w:pPr>
            <w:r w:rsidRPr="00D44B16">
              <w:rPr>
                <w:rFonts w:ascii="Arial" w:hAnsi="Arial"/>
                <w:b/>
                <w:bCs/>
                <w:noProof w:val="0"/>
                <w:sz w:val="28"/>
                <w:szCs w:val="28"/>
                <w:u w:val="single"/>
                <w:rtl/>
              </w:rPr>
              <w:t>עותק מאושר לפרסום</w:t>
            </w:r>
          </w:p>
          <w:p w14:paraId="0171B1C5" w14:textId="77777777" w:rsidR="002C0BC0" w:rsidRPr="00D44B16" w:rsidRDefault="002C0BC0" w:rsidP="008D17A1">
            <w:pPr>
              <w:bidi w:val="0"/>
              <w:jc w:val="center"/>
              <w:rPr>
                <w:rFonts w:ascii="Arial" w:hAnsi="Arial"/>
                <w:b/>
                <w:bCs/>
                <w:noProof w:val="0"/>
                <w:sz w:val="28"/>
                <w:szCs w:val="28"/>
                <w:u w:val="single"/>
              </w:rPr>
            </w:pPr>
          </w:p>
        </w:tc>
      </w:tr>
    </w:tbl>
    <w:p w14:paraId="60E5AD7C" w14:textId="77777777" w:rsidR="00382304" w:rsidRDefault="00382304" w:rsidP="00BD32F9">
      <w:pPr>
        <w:spacing w:before="240" w:line="360" w:lineRule="auto"/>
        <w:jc w:val="both"/>
        <w:rPr>
          <w:rFonts w:ascii="David" w:hAnsi="David"/>
          <w:noProof w:val="0"/>
          <w:rtl/>
        </w:rPr>
      </w:pPr>
      <w:r>
        <w:rPr>
          <w:noProof w:val="0"/>
          <w:rtl/>
        </w:rPr>
        <w:t xml:space="preserve">פלוני יליד </w:t>
      </w:r>
      <w:r w:rsidR="00BD32F9">
        <w:rPr>
          <w:noProof w:val="0"/>
          <w:rtl/>
        </w:rPr>
        <w:t>00.00</w:t>
      </w:r>
      <w:r>
        <w:rPr>
          <w:noProof w:val="0"/>
          <w:rtl/>
        </w:rPr>
        <w:t>.2007 (להלן: "</w:t>
      </w:r>
      <w:r>
        <w:rPr>
          <w:b/>
          <w:bCs/>
          <w:noProof w:val="0"/>
          <w:rtl/>
        </w:rPr>
        <w:t>הנאשם או פלוני</w:t>
      </w:r>
      <w:r>
        <w:rPr>
          <w:noProof w:val="0"/>
          <w:rtl/>
        </w:rPr>
        <w:t xml:space="preserve">") הודה בביצוע עבירה של </w:t>
      </w:r>
      <w:r>
        <w:rPr>
          <w:b/>
          <w:bCs/>
          <w:noProof w:val="0"/>
          <w:rtl/>
        </w:rPr>
        <w:t>החזקת נשק ותחמושת</w:t>
      </w:r>
      <w:r>
        <w:rPr>
          <w:noProof w:val="0"/>
          <w:rtl/>
        </w:rPr>
        <w:t xml:space="preserve">, עבירה לפי </w:t>
      </w:r>
      <w:hyperlink r:id="rId15" w:history="1">
        <w:r w:rsidR="001421E3" w:rsidRPr="001421E3">
          <w:rPr>
            <w:rStyle w:val="Hyperlink"/>
            <w:noProof w:val="0"/>
            <w:rtl/>
          </w:rPr>
          <w:t>סעיף 144 (א)</w:t>
        </w:r>
      </w:hyperlink>
      <w:r>
        <w:rPr>
          <w:noProof w:val="0"/>
          <w:rtl/>
        </w:rPr>
        <w:t xml:space="preserve"> רישא וסיפא ל</w:t>
      </w:r>
      <w:hyperlink r:id="rId16" w:history="1">
        <w:r w:rsidR="002C0BC0" w:rsidRPr="002C0BC0">
          <w:rPr>
            <w:noProof w:val="0"/>
            <w:color w:val="0000FF"/>
            <w:u w:val="single"/>
            <w:rtl/>
          </w:rPr>
          <w:t>חוק העונשין</w:t>
        </w:r>
      </w:hyperlink>
      <w:r>
        <w:rPr>
          <w:noProof w:val="0"/>
          <w:rtl/>
        </w:rPr>
        <w:t>, תשל"ז-1977 (להלן "חוק העונשין")</w:t>
      </w:r>
    </w:p>
    <w:p w14:paraId="663D4F90" w14:textId="77777777" w:rsidR="00382304" w:rsidRDefault="00382304" w:rsidP="00080515">
      <w:pPr>
        <w:spacing w:line="360" w:lineRule="auto"/>
        <w:jc w:val="both"/>
      </w:pPr>
      <w:r>
        <w:rPr>
          <w:noProof w:val="0"/>
          <w:rtl/>
        </w:rPr>
        <w:t>על פי עובדות כתב האישום המתוקן, בתאריך 19.10.22 החזיק הנאשם בביתו שב</w:t>
      </w:r>
      <w:r>
        <w:t>XXX</w:t>
      </w:r>
      <w:r>
        <w:rPr>
          <w:noProof w:val="0"/>
          <w:rtl/>
        </w:rPr>
        <w:t xml:space="preserve"> מקלע מסוג "קרלו" וכן במחסנית תואמת ובתוכה 13 כדורי 9 מ"מ, בלא רשות על פי דין. </w:t>
      </w:r>
    </w:p>
    <w:p w14:paraId="59222CEA" w14:textId="77777777" w:rsidR="00382304" w:rsidRDefault="00382304" w:rsidP="00080515">
      <w:pPr>
        <w:spacing w:line="360" w:lineRule="auto"/>
        <w:jc w:val="both"/>
      </w:pPr>
      <w:r>
        <w:rPr>
          <w:noProof w:val="0"/>
          <w:rtl/>
        </w:rPr>
        <w:t xml:space="preserve">באותו מועד סמוך לשעה 11:30 בוצע חיפוש בביתו על ידי שוטרי משטרת ישראל, כאשר הנאשם או מי מטעמו השליכו את הנשק והתחמושת מחלון הבית אל גג הבית הסמוך. </w:t>
      </w:r>
    </w:p>
    <w:p w14:paraId="0F21F28A" w14:textId="77777777" w:rsidR="00382304" w:rsidRDefault="00382304" w:rsidP="00080515">
      <w:pPr>
        <w:spacing w:line="360" w:lineRule="auto"/>
        <w:jc w:val="both"/>
        <w:rPr>
          <w:noProof w:val="0"/>
          <w:u w:val="single"/>
          <w:rtl/>
        </w:rPr>
      </w:pPr>
    </w:p>
    <w:p w14:paraId="24625055" w14:textId="77777777" w:rsidR="00382304" w:rsidRDefault="00382304" w:rsidP="00080515">
      <w:pPr>
        <w:spacing w:line="360" w:lineRule="auto"/>
        <w:jc w:val="both"/>
        <w:rPr>
          <w:noProof w:val="0"/>
          <w:u w:val="single"/>
          <w:rtl/>
        </w:rPr>
      </w:pPr>
      <w:r>
        <w:rPr>
          <w:noProof w:val="0"/>
          <w:u w:val="single"/>
          <w:rtl/>
        </w:rPr>
        <w:t>לבקשת הנאשם ובהסכמת ב"כ המאשימה, צורף תיק נוסף:</w:t>
      </w:r>
    </w:p>
    <w:p w14:paraId="6AB08932" w14:textId="77777777" w:rsidR="00382304" w:rsidRDefault="00382304" w:rsidP="00080515">
      <w:pPr>
        <w:spacing w:line="360" w:lineRule="auto"/>
        <w:jc w:val="both"/>
        <w:rPr>
          <w:noProof w:val="0"/>
          <w:rtl/>
        </w:rPr>
      </w:pPr>
      <w:r>
        <w:rPr>
          <w:b/>
          <w:bCs/>
          <w:noProof w:val="0"/>
          <w:rtl/>
        </w:rPr>
        <w:t>ת"פ 68430-01-23</w:t>
      </w:r>
      <w:r>
        <w:rPr>
          <w:noProof w:val="0"/>
          <w:rtl/>
        </w:rPr>
        <w:t xml:space="preserve"> בו הודה בביצוע עבירות של </w:t>
      </w:r>
      <w:r>
        <w:rPr>
          <w:b/>
          <w:bCs/>
          <w:noProof w:val="0"/>
          <w:rtl/>
        </w:rPr>
        <w:t xml:space="preserve">הפרת הוראה חוקית על פי </w:t>
      </w:r>
      <w:hyperlink r:id="rId17" w:history="1">
        <w:r w:rsidR="001421E3" w:rsidRPr="001421E3">
          <w:rPr>
            <w:rStyle w:val="Hyperlink"/>
            <w:b/>
            <w:bCs/>
            <w:noProof w:val="0"/>
            <w:rtl/>
          </w:rPr>
          <w:t>סעיף 287(א)</w:t>
        </w:r>
      </w:hyperlink>
      <w:r>
        <w:rPr>
          <w:b/>
          <w:bCs/>
          <w:noProof w:val="0"/>
          <w:rtl/>
        </w:rPr>
        <w:t xml:space="preserve"> </w:t>
      </w:r>
      <w:r>
        <w:rPr>
          <w:noProof w:val="0"/>
          <w:rtl/>
        </w:rPr>
        <w:t>ל</w:t>
      </w:r>
      <w:hyperlink r:id="rId18" w:history="1">
        <w:r w:rsidR="002C0BC0" w:rsidRPr="002C0BC0">
          <w:rPr>
            <w:noProof w:val="0"/>
            <w:color w:val="0000FF"/>
            <w:u w:val="single"/>
            <w:rtl/>
          </w:rPr>
          <w:t>חוק העונשין</w:t>
        </w:r>
      </w:hyperlink>
      <w:r>
        <w:rPr>
          <w:b/>
          <w:bCs/>
          <w:noProof w:val="0"/>
          <w:rtl/>
        </w:rPr>
        <w:t xml:space="preserve"> והחזקת נשק ותחמושת,</w:t>
      </w:r>
      <w:r>
        <w:rPr>
          <w:noProof w:val="0"/>
          <w:rtl/>
        </w:rPr>
        <w:t xml:space="preserve"> עבירה לפי </w:t>
      </w:r>
      <w:hyperlink r:id="rId19" w:history="1">
        <w:r w:rsidR="001421E3" w:rsidRPr="001421E3">
          <w:rPr>
            <w:rStyle w:val="Hyperlink"/>
            <w:noProof w:val="0"/>
            <w:rtl/>
          </w:rPr>
          <w:t>סעיף 144 (א)</w:t>
        </w:r>
      </w:hyperlink>
      <w:r>
        <w:rPr>
          <w:noProof w:val="0"/>
          <w:rtl/>
        </w:rPr>
        <w:t xml:space="preserve"> רישא וסיפא לחוק העונשין. </w:t>
      </w:r>
    </w:p>
    <w:p w14:paraId="118C2579" w14:textId="77777777" w:rsidR="00382304" w:rsidRDefault="00382304" w:rsidP="00080515">
      <w:pPr>
        <w:spacing w:line="360" w:lineRule="auto"/>
        <w:jc w:val="both"/>
        <w:rPr>
          <w:noProof w:val="0"/>
          <w:rtl/>
        </w:rPr>
      </w:pPr>
      <w:r>
        <w:rPr>
          <w:noProof w:val="0"/>
          <w:rtl/>
        </w:rPr>
        <w:t xml:space="preserve">על פי עובדות כתב האישום, בזמן העבירה הנאשם היה מצוי בחלופת מעצר תחת תנאים מגבילים מתוקף החלטת ביהמ"ש במ"ת 51268-12-22, במסגרתה נקבע כי הנאשם ישהה בתנאי מעצר בית מלא בבית משפחת </w:t>
      </w:r>
      <w:r>
        <w:t>XXX</w:t>
      </w:r>
      <w:r>
        <w:rPr>
          <w:noProof w:val="0"/>
          <w:rtl/>
        </w:rPr>
        <w:t xml:space="preserve"> ב</w:t>
      </w:r>
      <w:r>
        <w:t xml:space="preserve">XXX </w:t>
      </w:r>
      <w:r>
        <w:rPr>
          <w:noProof w:val="0"/>
          <w:rtl/>
        </w:rPr>
        <w:t xml:space="preserve"> בפיקוח אימו. על אף התנאים המגבילים, בתאריך 18.01.23, שהה פלוני בביתו ב</w:t>
      </w:r>
      <w:r>
        <w:t>XXX</w:t>
      </w:r>
      <w:r>
        <w:rPr>
          <w:noProof w:val="0"/>
          <w:rtl/>
        </w:rPr>
        <w:t xml:space="preserve">, כאשר הוא מחזיק בתת מקלע מאולתר וכן במחסנית תואמת ובה 14 כדורי 9 מ"מ. באותו מועד הגיעו שוטרי משטרת ישראל על מנת לערוך חיפוש בביתו ואז השליך הנאשם את הנשק והתחמושת מחלון הבית אל חצר בית סמוך הנמצא בהליכי בנייה. </w:t>
      </w:r>
    </w:p>
    <w:p w14:paraId="4886526C" w14:textId="77777777" w:rsidR="00382304" w:rsidRDefault="00382304" w:rsidP="00080515">
      <w:pPr>
        <w:spacing w:line="360" w:lineRule="auto"/>
        <w:jc w:val="both"/>
        <w:rPr>
          <w:noProof w:val="0"/>
          <w:rtl/>
        </w:rPr>
      </w:pPr>
    </w:p>
    <w:p w14:paraId="6414CD4D" w14:textId="77777777" w:rsidR="00382304" w:rsidRDefault="00382304" w:rsidP="00080515">
      <w:pPr>
        <w:spacing w:line="360" w:lineRule="auto"/>
        <w:jc w:val="both"/>
        <w:rPr>
          <w:b/>
          <w:bCs/>
          <w:noProof w:val="0"/>
          <w:u w:val="single"/>
          <w:rtl/>
        </w:rPr>
      </w:pPr>
      <w:r>
        <w:rPr>
          <w:b/>
          <w:bCs/>
          <w:noProof w:val="0"/>
          <w:u w:val="single"/>
          <w:rtl/>
        </w:rPr>
        <w:t>תסקיר שירות המבחן</w:t>
      </w:r>
    </w:p>
    <w:p w14:paraId="0D14FB89" w14:textId="77777777" w:rsidR="00382304" w:rsidRDefault="00382304" w:rsidP="00080515">
      <w:pPr>
        <w:spacing w:line="360" w:lineRule="auto"/>
        <w:jc w:val="both"/>
        <w:rPr>
          <w:noProof w:val="0"/>
          <w:color w:val="FF00FF"/>
          <w:rtl/>
        </w:rPr>
      </w:pPr>
      <w:r>
        <w:rPr>
          <w:noProof w:val="0"/>
          <w:rtl/>
        </w:rPr>
        <w:t xml:space="preserve">מתסקיר שירות המבחן עלה כי משפחתו של פלוני מונה אם שהתאלמנה ושבעה אחים. לדברי אם המשפחה: אבי המשפחה נרצח לפני כחמש שנים וזאת בשל סכסוך עסקי. עוד שיתפה האם  כי משפחתה סובלת ממצוקה קשה שכן לאחר רצח בעלה נרצח אדם המקושר למשפחה עמה הבעל היה מסוכסך ומאז היא ומשפחתה מקבלים מסרים מאיימים וממושכים שאף הובילו לפציעתו של אחד מילדיה ברגלו בשל ירי מסיבי על ביתה. האם תארה כי הם חיים בתחושות של פחד ומתח ואינם מנהלים שגרת חיים רגילה ולרוב מסתגרים בביתם. עוד שיתפה האם כי שלושה מילדיה הבגירים </w:t>
      </w:r>
      <w:r>
        <w:rPr>
          <w:noProof w:val="0"/>
          <w:rtl/>
        </w:rPr>
        <w:lastRenderedPageBreak/>
        <w:t>היו מעורבים בפלילים ואף ריצו עונשי מאסר בפועל. באשר למצב הכלכלי, טענה האם כי הם מסתדרים ותיארה תנאי מגורים הולמים העונים לצורכי המשפחה.</w:t>
      </w:r>
      <w:r>
        <w:rPr>
          <w:noProof w:val="0"/>
          <w:color w:val="FF00FF"/>
          <w:rtl/>
        </w:rPr>
        <w:t xml:space="preserve"> </w:t>
      </w:r>
    </w:p>
    <w:p w14:paraId="79027435" w14:textId="77777777" w:rsidR="00382304" w:rsidRDefault="00382304" w:rsidP="00080515">
      <w:pPr>
        <w:spacing w:line="360" w:lineRule="auto"/>
        <w:jc w:val="both"/>
        <w:rPr>
          <w:noProof w:val="0"/>
          <w:rtl/>
        </w:rPr>
      </w:pPr>
    </w:p>
    <w:p w14:paraId="6E31135B" w14:textId="77777777" w:rsidR="00382304" w:rsidRDefault="00382304" w:rsidP="00080515">
      <w:pPr>
        <w:spacing w:line="360" w:lineRule="auto"/>
        <w:jc w:val="both"/>
        <w:rPr>
          <w:noProof w:val="0"/>
          <w:rtl/>
        </w:rPr>
      </w:pPr>
      <w:r>
        <w:rPr>
          <w:noProof w:val="0"/>
          <w:rtl/>
        </w:rPr>
        <w:t>פלוני נשר מבית הספר בכיתה ו', נוכח התפרצות הסכסוך וחשש לחייו, ולאחר מכן לא השתלב חזרה במסגרת לימודית. לדבריו, הוא העביר את זמנו בעיקר בביתו במשחקים בנייד ועם בני משפחה שסמך עליהם. לדבריו הוא אינו מרבה לצאת מביתו וכאשר הוא נאלץ לעשות כן היציאה נעשית בזהירות רבה. הוא תאר כי כבר היו אירועי ירי כלפי בני משפחתו וגם הוא היה יעד לירי כאשר ירו על בית המשפחה. פלוני שיתף כי ..........................</w:t>
      </w:r>
    </w:p>
    <w:p w14:paraId="6BC07EDF" w14:textId="77777777" w:rsidR="00382304" w:rsidRDefault="00382304" w:rsidP="00080515">
      <w:pPr>
        <w:spacing w:line="360" w:lineRule="auto"/>
        <w:jc w:val="both"/>
        <w:rPr>
          <w:noProof w:val="0"/>
          <w:rtl/>
        </w:rPr>
      </w:pPr>
      <w:r>
        <w:rPr>
          <w:noProof w:val="0"/>
          <w:rtl/>
        </w:rPr>
        <w:t xml:space="preserve"> בנוסף, הוא שלל שימוש באלכוהול וסמים. </w:t>
      </w:r>
    </w:p>
    <w:p w14:paraId="52D011BE" w14:textId="77777777" w:rsidR="00382304" w:rsidRDefault="00382304" w:rsidP="00080515">
      <w:pPr>
        <w:spacing w:line="360" w:lineRule="auto"/>
        <w:jc w:val="both"/>
        <w:rPr>
          <w:noProof w:val="0"/>
          <w:rtl/>
        </w:rPr>
      </w:pPr>
    </w:p>
    <w:p w14:paraId="1345930C" w14:textId="77777777" w:rsidR="00382304" w:rsidRDefault="00382304" w:rsidP="00080515">
      <w:pPr>
        <w:spacing w:line="360" w:lineRule="auto"/>
        <w:jc w:val="both"/>
        <w:rPr>
          <w:noProof w:val="0"/>
          <w:rtl/>
        </w:rPr>
      </w:pPr>
      <w:r>
        <w:rPr>
          <w:noProof w:val="0"/>
          <w:rtl/>
        </w:rPr>
        <w:t>ביחס לעבירות שביצע: הוא הודה בשלושת העבירות והביע עליהן חרטה. באשר לעבירת החזקת הנשק בת"פ 51251-12-21 טען כי הנשק שייך לחברו והוא החביא את הנשק בביתו</w:t>
      </w:r>
      <w:r>
        <w:rPr>
          <w:noProof w:val="0"/>
          <w:color w:val="FF00FF"/>
          <w:rtl/>
        </w:rPr>
        <w:t xml:space="preserve">. </w:t>
      </w:r>
      <w:r>
        <w:rPr>
          <w:noProof w:val="0"/>
          <w:rtl/>
        </w:rPr>
        <w:t xml:space="preserve">ביחס לעבירות בת"פ 68930-01-23 הוא הודה כי החזיק נשק מסוג קרלו בביתו והביע חרטה על כך.  </w:t>
      </w:r>
    </w:p>
    <w:p w14:paraId="6F26F1D9" w14:textId="77777777" w:rsidR="00382304" w:rsidRDefault="00382304" w:rsidP="00080515">
      <w:pPr>
        <w:spacing w:line="360" w:lineRule="auto"/>
        <w:jc w:val="both"/>
        <w:rPr>
          <w:noProof w:val="0"/>
          <w:rtl/>
        </w:rPr>
      </w:pPr>
      <w:r>
        <w:rPr>
          <w:noProof w:val="0"/>
          <w:rtl/>
        </w:rPr>
        <w:t xml:space="preserve">בטרם מעצרו של הנער, הוא זומן לשירות המבחן מספר רב של פעמים אך הוא ואמו בחרו שלא להגיע אף לא לפגישה אחת עם קצין המבחן, לדבריהם, בשל חשש לחייהם. </w:t>
      </w:r>
    </w:p>
    <w:p w14:paraId="4418FE67" w14:textId="77777777" w:rsidR="00382304" w:rsidRDefault="00382304" w:rsidP="00080515">
      <w:pPr>
        <w:spacing w:line="360" w:lineRule="auto"/>
        <w:jc w:val="both"/>
        <w:rPr>
          <w:noProof w:val="0"/>
          <w:rtl/>
        </w:rPr>
      </w:pPr>
    </w:p>
    <w:p w14:paraId="0DE496E7" w14:textId="77777777" w:rsidR="00382304" w:rsidRDefault="00382304" w:rsidP="00080515">
      <w:pPr>
        <w:spacing w:line="360" w:lineRule="auto"/>
        <w:jc w:val="both"/>
        <w:rPr>
          <w:noProof w:val="0"/>
          <w:rtl/>
        </w:rPr>
      </w:pPr>
      <w:r>
        <w:rPr>
          <w:noProof w:val="0"/>
          <w:rtl/>
        </w:rPr>
        <w:t xml:space="preserve">פלוני שוהה במעצר בכלא אופק מיום 18.1.23. במשך תקופה זו, נראה כי הצליח להשתלב בכלא ולא היה מעורב באירועים חריגים או אירועי משמעת. הוא הפגין דימוי עצמי רגיל לצד הבעת תחושות פחד, חשש לגורלו, חוסר ביטחון וחוסר אמון. שירות המבחן התרשם כי הוא זקוק למסגרת נעולה שתיתן מענה לכל צרכיו הרגשיים ותסייע בשיקומו אך הנאשם ואמו סירבו להצעה זו. </w:t>
      </w:r>
    </w:p>
    <w:p w14:paraId="157DDB76" w14:textId="77777777" w:rsidR="00382304" w:rsidRDefault="00382304" w:rsidP="00080515">
      <w:pPr>
        <w:spacing w:line="360" w:lineRule="auto"/>
        <w:jc w:val="both"/>
        <w:rPr>
          <w:noProof w:val="0"/>
          <w:rtl/>
        </w:rPr>
      </w:pPr>
    </w:p>
    <w:p w14:paraId="1858F28B" w14:textId="77777777" w:rsidR="00382304" w:rsidRDefault="00382304" w:rsidP="00080515">
      <w:pPr>
        <w:spacing w:line="360" w:lineRule="auto"/>
        <w:jc w:val="both"/>
        <w:rPr>
          <w:noProof w:val="0"/>
          <w:rtl/>
        </w:rPr>
      </w:pPr>
      <w:r>
        <w:rPr>
          <w:noProof w:val="0"/>
          <w:rtl/>
        </w:rPr>
        <w:t>ביום 13.4.23 קיים קצין המבחן שיחה נוספת עם הנאשם, פלוני מסר כי הוא ובני משפחתו מאוימים בשל "נקמות דם" בין משפחתו לבין משפחת פשע. לדבריו, הוא נאלץ להחזיק בנשק להגנה עצמית כיון שלא זכו להגנה מטעם רשויות החוק. בנסיבות אלה, שב וסרב לצאת לכל מעון או מסגרת חוץ ביתית.</w:t>
      </w:r>
    </w:p>
    <w:p w14:paraId="275D8C93" w14:textId="77777777" w:rsidR="00382304" w:rsidRDefault="00382304" w:rsidP="00080515">
      <w:pPr>
        <w:spacing w:line="360" w:lineRule="auto"/>
        <w:jc w:val="both"/>
        <w:rPr>
          <w:noProof w:val="0"/>
          <w:rtl/>
        </w:rPr>
      </w:pPr>
      <w:r>
        <w:rPr>
          <w:b/>
          <w:bCs/>
          <w:noProof w:val="0"/>
          <w:rtl/>
        </w:rPr>
        <w:t xml:space="preserve">בשל התנגדותו העזה של הנאשם לשילובו במסגרת חוץ ביתית לא בא שירות המבחן בהמלצה טיפולית כלשהיא. </w:t>
      </w:r>
    </w:p>
    <w:p w14:paraId="4AE6A138" w14:textId="77777777" w:rsidR="00382304" w:rsidRDefault="00382304" w:rsidP="00080515">
      <w:pPr>
        <w:spacing w:line="360" w:lineRule="auto"/>
        <w:jc w:val="both"/>
        <w:rPr>
          <w:noProof w:val="0"/>
          <w:rtl/>
        </w:rPr>
      </w:pPr>
    </w:p>
    <w:p w14:paraId="0CC3B591" w14:textId="77777777" w:rsidR="00382304" w:rsidRDefault="00382304" w:rsidP="00080515">
      <w:pPr>
        <w:spacing w:line="360" w:lineRule="auto"/>
        <w:jc w:val="both"/>
        <w:rPr>
          <w:b/>
          <w:bCs/>
          <w:noProof w:val="0"/>
          <w:u w:val="single"/>
          <w:rtl/>
        </w:rPr>
      </w:pPr>
    </w:p>
    <w:p w14:paraId="4B193572" w14:textId="77777777" w:rsidR="00382304" w:rsidRDefault="00382304" w:rsidP="00080515">
      <w:pPr>
        <w:spacing w:line="360" w:lineRule="auto"/>
        <w:jc w:val="both"/>
        <w:rPr>
          <w:b/>
          <w:bCs/>
          <w:noProof w:val="0"/>
          <w:u w:val="single"/>
          <w:rtl/>
        </w:rPr>
      </w:pPr>
      <w:r>
        <w:rPr>
          <w:b/>
          <w:bCs/>
          <w:noProof w:val="0"/>
          <w:u w:val="single"/>
          <w:rtl/>
        </w:rPr>
        <w:t>טיעוני הצדדים לעונש</w:t>
      </w:r>
    </w:p>
    <w:p w14:paraId="212431FB" w14:textId="77777777" w:rsidR="00382304" w:rsidRDefault="00382304" w:rsidP="00080515">
      <w:pPr>
        <w:spacing w:line="360" w:lineRule="auto"/>
        <w:jc w:val="both"/>
        <w:rPr>
          <w:noProof w:val="0"/>
          <w:rtl/>
        </w:rPr>
      </w:pPr>
      <w:r>
        <w:rPr>
          <w:b/>
          <w:bCs/>
          <w:noProof w:val="0"/>
          <w:rtl/>
        </w:rPr>
        <w:t>ב"כ המאשימה, עו"ד יהונתן הירש</w:t>
      </w:r>
      <w:r>
        <w:rPr>
          <w:noProof w:val="0"/>
          <w:rtl/>
        </w:rPr>
        <w:t xml:space="preserve">, פירט את העבירות בהן הודה הנאשם. מדובר בנאשם שהפר את תנאי השחרור שהוטלו עליו וחזר וביצע אותה עבירה בגינה הוטלו התנאים המגבילים. על כן, יש לבחון היטב את הערכים המוגנים שנפגעו, נסיבות ביצוע העבירות והענישה הנוהגת ולהטיל עונש חמור במיוחד.  </w:t>
      </w:r>
    </w:p>
    <w:p w14:paraId="049E1C51" w14:textId="77777777" w:rsidR="00382304" w:rsidRDefault="00382304" w:rsidP="00080515">
      <w:pPr>
        <w:spacing w:line="360" w:lineRule="auto"/>
        <w:jc w:val="both"/>
        <w:rPr>
          <w:noProof w:val="0"/>
          <w:rtl/>
        </w:rPr>
      </w:pPr>
      <w:r>
        <w:rPr>
          <w:noProof w:val="0"/>
          <w:rtl/>
        </w:rPr>
        <w:t>ביחס לערכים המוגנים העומדים בבסיס עבירות הנשק הפנה להגנה על שלום הציבור ובטחונו. הסיכון הטמון בעבירות הנשק ברור: יש חשש לפגיעה בנפש, לאיום על אדם, ואף חשש מתאונות. הסיכון מתעצם כאשר הנשק נמצא בידיים עברייניות, כמו בעניינינו. ב"כ המאשימה הפנה לפסיקה שהדגישה את הסיכון הטמון בעבירות הנשק, וטען כי תופעה זו צריכה להיבלם על ידי הטלת ענישה מחמירה. ביחס לנסיבות ביצוע העבירות הוא הפנה לכך שמדובר בנשק מסוג קרלו שבטיחותו נמוכה, שתחמושת בצדו, כמו כן הפנה לעובדה שבשני מקרים הנאשם השליך את הנשק לגג סמוך או לחצר בית, ולולא הגיעה המשטרה הנשק היה יכול ליפול לידיים עוינות או לידי אדם לא מיומן.</w:t>
      </w:r>
    </w:p>
    <w:p w14:paraId="40B0F065" w14:textId="77777777" w:rsidR="00382304" w:rsidRDefault="00382304" w:rsidP="00080515">
      <w:pPr>
        <w:spacing w:line="360" w:lineRule="auto"/>
        <w:jc w:val="both"/>
        <w:rPr>
          <w:noProof w:val="0"/>
          <w:rtl/>
        </w:rPr>
      </w:pPr>
      <w:r>
        <w:rPr>
          <w:noProof w:val="0"/>
          <w:rtl/>
        </w:rPr>
        <w:t>עוד טען הפרקליט כי לאחרונה רבו המקרים בהם קטינים מסייעים לבגירים בהחזקת נשקים, כשההנחה היא שהקטינים ייענשו באופן מקל. יש למגר תופעה זו על ידי הטלת עונשים מוחשיים. לאחרונה תוקן תיקון 140 ל</w:t>
      </w:r>
      <w:hyperlink r:id="rId20" w:history="1">
        <w:r w:rsidR="002C0BC0" w:rsidRPr="002C0BC0">
          <w:rPr>
            <w:noProof w:val="0"/>
            <w:color w:val="0000FF"/>
            <w:u w:val="single"/>
            <w:rtl/>
          </w:rPr>
          <w:t>חוק העונשין</w:t>
        </w:r>
      </w:hyperlink>
      <w:r>
        <w:rPr>
          <w:noProof w:val="0"/>
          <w:rtl/>
        </w:rPr>
        <w:t xml:space="preserve"> ונקבעו עונשי מינימום בעבירות נשק, תיקון זה אינו חל בעניינינו, אולם על בית המשפט לתת דעתו להתפתחות החקיקתית.  </w:t>
      </w:r>
    </w:p>
    <w:p w14:paraId="5F032988" w14:textId="77777777" w:rsidR="00382304" w:rsidRDefault="00382304" w:rsidP="00080515">
      <w:pPr>
        <w:spacing w:line="360" w:lineRule="auto"/>
        <w:jc w:val="both"/>
        <w:rPr>
          <w:noProof w:val="0"/>
          <w:rtl/>
        </w:rPr>
      </w:pPr>
      <w:r>
        <w:rPr>
          <w:noProof w:val="0"/>
          <w:rtl/>
        </w:rPr>
        <w:t xml:space="preserve">באשר לנסיבות שאינן קשורות בביצוע העבירה טען ב"כ המאשימה כי מדובר בנאשם ללא עבר פלילי. מתסקיר שירות המבחן עלה שנסיבות חייו של הנאשם ומשפחתו הן קשות, אופי הסכסוך המשפחתי גבה וממשיך לגבות מחירים כבדים מהנאשם ומבני משפחתו ויש לתת על כך את  הדעת. גורמי הסיכוי בתסקיר מציינים את תמיכתה של האם בנאשם יחד עם גורמים נוספים אולם, יש לקחת בחשבון גם את גורמי הסיכון הרבים שהוזכרו ואת העובדה כי הנאשם חזר על ביצוע אותה עבירה אשר בגינה הוטלו עליו תנאי מעצר בתיק זה, עובדה המלמדת על מסוכנותו הרבה. </w:t>
      </w:r>
    </w:p>
    <w:p w14:paraId="175D3441" w14:textId="77777777" w:rsidR="00382304" w:rsidRDefault="00382304" w:rsidP="00080515">
      <w:pPr>
        <w:spacing w:line="360" w:lineRule="auto"/>
        <w:jc w:val="both"/>
        <w:rPr>
          <w:noProof w:val="0"/>
          <w:rtl/>
        </w:rPr>
      </w:pPr>
      <w:r>
        <w:rPr>
          <w:noProof w:val="0"/>
          <w:rtl/>
        </w:rPr>
        <w:t xml:space="preserve">לאור כל אלה עתר ב"כ המאשימה להרשעתו של הנאשם, הטלת 12 חודשי מאסר בפועל, מאסר על תנאי משמעותי ומרתיע וקנס. כמו כן, ביקש להטיל על אם הנאשם קנס וזאת לאור הוראותיו של </w:t>
      </w:r>
      <w:hyperlink r:id="rId21" w:history="1">
        <w:r w:rsidR="001421E3" w:rsidRPr="001421E3">
          <w:rPr>
            <w:rStyle w:val="Hyperlink"/>
            <w:noProof w:val="0"/>
            <w:rtl/>
          </w:rPr>
          <w:t>סעיף 24א</w:t>
        </w:r>
      </w:hyperlink>
      <w:r>
        <w:rPr>
          <w:noProof w:val="0"/>
          <w:rtl/>
        </w:rPr>
        <w:t xml:space="preserve"> לחוק הנוער. הפרקליט הסביר בקשה זאת לאור הנסיבות המנויות בכתבי האישום והעובדה כי מדובר בסכסוך משפחתי חמור שבמסגרתו הנאשם החזיק בנשקים בביתו. לדעת הפרקליט לאמו של הנאשם יש משמעות רבה בשיקומו ובמניעת ביצוע עבירות נוספות. </w:t>
      </w:r>
    </w:p>
    <w:p w14:paraId="6DAA6007" w14:textId="77777777" w:rsidR="00382304" w:rsidRDefault="00382304" w:rsidP="00080515">
      <w:pPr>
        <w:spacing w:line="360" w:lineRule="auto"/>
        <w:jc w:val="both"/>
        <w:rPr>
          <w:noProof w:val="0"/>
          <w:rtl/>
        </w:rPr>
      </w:pPr>
      <w:r>
        <w:rPr>
          <w:noProof w:val="0"/>
          <w:rtl/>
        </w:rPr>
        <w:t xml:space="preserve">כתמיכה לעתירתו הפנה ב"כ המאשימה לפסיקה ולדברי הצעת החוק. </w:t>
      </w:r>
    </w:p>
    <w:p w14:paraId="3C32D225" w14:textId="77777777" w:rsidR="00382304" w:rsidRDefault="00382304" w:rsidP="00080515">
      <w:pPr>
        <w:spacing w:line="360" w:lineRule="auto"/>
        <w:jc w:val="both"/>
        <w:rPr>
          <w:b/>
          <w:bCs/>
          <w:noProof w:val="0"/>
          <w:rtl/>
        </w:rPr>
      </w:pPr>
    </w:p>
    <w:p w14:paraId="04B4BAF9" w14:textId="77777777" w:rsidR="00382304" w:rsidRDefault="00382304" w:rsidP="00080515">
      <w:pPr>
        <w:spacing w:line="360" w:lineRule="auto"/>
        <w:jc w:val="both"/>
        <w:rPr>
          <w:noProof w:val="0"/>
          <w:rtl/>
        </w:rPr>
      </w:pPr>
      <w:r>
        <w:rPr>
          <w:b/>
          <w:bCs/>
          <w:noProof w:val="0"/>
          <w:rtl/>
        </w:rPr>
        <w:t>ב"כ הנאשם</w:t>
      </w:r>
      <w:r>
        <w:rPr>
          <w:noProof w:val="0"/>
          <w:rtl/>
        </w:rPr>
        <w:t xml:space="preserve"> </w:t>
      </w:r>
      <w:r>
        <w:rPr>
          <w:b/>
          <w:bCs/>
          <w:noProof w:val="0"/>
          <w:rtl/>
        </w:rPr>
        <w:t>עו"ד איהב ג'לג'ולי ועו"ד שי טובים</w:t>
      </w:r>
      <w:r>
        <w:rPr>
          <w:noProof w:val="0"/>
          <w:rtl/>
        </w:rPr>
        <w:t xml:space="preserve"> עמדו על גילו הצעיר של הנאשם אשר הינו כבן חמש עשרה וחצי ועל נסיבות חייו הקשות. הנאשם נולד אל תוך הסכסוך ולא הצטרף אליו מתוך מניעים עבריינים. יש להתייחס לכך כי בעקבות הסכסוך הנאשם לא פוקד מסגרת לימודית, לא יוצא מביתו ואף חושש לפתוח את חלון ביתו שמא הוא או בני משפחתו ייפגעו.</w:t>
      </w:r>
    </w:p>
    <w:p w14:paraId="24759AA8" w14:textId="77777777" w:rsidR="00382304" w:rsidRDefault="00382304" w:rsidP="00080515">
      <w:pPr>
        <w:spacing w:line="360" w:lineRule="auto"/>
        <w:jc w:val="both"/>
        <w:rPr>
          <w:noProof w:val="0"/>
          <w:rtl/>
        </w:rPr>
      </w:pPr>
      <w:r>
        <w:rPr>
          <w:noProof w:val="0"/>
          <w:rtl/>
        </w:rPr>
        <w:t xml:space="preserve">לטענתם, על אף חומרת העבירות ומגמת ההחמרה שנראית בפסיקה, יש להחריג את המקרה שכן מדובר בהחזקת נשק לצורכי הגנה ולא מדובר במי שהסתובב עם הנשק מחוץ לביתו. הסנגורים הדגישו כי לא מדובר במשפחת פשע, והדגישו כי על העובדה שהמשפחה בחרה לשתף את רשויות החוק בסכסוך, הם לא זכו להגנה ועל כן הנאשם החזיק בנשק. לדברי הסנגורים, הקטין לא נרתם להליך הטיפולי בשל החשש האמיתי לחייו ולא משום שאינו רוצה בכך, לצד זאת יש לזכור כי הודה במעשיו, לקח אחריות והביע חרטה. </w:t>
      </w:r>
    </w:p>
    <w:p w14:paraId="4EBADB59" w14:textId="77777777" w:rsidR="00382304" w:rsidRDefault="00382304" w:rsidP="00080515">
      <w:pPr>
        <w:spacing w:line="360" w:lineRule="auto"/>
        <w:jc w:val="both"/>
        <w:rPr>
          <w:noProof w:val="0"/>
          <w:rtl/>
        </w:rPr>
      </w:pPr>
      <w:r>
        <w:rPr>
          <w:noProof w:val="0"/>
          <w:rtl/>
        </w:rPr>
        <w:t xml:space="preserve">בהתאם לכך היות והנאשם שהה במעצר תקופה ממושכת, אין להטיל עליו תקופת מאסר נוספת ויש להסתפק בתקופת מעצרו. הדבר מתעצם נוכח העובדה כי הנאשם נחתך בפניו בין כותלי הכלא כך שאינו בטוח במסגרת זו.  </w:t>
      </w:r>
    </w:p>
    <w:p w14:paraId="717DC7A3" w14:textId="77777777" w:rsidR="00382304" w:rsidRDefault="00382304" w:rsidP="00080515">
      <w:pPr>
        <w:spacing w:line="360" w:lineRule="auto"/>
        <w:jc w:val="both"/>
        <w:rPr>
          <w:noProof w:val="0"/>
          <w:rtl/>
        </w:rPr>
      </w:pPr>
      <w:r>
        <w:rPr>
          <w:noProof w:val="0"/>
          <w:rtl/>
        </w:rPr>
        <w:t xml:space="preserve">ביחס לבקשה להטיל קנס על האם, ביקשו הסנגורים לדחות את הבקשה וטענו כי היא לא מהווה גורם סיכון אלא להפך, היא גורם התומך בנאשם ולכן אין להטיל עליה קנס. עוד הזכירו כי האם חיה בנסיבות קשות, בעלה נרצח ומשפחתה מאוימת מאד. </w:t>
      </w:r>
    </w:p>
    <w:p w14:paraId="01609E0C" w14:textId="77777777" w:rsidR="00382304" w:rsidRDefault="00382304" w:rsidP="00080515">
      <w:pPr>
        <w:spacing w:line="360" w:lineRule="auto"/>
        <w:jc w:val="both"/>
        <w:rPr>
          <w:b/>
          <w:bCs/>
          <w:noProof w:val="0"/>
          <w:rtl/>
        </w:rPr>
      </w:pPr>
    </w:p>
    <w:p w14:paraId="729BE023" w14:textId="77777777" w:rsidR="00382304" w:rsidRDefault="00382304" w:rsidP="00080515">
      <w:pPr>
        <w:spacing w:line="360" w:lineRule="auto"/>
        <w:jc w:val="both"/>
        <w:rPr>
          <w:noProof w:val="0"/>
          <w:rtl/>
        </w:rPr>
      </w:pPr>
      <w:r>
        <w:rPr>
          <w:b/>
          <w:bCs/>
          <w:noProof w:val="0"/>
          <w:rtl/>
        </w:rPr>
        <w:t>הנאשם בדברו האחרון לבית המשפט</w:t>
      </w:r>
      <w:r>
        <w:rPr>
          <w:noProof w:val="0"/>
          <w:rtl/>
        </w:rPr>
        <w:t xml:space="preserve">, אמר שהוא מצטער. </w:t>
      </w:r>
    </w:p>
    <w:p w14:paraId="60F29E3E" w14:textId="77777777" w:rsidR="00382304" w:rsidRDefault="00382304" w:rsidP="00080515">
      <w:pPr>
        <w:spacing w:line="360" w:lineRule="auto"/>
        <w:jc w:val="both"/>
        <w:rPr>
          <w:b/>
          <w:bCs/>
          <w:noProof w:val="0"/>
          <w:u w:val="single"/>
          <w:rtl/>
        </w:rPr>
      </w:pPr>
    </w:p>
    <w:p w14:paraId="56AD9BBF" w14:textId="77777777" w:rsidR="00382304" w:rsidRDefault="00382304" w:rsidP="00080515">
      <w:pPr>
        <w:spacing w:line="360" w:lineRule="auto"/>
        <w:jc w:val="both"/>
        <w:rPr>
          <w:b/>
          <w:bCs/>
          <w:noProof w:val="0"/>
          <w:u w:val="single"/>
          <w:rtl/>
        </w:rPr>
      </w:pPr>
      <w:r>
        <w:rPr>
          <w:b/>
          <w:bCs/>
          <w:noProof w:val="0"/>
          <w:u w:val="single"/>
          <w:rtl/>
        </w:rPr>
        <w:t>דיון והכרעה</w:t>
      </w:r>
    </w:p>
    <w:p w14:paraId="5D3CC574" w14:textId="77777777" w:rsidR="00382304" w:rsidRDefault="00382304" w:rsidP="00080515">
      <w:pPr>
        <w:spacing w:line="360" w:lineRule="auto"/>
        <w:jc w:val="both"/>
        <w:rPr>
          <w:noProof w:val="0"/>
          <w:rtl/>
        </w:rPr>
      </w:pPr>
      <w:r>
        <w:rPr>
          <w:noProof w:val="0"/>
          <w:rtl/>
        </w:rPr>
        <w:t xml:space="preserve">פלוני נותן את הדין על עבירות נשק חמורות וכן על עבירה של הפרת הוראה חוקית: בגין העבירה הראשונה הוא נשלח למעצר בית ב......., הוא הפר תנאי זה, חזר לביתו ושב והחזיק בנשק לא חוקי.  </w:t>
      </w:r>
    </w:p>
    <w:p w14:paraId="7F6FCF86" w14:textId="77777777" w:rsidR="00382304" w:rsidRDefault="00382304" w:rsidP="00080515">
      <w:pPr>
        <w:spacing w:line="360" w:lineRule="auto"/>
        <w:jc w:val="both"/>
        <w:rPr>
          <w:b/>
          <w:bCs/>
          <w:noProof w:val="0"/>
          <w:rtl/>
        </w:rPr>
      </w:pPr>
      <w:r>
        <w:rPr>
          <w:noProof w:val="0"/>
          <w:rtl/>
        </w:rPr>
        <w:t xml:space="preserve">כידוע, מערכת השיקולים שעל בית המשפט לשקול בעת גזירת עונשו של נאשם קטין שונה מזו המופעלת בעניינו של עבריין בגיר. בהתאם לפסיקה, גם אם הורשע קטין בעבירות קשות וחמורות במיוחד, על בית המשפט ליתן משקל יתר לשיקולים האינדיבידואליים הנוגעים לו ולאזן בין שיקולי השיקום לשיקולי ההרתעה (ראו </w:t>
      </w:r>
      <w:hyperlink r:id="rId22" w:history="1">
        <w:r w:rsidR="002C0BC0" w:rsidRPr="002C0BC0">
          <w:rPr>
            <w:noProof w:val="0"/>
            <w:color w:val="0000FF"/>
            <w:u w:val="single"/>
            <w:rtl/>
          </w:rPr>
          <w:t>ע"פ 49/09</w:t>
        </w:r>
      </w:hyperlink>
      <w:r>
        <w:rPr>
          <w:noProof w:val="0"/>
          <w:rtl/>
        </w:rPr>
        <w:t xml:space="preserve"> </w:t>
      </w:r>
      <w:r>
        <w:rPr>
          <w:b/>
          <w:bCs/>
          <w:noProof w:val="0"/>
          <w:u w:val="single"/>
          <w:rtl/>
        </w:rPr>
        <w:t>מדינת ישראל נ' פלוני</w:t>
      </w:r>
      <w:r>
        <w:rPr>
          <w:noProof w:val="0"/>
          <w:rtl/>
        </w:rPr>
        <w:t xml:space="preserve"> פ"ד סג(1) 752 (2009)). בבחינת שיקולי הענישה השונים על בית המשפט לבחון את חומרת העבירות אל מול בחינת נסיבות אישיות וביניהם נטילת האחריות, גילו של נאשם, עברו הפלילי וסיכויי שיקומו:</w:t>
      </w:r>
      <w:r>
        <w:rPr>
          <w:b/>
          <w:bCs/>
          <w:noProof w:val="0"/>
          <w:rtl/>
        </w:rPr>
        <w:t xml:space="preserve"> </w:t>
      </w:r>
    </w:p>
    <w:p w14:paraId="7F794674" w14:textId="77777777" w:rsidR="00382304" w:rsidRDefault="00382304" w:rsidP="00080515">
      <w:pPr>
        <w:ind w:left="652" w:right="992"/>
        <w:jc w:val="both"/>
        <w:rPr>
          <w:b/>
          <w:bCs/>
          <w:noProof w:val="0"/>
          <w:rtl/>
        </w:rPr>
      </w:pPr>
      <w:r>
        <w:rPr>
          <w:b/>
          <w:bCs/>
          <w:noProof w:val="0"/>
          <w:rtl/>
        </w:rPr>
        <w:t xml:space="preserve">"אכן, בעניינם של קטינים יש לבחון בקפידה את האינטרס השיקומי והטיפולי. ענישת קטינים מחייבת דגש מיוחד על שיקולי הענישה האינדיבידואלים, ובגדר אלה על בית המשפט לשקול את נסיבותיו האישיות של הקטין, לרבות גילו, עברו הפלילי, חומרת המעשים בהם הורשע, האם הוא נוטל אחריות למעשיו ומביע חרטה כנה, ומהם סיכויי שיקומו. זאת, בין היתר, לאור חוסר הבשלות התודעתית של קטינים עקב גילם הצעיר, הרצון להגן על הקטינים מפני תנאי הכליאה והמפגש עם עבריינים בוגרים וכן מחויבותה של החברה לפעול לשיקום עבריינים קטינים..." </w:t>
      </w:r>
    </w:p>
    <w:p w14:paraId="6A90DD3A" w14:textId="77777777" w:rsidR="00382304" w:rsidRDefault="00382304" w:rsidP="00080515">
      <w:pPr>
        <w:spacing w:line="360" w:lineRule="auto"/>
        <w:jc w:val="both"/>
        <w:rPr>
          <w:noProof w:val="0"/>
          <w:rtl/>
        </w:rPr>
      </w:pPr>
      <w:r>
        <w:rPr>
          <w:noProof w:val="0"/>
          <w:rtl/>
        </w:rPr>
        <w:t xml:space="preserve">            (</w:t>
      </w:r>
      <w:hyperlink r:id="rId23" w:history="1">
        <w:r w:rsidR="00BD32F9" w:rsidRPr="00BD32F9">
          <w:rPr>
            <w:rStyle w:val="Hyperlink"/>
            <w:noProof w:val="0"/>
            <w:rtl/>
          </w:rPr>
          <w:t>ע"פ 281/15</w:t>
        </w:r>
      </w:hyperlink>
      <w:r>
        <w:rPr>
          <w:noProof w:val="0"/>
          <w:rtl/>
        </w:rPr>
        <w:t xml:space="preserve"> </w:t>
      </w:r>
      <w:r>
        <w:rPr>
          <w:b/>
          <w:bCs/>
          <w:noProof w:val="0"/>
          <w:u w:val="single"/>
          <w:rtl/>
        </w:rPr>
        <w:t>פלוני נ' מדינת ישראל</w:t>
      </w:r>
      <w:r>
        <w:rPr>
          <w:b/>
          <w:bCs/>
          <w:noProof w:val="0"/>
          <w:rtl/>
        </w:rPr>
        <w:t>,</w:t>
      </w:r>
      <w:r>
        <w:rPr>
          <w:noProof w:val="0"/>
          <w:rtl/>
        </w:rPr>
        <w:t xml:space="preserve"> פס' 11 [פורסם בנבו], 6.12.15).</w:t>
      </w:r>
    </w:p>
    <w:p w14:paraId="5283FB78" w14:textId="77777777" w:rsidR="00382304" w:rsidRDefault="00382304" w:rsidP="00080515">
      <w:pPr>
        <w:tabs>
          <w:tab w:val="left" w:pos="7270"/>
        </w:tabs>
        <w:spacing w:line="360" w:lineRule="auto"/>
        <w:jc w:val="both"/>
        <w:rPr>
          <w:noProof w:val="0"/>
          <w:rtl/>
        </w:rPr>
      </w:pPr>
    </w:p>
    <w:p w14:paraId="2C531F09" w14:textId="77777777" w:rsidR="00382304" w:rsidRDefault="00382304" w:rsidP="00080515">
      <w:pPr>
        <w:tabs>
          <w:tab w:val="left" w:pos="7270"/>
        </w:tabs>
        <w:spacing w:line="360" w:lineRule="auto"/>
        <w:jc w:val="both"/>
        <w:rPr>
          <w:b/>
          <w:bCs/>
          <w:noProof w:val="0"/>
          <w:rtl/>
        </w:rPr>
      </w:pPr>
      <w:r>
        <w:rPr>
          <w:noProof w:val="0"/>
          <w:rtl/>
        </w:rPr>
        <w:t xml:space="preserve">לצד זאת נקבע בפסיקה כי קטינות אינה מהווה חסינות בפני עונש ראוי, ובמקרים מתאימים לא יירתע בית המשפט ויטיל על הקטין עונש ההולם את חומרת מעשיו: </w:t>
      </w:r>
      <w:r>
        <w:rPr>
          <w:b/>
          <w:bCs/>
          <w:noProof w:val="0"/>
          <w:rtl/>
        </w:rPr>
        <w:t xml:space="preserve">"...קטינות אינה יוצרת חסינות, ולעיתים שיקולים של הרתעה, מניעה וגמול עולים במשקלם על השיקול השיקומי אכן, לעתים הצורך למנוע את ביצוע העבירה בעתיד עולה במשקלו על הצורך לשקם את העבריין. </w:t>
      </w:r>
      <w:r>
        <w:rPr>
          <w:noProof w:val="0"/>
          <w:rtl/>
        </w:rPr>
        <w:t>(דברי כב' הנשיא דאז, השופט אהרון ברק ב</w:t>
      </w:r>
      <w:hyperlink r:id="rId24" w:history="1">
        <w:r w:rsidR="002C0BC0" w:rsidRPr="002C0BC0">
          <w:rPr>
            <w:noProof w:val="0"/>
            <w:color w:val="0000FF"/>
            <w:u w:val="single"/>
            <w:rtl/>
          </w:rPr>
          <w:t>ע"פ 8164/02</w:t>
        </w:r>
      </w:hyperlink>
      <w:r>
        <w:rPr>
          <w:noProof w:val="0"/>
          <w:rtl/>
        </w:rPr>
        <w:t xml:space="preserve"> </w:t>
      </w:r>
      <w:r>
        <w:rPr>
          <w:b/>
          <w:bCs/>
          <w:noProof w:val="0"/>
          <w:u w:val="single"/>
          <w:rtl/>
        </w:rPr>
        <w:t>פלוני נ' מדינת ישראל</w:t>
      </w:r>
      <w:r>
        <w:rPr>
          <w:noProof w:val="0"/>
          <w:rtl/>
        </w:rPr>
        <w:t xml:space="preserve"> </w:t>
      </w:r>
      <w:r w:rsidR="00BD32F9" w:rsidRPr="00BD32F9">
        <w:rPr>
          <w:noProof w:val="0"/>
          <w:sz w:val="22"/>
          <w:rtl/>
        </w:rPr>
        <w:t xml:space="preserve">[פורסם בנבו] </w:t>
      </w:r>
      <w:r>
        <w:rPr>
          <w:noProof w:val="0"/>
          <w:rtl/>
        </w:rPr>
        <w:t xml:space="preserve">(ניתן ביום 17.3.03). </w:t>
      </w:r>
    </w:p>
    <w:p w14:paraId="0BDA5A17" w14:textId="77777777" w:rsidR="00382304" w:rsidRDefault="00382304" w:rsidP="00080515">
      <w:pPr>
        <w:spacing w:line="360" w:lineRule="auto"/>
        <w:jc w:val="both"/>
        <w:rPr>
          <w:b/>
          <w:bCs/>
          <w:noProof w:val="0"/>
          <w:color w:val="FF0000"/>
          <w:rtl/>
        </w:rPr>
      </w:pPr>
      <w:r>
        <w:rPr>
          <w:noProof w:val="0"/>
          <w:rtl/>
        </w:rPr>
        <w:t xml:space="preserve">בהתאם לכללים אלו שקלתי את שיקולי הענישה השונים בעניינו של פלוני : </w:t>
      </w:r>
    </w:p>
    <w:p w14:paraId="52BED236" w14:textId="77777777" w:rsidR="00382304" w:rsidRDefault="00382304" w:rsidP="00080515">
      <w:pPr>
        <w:spacing w:line="360" w:lineRule="auto"/>
        <w:jc w:val="both"/>
        <w:rPr>
          <w:b/>
          <w:bCs/>
          <w:noProof w:val="0"/>
          <w:u w:val="single"/>
          <w:rtl/>
        </w:rPr>
      </w:pPr>
    </w:p>
    <w:p w14:paraId="7D9341BF" w14:textId="77777777" w:rsidR="00382304" w:rsidRDefault="00382304" w:rsidP="00080515">
      <w:pPr>
        <w:spacing w:line="360" w:lineRule="auto"/>
        <w:jc w:val="both"/>
        <w:rPr>
          <w:b/>
          <w:bCs/>
          <w:noProof w:val="0"/>
          <w:u w:val="single"/>
          <w:rtl/>
        </w:rPr>
      </w:pPr>
      <w:r>
        <w:rPr>
          <w:b/>
          <w:bCs/>
          <w:noProof w:val="0"/>
          <w:u w:val="single"/>
          <w:rtl/>
        </w:rPr>
        <w:t>חומרת העבירה והצורך בהרתעה</w:t>
      </w:r>
    </w:p>
    <w:p w14:paraId="154E3E51" w14:textId="77777777" w:rsidR="00382304" w:rsidRDefault="00382304" w:rsidP="00080515">
      <w:pPr>
        <w:spacing w:line="360" w:lineRule="auto"/>
        <w:jc w:val="both"/>
        <w:rPr>
          <w:noProof w:val="0"/>
          <w:rtl/>
        </w:rPr>
      </w:pPr>
      <w:r>
        <w:rPr>
          <w:noProof w:val="0"/>
          <w:rtl/>
        </w:rPr>
        <w:t>כידוע, כלל עבירות הנשק טומנות בחובן פוטנציאל לנזק עצום. בתי המשפט שבו ועמדו על הסכנה הגלומה בעבירות אלה לשלום הציבור ולביטחונו ואף הגדירו את התופעה כ"מכת מדינה". לאחרונה אף רבו מקרי הרצח כתוצאה מירי, וכמעט מידי יום אנו שומעים על נרצחים חדשים. מציאות זו בה רחובותינו שותתים דם היא בלתי נסבלת, ועל כל המערכות לשלב ידיים כדי למגר את תופעת "תת תרבות הנשק". חלקם של בתי המשפט במלחמה בתופעה הקשה הוא בהטלת ענישה מחמירה ומרתיעה, ובימים אלו: אף יותר מתמיד.</w:t>
      </w:r>
    </w:p>
    <w:p w14:paraId="75B95BB3" w14:textId="77777777" w:rsidR="00382304" w:rsidRDefault="00382304" w:rsidP="00080515">
      <w:pPr>
        <w:spacing w:line="360" w:lineRule="auto"/>
        <w:jc w:val="both"/>
        <w:rPr>
          <w:noProof w:val="0"/>
          <w:rtl/>
        </w:rPr>
      </w:pPr>
      <w:r>
        <w:rPr>
          <w:noProof w:val="0"/>
          <w:rtl/>
        </w:rPr>
        <w:t>כך התבטא בעניין זה כב' השופט מזוז ב</w:t>
      </w:r>
      <w:hyperlink r:id="rId25" w:history="1">
        <w:r w:rsidR="002C0BC0" w:rsidRPr="002C0BC0">
          <w:rPr>
            <w:noProof w:val="0"/>
            <w:color w:val="0000FF"/>
            <w:u w:val="single"/>
            <w:rtl/>
          </w:rPr>
          <w:t>ע"פ 1059/21</w:t>
        </w:r>
      </w:hyperlink>
      <w:r>
        <w:rPr>
          <w:noProof w:val="0"/>
          <w:rtl/>
        </w:rPr>
        <w:t xml:space="preserve"> </w:t>
      </w:r>
      <w:r>
        <w:rPr>
          <w:b/>
          <w:bCs/>
          <w:noProof w:val="0"/>
          <w:u w:val="single"/>
          <w:rtl/>
        </w:rPr>
        <w:t>פלוני נ' מדינת ישראל</w:t>
      </w:r>
      <w:r>
        <w:rPr>
          <w:noProof w:val="0"/>
          <w:rtl/>
        </w:rPr>
        <w:t xml:space="preserve"> (פורסם בנבו ביום 29.4.21): </w:t>
      </w:r>
    </w:p>
    <w:p w14:paraId="62FFDDA8" w14:textId="77777777" w:rsidR="00382304" w:rsidRDefault="00382304" w:rsidP="00080515">
      <w:pPr>
        <w:spacing w:line="360" w:lineRule="auto"/>
        <w:ind w:left="652" w:right="993"/>
        <w:jc w:val="both"/>
        <w:rPr>
          <w:b/>
          <w:bCs/>
          <w:noProof w:val="0"/>
          <w:rtl/>
        </w:rPr>
      </w:pPr>
      <w:r>
        <w:rPr>
          <w:b/>
          <w:bCs/>
          <w:noProof w:val="0"/>
          <w:rtl/>
        </w:rPr>
        <w:t xml:space="preserve">"אין צורך להכביר במילים ביחס לחומרה היתרה הנודעת לביצוע עבירות בנשק לסוגיהן, אשר הפכו זה מכבר למכת מדינה (ראו למשל: </w:t>
      </w:r>
      <w:hyperlink r:id="rId26" w:history="1">
        <w:r w:rsidR="002C0BC0" w:rsidRPr="002C0BC0">
          <w:rPr>
            <w:b/>
            <w:bCs/>
            <w:noProof w:val="0"/>
            <w:color w:val="0000FF"/>
            <w:u w:val="single"/>
            <w:rtl/>
          </w:rPr>
          <w:t>ע"פ 5807/20</w:t>
        </w:r>
      </w:hyperlink>
      <w:r>
        <w:rPr>
          <w:b/>
          <w:bCs/>
          <w:noProof w:val="0"/>
          <w:rtl/>
        </w:rPr>
        <w:t xml:space="preserve"> שיבלי נ' מדינת ישראל, פסקה 8 </w:t>
      </w:r>
      <w:r w:rsidR="00BD32F9" w:rsidRPr="00BD32F9">
        <w:rPr>
          <w:b/>
          <w:bCs/>
          <w:noProof w:val="0"/>
          <w:sz w:val="22"/>
          <w:rtl/>
        </w:rPr>
        <w:t xml:space="preserve">[פורסם בנבו] </w:t>
      </w:r>
      <w:r>
        <w:rPr>
          <w:b/>
          <w:bCs/>
          <w:noProof w:val="0"/>
          <w:rtl/>
        </w:rPr>
        <w:t>(30.12.2020) (להלן: ענין שיבלי)). בפסיקה ענפה חזר ועמד בית משפט זה על הסכנה הממשית הגלומה בעבירות אלה לשלום הציבור ולביטחונו ולסדר הציבורי. לאחרונה ממש עמדתי על כך וציינתי בין היתר כי –</w:t>
      </w:r>
    </w:p>
    <w:p w14:paraId="0CE76B26" w14:textId="77777777" w:rsidR="00382304" w:rsidRDefault="00382304" w:rsidP="00080515">
      <w:pPr>
        <w:spacing w:line="360" w:lineRule="auto"/>
        <w:ind w:left="652" w:right="993"/>
        <w:jc w:val="both"/>
        <w:rPr>
          <w:b/>
          <w:bCs/>
          <w:noProof w:val="0"/>
          <w:rtl/>
        </w:rPr>
      </w:pPr>
      <w:r>
        <w:rPr>
          <w:b/>
          <w:bCs/>
          <w:noProof w:val="0"/>
          <w:rtl/>
        </w:rPr>
        <w:t>"בית משפט זה גם עמד לא פעם על הצורך להיאבק בתופעה של שימוש באלימות כדרך לפתרון סכסוכים ומחלוקות, ואת מחויבותו של בית המשפט להילחם בתופעה זו בדרך של הטלת עונשים מרתיעים ומשמעותיים שישקפו מסר מרתיע לעבריינים ולחברה כולה... כן עמדה הפסיקה על הסכנות לפרט ולחברה הכרוכות בעבירות בנשק בכלל, ובשימוש בנשק חם לפתרון סכסוכים... חומרה מיוחדת מיוחסת לאותם מקרים בהם השימוש בנשק חם נעשה בסביבת בית מגורים...</w:t>
      </w:r>
    </w:p>
    <w:p w14:paraId="2506409C" w14:textId="77777777" w:rsidR="00382304" w:rsidRDefault="00382304" w:rsidP="00080515">
      <w:pPr>
        <w:spacing w:line="360" w:lineRule="auto"/>
        <w:ind w:left="652" w:right="993"/>
        <w:jc w:val="both"/>
        <w:rPr>
          <w:b/>
          <w:bCs/>
          <w:noProof w:val="0"/>
          <w:rtl/>
        </w:rPr>
      </w:pPr>
      <w:r>
        <w:rPr>
          <w:b/>
          <w:bCs/>
          <w:noProof w:val="0"/>
          <w:rtl/>
        </w:rPr>
        <w:t>וכפי שנזדמן לי להעיר לאחרונה, התופעה של החזקת נשק שלא כדין, וכל שכן השימוש בו, מהווים איום על שלום הציבור ותשתית למגוון רחב של עבירות, ומחייבת הירתמות גם של בתי המשפט על ידי ענישה מחמירה ומרתיעה -</w:t>
      </w:r>
    </w:p>
    <w:p w14:paraId="7BE97629" w14:textId="77777777" w:rsidR="00382304" w:rsidRDefault="00382304" w:rsidP="00080515">
      <w:pPr>
        <w:spacing w:line="360" w:lineRule="auto"/>
        <w:ind w:left="652" w:right="993"/>
        <w:jc w:val="both"/>
        <w:rPr>
          <w:b/>
          <w:bCs/>
          <w:noProof w:val="0"/>
          <w:rtl/>
        </w:rPr>
      </w:pPr>
      <w:r>
        <w:rPr>
          <w:b/>
          <w:bCs/>
          <w:noProof w:val="0"/>
          <w:rtl/>
        </w:rPr>
        <w:t>'התופעה של החזקת נשק שלא כדין על ידי אזרחים מהווה איום על שלום הציבור ועל הסדר הציבורי. היא התשתית ו'הגורם בלתו איין' (</w:t>
      </w:r>
      <w:r>
        <w:rPr>
          <w:b/>
          <w:bCs/>
        </w:rPr>
        <w:t>causa sine qua non</w:t>
      </w:r>
      <w:r>
        <w:rPr>
          <w:b/>
          <w:bCs/>
          <w:noProof w:val="0"/>
          <w:rtl/>
        </w:rPr>
        <w:t>) למגוון רחב של עבירות, החל בעבירות איומים ושוד מזוין, המשך בעבירות גרימת חבלה חמורה וכלה בעבירות המתה...</w:t>
      </w:r>
    </w:p>
    <w:p w14:paraId="46670CC3" w14:textId="77777777" w:rsidR="00382304" w:rsidRDefault="00382304" w:rsidP="00080515">
      <w:pPr>
        <w:spacing w:line="360" w:lineRule="auto"/>
        <w:ind w:left="652" w:right="993"/>
        <w:jc w:val="both"/>
        <w:rPr>
          <w:b/>
          <w:bCs/>
          <w:noProof w:val="0"/>
          <w:rtl/>
        </w:rPr>
      </w:pPr>
      <w:r>
        <w:rPr>
          <w:b/>
          <w:bCs/>
          <w:noProof w:val="0"/>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p>
    <w:p w14:paraId="7A617711" w14:textId="77777777" w:rsidR="00382304" w:rsidRDefault="00382304" w:rsidP="00080515">
      <w:pPr>
        <w:spacing w:line="360" w:lineRule="auto"/>
        <w:ind w:left="652" w:right="993"/>
        <w:jc w:val="both"/>
        <w:rPr>
          <w:b/>
          <w:bCs/>
          <w:noProof w:val="0"/>
          <w:rtl/>
        </w:rPr>
      </w:pPr>
      <w:r>
        <w:rPr>
          <w:b/>
          <w:bCs/>
          <w:noProof w:val="0"/>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 (</w:t>
      </w:r>
      <w:hyperlink r:id="rId27" w:history="1">
        <w:r w:rsidR="002C0BC0" w:rsidRPr="002C0BC0">
          <w:rPr>
            <w:b/>
            <w:bCs/>
            <w:noProof w:val="0"/>
            <w:color w:val="0000FF"/>
            <w:u w:val="single"/>
            <w:rtl/>
          </w:rPr>
          <w:t>ע"פ 4406/19</w:t>
        </w:r>
      </w:hyperlink>
      <w:r>
        <w:rPr>
          <w:b/>
          <w:bCs/>
          <w:noProof w:val="0"/>
          <w:rtl/>
        </w:rPr>
        <w:t xml:space="preserve"> מדינת ישראל נ' סובח </w:t>
      </w:r>
      <w:r w:rsidR="00BD32F9" w:rsidRPr="00BD32F9">
        <w:rPr>
          <w:b/>
          <w:bCs/>
          <w:noProof w:val="0"/>
          <w:sz w:val="22"/>
          <w:rtl/>
        </w:rPr>
        <w:t xml:space="preserve">[פורסם בנבו] </w:t>
      </w:r>
      <w:r>
        <w:rPr>
          <w:b/>
          <w:bCs/>
          <w:noProof w:val="0"/>
          <w:rtl/>
        </w:rPr>
        <w:t>(5.11.2019))."</w:t>
      </w:r>
    </w:p>
    <w:p w14:paraId="0821CC67" w14:textId="77777777" w:rsidR="00382304" w:rsidRDefault="00382304" w:rsidP="00080515">
      <w:pPr>
        <w:tabs>
          <w:tab w:val="left" w:pos="7030"/>
        </w:tabs>
        <w:spacing w:line="360" w:lineRule="auto"/>
        <w:ind w:left="652" w:right="993"/>
        <w:jc w:val="both"/>
        <w:rPr>
          <w:b/>
          <w:bCs/>
          <w:noProof w:val="0"/>
          <w:rtl/>
        </w:rPr>
      </w:pPr>
      <w:r>
        <w:rPr>
          <w:b/>
          <w:bCs/>
          <w:noProof w:val="0"/>
          <w:rtl/>
        </w:rPr>
        <w:t xml:space="preserve">נוכח האמור, אכן ניכרת בפסיקה מגמה עקבית של החמרה בענישה כלפי מבצעי עבירות בנשק - "על רקע המציאות אותה אנו חווים למרבה הצער מדי יום, אנו עדים לקריאה ציבורית נרגשת להגברת האכיפה כלפי עבירות נשק – ולהחמרה במדיניות הענישה הנוהגת. 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w:t>
      </w:r>
    </w:p>
    <w:p w14:paraId="13AB3D66" w14:textId="77777777" w:rsidR="00382304" w:rsidRDefault="00382304" w:rsidP="00080515">
      <w:pPr>
        <w:tabs>
          <w:tab w:val="left" w:pos="7030"/>
        </w:tabs>
        <w:spacing w:line="360" w:lineRule="auto"/>
        <w:ind w:left="652" w:right="993"/>
        <w:jc w:val="both"/>
        <w:rPr>
          <w:b/>
          <w:bCs/>
          <w:noProof w:val="0"/>
          <w:rtl/>
        </w:rPr>
      </w:pPr>
      <w:r>
        <w:rPr>
          <w:b/>
          <w:bCs/>
          <w:noProof w:val="0"/>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 (השופט אלרון בענין סובח, בפסקאות 17-16).</w:t>
      </w:r>
    </w:p>
    <w:p w14:paraId="2B5F2B74" w14:textId="77777777" w:rsidR="00382304" w:rsidRDefault="00382304" w:rsidP="00080515">
      <w:pPr>
        <w:tabs>
          <w:tab w:val="left" w:pos="7030"/>
        </w:tabs>
        <w:spacing w:line="360" w:lineRule="auto"/>
        <w:ind w:left="652" w:right="993"/>
        <w:jc w:val="both"/>
        <w:rPr>
          <w:b/>
          <w:bCs/>
          <w:noProof w:val="0"/>
          <w:rtl/>
        </w:rPr>
      </w:pPr>
      <w:r>
        <w:rPr>
          <w:b/>
          <w:bCs/>
          <w:noProof w:val="0"/>
          <w:rtl/>
        </w:rPr>
        <w:t xml:space="preserve">וראו גם: </w:t>
      </w:r>
      <w:hyperlink r:id="rId28" w:history="1">
        <w:r w:rsidR="002C0BC0" w:rsidRPr="002C0BC0">
          <w:rPr>
            <w:b/>
            <w:bCs/>
            <w:noProof w:val="0"/>
            <w:color w:val="0000FF"/>
            <w:u w:val="single"/>
            <w:rtl/>
          </w:rPr>
          <w:t>ע"פ 5522/20</w:t>
        </w:r>
      </w:hyperlink>
      <w:r>
        <w:rPr>
          <w:b/>
          <w:bCs/>
          <w:noProof w:val="0"/>
          <w:rtl/>
        </w:rPr>
        <w:t xml:space="preserve"> חלייחל נ' מדינת ישראל, פסקה 8 </w:t>
      </w:r>
      <w:r w:rsidR="00BD32F9" w:rsidRPr="00BD32F9">
        <w:rPr>
          <w:b/>
          <w:bCs/>
          <w:noProof w:val="0"/>
          <w:sz w:val="22"/>
          <w:rtl/>
        </w:rPr>
        <w:t xml:space="preserve">[פורסם בנבו] </w:t>
      </w:r>
      <w:r>
        <w:rPr>
          <w:b/>
          <w:bCs/>
          <w:noProof w:val="0"/>
          <w:rtl/>
        </w:rPr>
        <w:t xml:space="preserve">(24.2.2021); </w:t>
      </w:r>
      <w:hyperlink r:id="rId29" w:history="1">
        <w:r w:rsidR="002C0BC0" w:rsidRPr="002C0BC0">
          <w:rPr>
            <w:b/>
            <w:bCs/>
            <w:noProof w:val="0"/>
            <w:color w:val="0000FF"/>
            <w:u w:val="single"/>
            <w:rtl/>
          </w:rPr>
          <w:t>ע"פ 147/21</w:t>
        </w:r>
      </w:hyperlink>
      <w:r>
        <w:rPr>
          <w:b/>
          <w:bCs/>
          <w:noProof w:val="0"/>
          <w:rtl/>
        </w:rPr>
        <w:t xml:space="preserve"> מדינת ישראל נ' ביטון, פסקאות 7, 10 </w:t>
      </w:r>
      <w:r w:rsidR="00BD32F9" w:rsidRPr="00BD32F9">
        <w:rPr>
          <w:b/>
          <w:bCs/>
          <w:noProof w:val="0"/>
          <w:sz w:val="22"/>
          <w:rtl/>
        </w:rPr>
        <w:t xml:space="preserve">[פורסם בנבו] </w:t>
      </w:r>
      <w:r>
        <w:rPr>
          <w:b/>
          <w:bCs/>
          <w:noProof w:val="0"/>
          <w:rtl/>
        </w:rPr>
        <w:t xml:space="preserve">(14.2.2021); ענין שיבלי, פסקה 8; </w:t>
      </w:r>
      <w:hyperlink r:id="rId30" w:history="1">
        <w:r w:rsidR="002C0BC0" w:rsidRPr="002C0BC0">
          <w:rPr>
            <w:b/>
            <w:bCs/>
            <w:noProof w:val="0"/>
            <w:color w:val="0000FF"/>
            <w:u w:val="single"/>
            <w:rtl/>
          </w:rPr>
          <w:t>ע"פ 1944/20</w:t>
        </w:r>
      </w:hyperlink>
      <w:r>
        <w:rPr>
          <w:b/>
          <w:bCs/>
          <w:noProof w:val="0"/>
          <w:rtl/>
        </w:rPr>
        <w:t xml:space="preserve"> מדינת ישראל נ' אמארה, פסקה 10 </w:t>
      </w:r>
      <w:r w:rsidR="00BD32F9" w:rsidRPr="00BD32F9">
        <w:rPr>
          <w:b/>
          <w:bCs/>
          <w:noProof w:val="0"/>
          <w:sz w:val="22"/>
          <w:rtl/>
        </w:rPr>
        <w:t xml:space="preserve">[פורסם בנבו] </w:t>
      </w:r>
      <w:r>
        <w:rPr>
          <w:b/>
          <w:bCs/>
          <w:noProof w:val="0"/>
          <w:rtl/>
        </w:rPr>
        <w:t>(2.9.2020) (להלן: ענין אמארה).</w:t>
      </w:r>
    </w:p>
    <w:p w14:paraId="7D12B9DC" w14:textId="77777777" w:rsidR="00382304" w:rsidRDefault="00382304" w:rsidP="00080515">
      <w:pPr>
        <w:spacing w:line="360" w:lineRule="auto"/>
        <w:ind w:left="84"/>
        <w:jc w:val="both"/>
        <w:rPr>
          <w:noProof w:val="0"/>
          <w:rtl/>
        </w:rPr>
      </w:pPr>
    </w:p>
    <w:p w14:paraId="52711A04" w14:textId="77777777" w:rsidR="00382304" w:rsidRDefault="00382304" w:rsidP="00080515">
      <w:pPr>
        <w:spacing w:line="360" w:lineRule="auto"/>
        <w:ind w:left="84"/>
        <w:jc w:val="both"/>
        <w:rPr>
          <w:noProof w:val="0"/>
          <w:rtl/>
        </w:rPr>
      </w:pPr>
      <w:r>
        <w:rPr>
          <w:noProof w:val="0"/>
          <w:rtl/>
        </w:rPr>
        <w:t xml:space="preserve">בעניינינו, מדובר בנאשם אשר החזיק בנשק בלתי חוקי </w:t>
      </w:r>
      <w:r>
        <w:rPr>
          <w:noProof w:val="0"/>
          <w:u w:val="single"/>
          <w:rtl/>
        </w:rPr>
        <w:t>פעמיים</w:t>
      </w:r>
      <w:r>
        <w:rPr>
          <w:noProof w:val="0"/>
          <w:rtl/>
        </w:rPr>
        <w:t xml:space="preserve"> בטווח זמנים של מספר חודשים. לדבריו עשה זאת לצורך הגנה עצמית, בשל סכסוך דמים בו מעורבת משפחתו. הנאשם אף הרחיק לכת ובמסגרת הטיעונים לעונש האשים בא כוחו (עו"ד רודה), את המדינה וטען כי לא סיפקה הגנה לנאשם ולמשפחתו. בהקשר לכך אומר כי לא ניתן להשלים עם מציאות כזו בה אזרחי המדינה לוקחים את החוק לידיים ויורים באחרים. גם לא ניתן לקבל טענה כזו כטענת הגנה. סכסוכי דמים מסוג זה יש להפסיק רק בדרכים חוקיות, על ידי פניה למשטרה, שיתוף פעולה עם הרשויות והצבעה על הגורמים המחוללים את הפשיעה. שאם לא כן, ימשיכו רחובותינו להיות "מערב פרוע" ממש. </w:t>
      </w:r>
    </w:p>
    <w:p w14:paraId="57FFF746" w14:textId="77777777" w:rsidR="00382304" w:rsidRDefault="00382304" w:rsidP="00080515">
      <w:pPr>
        <w:spacing w:line="360" w:lineRule="auto"/>
        <w:ind w:left="84"/>
        <w:jc w:val="both"/>
        <w:rPr>
          <w:noProof w:val="0"/>
          <w:rtl/>
        </w:rPr>
      </w:pPr>
    </w:p>
    <w:p w14:paraId="11BE20E2" w14:textId="77777777" w:rsidR="00382304" w:rsidRDefault="00382304" w:rsidP="00080515">
      <w:pPr>
        <w:spacing w:line="360" w:lineRule="auto"/>
        <w:ind w:left="84"/>
        <w:jc w:val="both"/>
        <w:rPr>
          <w:noProof w:val="0"/>
          <w:rtl/>
        </w:rPr>
      </w:pPr>
      <w:r>
        <w:rPr>
          <w:noProof w:val="0"/>
          <w:rtl/>
        </w:rPr>
        <w:t>דברים דומים נטענו ב</w:t>
      </w:r>
      <w:hyperlink r:id="rId31" w:history="1">
        <w:r w:rsidR="002C0BC0" w:rsidRPr="002C0BC0">
          <w:rPr>
            <w:noProof w:val="0"/>
            <w:color w:val="0000FF"/>
            <w:u w:val="single"/>
            <w:rtl/>
          </w:rPr>
          <w:t>ת"פ (מחוזי ב"ש) 54607-07-19</w:t>
        </w:r>
      </w:hyperlink>
      <w:r>
        <w:rPr>
          <w:noProof w:val="0"/>
          <w:rtl/>
        </w:rPr>
        <w:t xml:space="preserve"> </w:t>
      </w:r>
      <w:r>
        <w:rPr>
          <w:b/>
          <w:bCs/>
          <w:noProof w:val="0"/>
          <w:u w:val="single"/>
          <w:rtl/>
        </w:rPr>
        <w:t>מדינת ישראל נ' יעקוב ג'בור</w:t>
      </w:r>
      <w:r>
        <w:rPr>
          <w:noProof w:val="0"/>
          <w:rtl/>
        </w:rPr>
        <w:t xml:space="preserve"> </w:t>
      </w:r>
      <w:r w:rsidR="00BD32F9" w:rsidRPr="00BD32F9">
        <w:rPr>
          <w:noProof w:val="0"/>
          <w:sz w:val="22"/>
          <w:rtl/>
        </w:rPr>
        <w:t xml:space="preserve">[פורסם בנבו] </w:t>
      </w:r>
      <w:r>
        <w:rPr>
          <w:noProof w:val="0"/>
          <w:rtl/>
        </w:rPr>
        <w:t xml:space="preserve">(ניתן ביום 12.1.20). וכך נאמר שם מפי כב' השופט ליברדרו: </w:t>
      </w:r>
      <w:r>
        <w:rPr>
          <w:b/>
          <w:bCs/>
          <w:noProof w:val="0"/>
          <w:rtl/>
        </w:rPr>
        <w:t xml:space="preserve">"למותר לציין כי אין בדברי הנאשם לפיהם רכש את הנשק מתושב הרשות הפלשתינאית לצורכי "תחושת ביטחון" כדי להצדיק הקלה עמו, וזאת אף אם נקבל טענתו לפיה לא תכנן להשתמש בנשק. אין לקבל תפיסה שאותה הציג הנאשם לפיה לצורך תחושת ביטחון מחזיקים בנשק, לא כל שכן נשק שהוא למעשה רובה התקפי. תחושת ביטחון יש להשיג באמצעים כשרים ובדרכים חוקיות וככל שנדרש יש לפנות לרשויות החוק". </w:t>
      </w:r>
    </w:p>
    <w:p w14:paraId="46003985" w14:textId="77777777" w:rsidR="00382304" w:rsidRDefault="00382304" w:rsidP="00080515">
      <w:pPr>
        <w:spacing w:line="360" w:lineRule="auto"/>
        <w:ind w:left="84"/>
        <w:jc w:val="both"/>
        <w:rPr>
          <w:noProof w:val="0"/>
          <w:rtl/>
        </w:rPr>
      </w:pPr>
    </w:p>
    <w:p w14:paraId="11AB7EBB" w14:textId="77777777" w:rsidR="00382304" w:rsidRDefault="00382304" w:rsidP="00080515">
      <w:pPr>
        <w:spacing w:line="360" w:lineRule="auto"/>
        <w:ind w:left="84"/>
        <w:jc w:val="both"/>
        <w:rPr>
          <w:noProof w:val="0"/>
          <w:rtl/>
        </w:rPr>
      </w:pPr>
      <w:r>
        <w:rPr>
          <w:noProof w:val="0"/>
          <w:rtl/>
        </w:rPr>
        <w:t xml:space="preserve">חומרה יתרה יש בעובדה כי הנאשם ביצע את עבירת הנשק בפעם השנייה, </w:t>
      </w:r>
      <w:r>
        <w:rPr>
          <w:noProof w:val="0"/>
          <w:u w:val="single"/>
          <w:rtl/>
        </w:rPr>
        <w:t>תוך כדי הליך משפטי תלוי ועומד, כאשר הוא מפר תנאים מגבילים</w:t>
      </w:r>
      <w:r>
        <w:rPr>
          <w:noProof w:val="0"/>
          <w:rtl/>
        </w:rPr>
        <w:t xml:space="preserve">. במסגרת תיק זה הוא נעצר לימים ספורים ושוחרר ביום 30.10.22 בתנאי מעצר בית לבית משפחת </w:t>
      </w:r>
      <w:r>
        <w:t>XXX</w:t>
      </w:r>
      <w:r>
        <w:rPr>
          <w:noProof w:val="0"/>
          <w:rtl/>
        </w:rPr>
        <w:t xml:space="preserve"> ב</w:t>
      </w:r>
      <w:r>
        <w:t>XXX</w:t>
      </w:r>
      <w:r>
        <w:rPr>
          <w:noProof w:val="0"/>
          <w:rtl/>
        </w:rPr>
        <w:t>, כאשר אמו נקבעה כזו שתפקח עליו. כחודשיים וחצי אחר כך הוא נמצא שוב בביתו ב</w:t>
      </w:r>
      <w:r>
        <w:t>XXX</w:t>
      </w:r>
      <w:r>
        <w:rPr>
          <w:noProof w:val="0"/>
          <w:rtl/>
        </w:rPr>
        <w:t xml:space="preserve"> (מקום ביצוע העבירה המקורית), כשהוא מבצע את אותה עבירה בדיוק. דברים אלו מלמדים על נער שלא הפנים את חומרת מעשיו ולא הורתע ממעורבות גורמי אכיפת החוק בחייו, כמו כן יש בכך כדי להצביע על זלזול בתנאים שהוטלו עליו ואי קבלת סמכות בית המשפט.  בנסיבות אלה, בבואי לגזור את דינו, אין ספק כי יש לתת משקל משמעותי לשיקולי גמול והרתעה.</w:t>
      </w:r>
    </w:p>
    <w:p w14:paraId="7B29967C" w14:textId="77777777" w:rsidR="00382304" w:rsidRDefault="00382304" w:rsidP="00080515">
      <w:pPr>
        <w:spacing w:line="360" w:lineRule="auto"/>
        <w:jc w:val="both"/>
        <w:rPr>
          <w:b/>
          <w:bCs/>
          <w:noProof w:val="0"/>
          <w:u w:val="single"/>
          <w:rtl/>
        </w:rPr>
      </w:pPr>
    </w:p>
    <w:p w14:paraId="057F08FD" w14:textId="77777777" w:rsidR="00382304" w:rsidRDefault="00382304" w:rsidP="00080515">
      <w:pPr>
        <w:spacing w:line="360" w:lineRule="auto"/>
        <w:jc w:val="both"/>
        <w:rPr>
          <w:b/>
          <w:bCs/>
          <w:noProof w:val="0"/>
          <w:u w:val="single"/>
          <w:rtl/>
        </w:rPr>
      </w:pPr>
      <w:r>
        <w:rPr>
          <w:b/>
          <w:bCs/>
          <w:noProof w:val="0"/>
          <w:u w:val="single"/>
          <w:rtl/>
        </w:rPr>
        <w:t xml:space="preserve">נסיבות אישיות וסיכויי שיקום: </w:t>
      </w:r>
    </w:p>
    <w:p w14:paraId="758881C9" w14:textId="77777777" w:rsidR="00382304" w:rsidRDefault="00382304" w:rsidP="00080515">
      <w:pPr>
        <w:spacing w:line="360" w:lineRule="auto"/>
        <w:jc w:val="both"/>
        <w:rPr>
          <w:noProof w:val="0"/>
          <w:rtl/>
        </w:rPr>
      </w:pPr>
      <w:r>
        <w:rPr>
          <w:noProof w:val="0"/>
          <w:rtl/>
        </w:rPr>
        <w:t xml:space="preserve">כאמור משפחתו של הנאשם מצויה במרכזו של סכסוך דמים קשה ועקוב מדם אשר הוביל לרציחת אב המשפחה והדוד. כמו כן בוצע ירי אל עבר בית המשפחה ואחד האחים נפגע ברגלו. לדברי הנאשם הוא ואחיו היוו מטרות לפגיעה מספר פעמים. נראה כי הסכסוך רחוק מלהסתיים עד כדי כך שהנאשם ומשפחתו טענו כי ......................................... </w:t>
      </w:r>
    </w:p>
    <w:p w14:paraId="10E7FED9" w14:textId="77777777" w:rsidR="00382304" w:rsidRDefault="00382304" w:rsidP="00080515">
      <w:pPr>
        <w:spacing w:line="360" w:lineRule="auto"/>
        <w:jc w:val="both"/>
        <w:rPr>
          <w:noProof w:val="0"/>
          <w:rtl/>
        </w:rPr>
      </w:pPr>
      <w:r>
        <w:rPr>
          <w:noProof w:val="0"/>
          <w:rtl/>
        </w:rPr>
        <w:t xml:space="preserve">פלוני הפסיק ללמוד בבית הספר בכיתה ו', לדבריו בשל החשש לחייו, מאז הוא מסתגר בביתו המבוצר ב </w:t>
      </w:r>
      <w:r>
        <w:t>xxxxxx</w:t>
      </w:r>
      <w:r>
        <w:rPr>
          <w:noProof w:val="0"/>
          <w:rtl/>
        </w:rPr>
        <w:t xml:space="preserve"> כדי לשמור שלא ייפגע. </w:t>
      </w:r>
    </w:p>
    <w:p w14:paraId="2F288401" w14:textId="77777777" w:rsidR="00382304" w:rsidRDefault="00382304" w:rsidP="00080515">
      <w:pPr>
        <w:spacing w:line="360" w:lineRule="auto"/>
        <w:jc w:val="both"/>
        <w:rPr>
          <w:noProof w:val="0"/>
          <w:rtl/>
        </w:rPr>
      </w:pPr>
    </w:p>
    <w:p w14:paraId="405CE48B" w14:textId="77777777" w:rsidR="00382304" w:rsidRDefault="00382304" w:rsidP="00080515">
      <w:pPr>
        <w:spacing w:line="360" w:lineRule="auto"/>
        <w:jc w:val="both"/>
        <w:rPr>
          <w:noProof w:val="0"/>
          <w:rtl/>
        </w:rPr>
      </w:pPr>
      <w:r>
        <w:rPr>
          <w:noProof w:val="0"/>
          <w:rtl/>
        </w:rPr>
        <w:t>אין ספק כי מדובר בנסיבות אישיות קשות ומורכבות מאוד אותם יש לקחת בחשבון. לצד זאת, לא ניתן לומר כי לא נעשו מאמצים לסייע לפלוני. שרות המבחן ניסה להושיט לו יד: תחילה הוזמן לפגישות במטרה לבנות תכנית שיקום, אך הוא ואמו לא שיתפו פעולה עם נתיב זה. לאחר מכן, כאשר נעצר שוב, הוצע לו להיקלט במעון נעול שם יהיה מוגן, ילמד נורמות חדשות ויעבור טיפול משמעותי. ברם, הנאשם לא השכיל לאחוז ביד המושטת, ושב ודחה את הסיוע שהוצע לו. בנוסף, לא הרבה לפרט על העבירות שביצע, הוא טען כי בפעם הראשונה החזיק את הנשק עבור חבר אך סרב למסור מי זה אותו חבר. בנסיבות אלה, אני מתרשמת מקיומם של גורמי סיכון רבים ואין פלא כי לשירות המבחן אין המלצה טיפולית, שכן אין כיום נתיב שיקומי לילך בו.</w:t>
      </w:r>
    </w:p>
    <w:p w14:paraId="46B87B97" w14:textId="77777777" w:rsidR="00382304" w:rsidRDefault="00382304" w:rsidP="00080515">
      <w:pPr>
        <w:tabs>
          <w:tab w:val="left" w:pos="8306"/>
        </w:tabs>
        <w:spacing w:line="360" w:lineRule="auto"/>
        <w:jc w:val="both"/>
        <w:rPr>
          <w:noProof w:val="0"/>
          <w:rtl/>
        </w:rPr>
      </w:pPr>
    </w:p>
    <w:p w14:paraId="2E6A3A8E" w14:textId="77777777" w:rsidR="00382304" w:rsidRPr="00D44B16" w:rsidRDefault="00382304" w:rsidP="00080515">
      <w:pPr>
        <w:tabs>
          <w:tab w:val="left" w:pos="8306"/>
        </w:tabs>
        <w:spacing w:line="360" w:lineRule="auto"/>
        <w:jc w:val="both"/>
        <w:rPr>
          <w:rFonts w:ascii="Calibri" w:hAnsi="Calibri"/>
          <w:noProof w:val="0"/>
          <w:rtl/>
        </w:rPr>
      </w:pPr>
      <w:r>
        <w:rPr>
          <w:noProof w:val="0"/>
          <w:rtl/>
        </w:rPr>
        <w:t xml:space="preserve">לצד זאת, נתתי דעתי לגילו הצעיר של פלוני, הוא היה כבן 15 בעת ביצוע העבירות, ולכן </w:t>
      </w:r>
      <w:r>
        <w:rPr>
          <w:noProof w:val="0"/>
          <w:u w:val="single"/>
          <w:rtl/>
        </w:rPr>
        <w:t>אין</w:t>
      </w:r>
      <w:r>
        <w:rPr>
          <w:noProof w:val="0"/>
          <w:rtl/>
        </w:rPr>
        <w:t xml:space="preserve"> להחמיר עמו כמו עם נער הקרוב לגיל בגירות : </w:t>
      </w:r>
      <w:r>
        <w:rPr>
          <w:b/>
          <w:bCs/>
          <w:noProof w:val="0"/>
          <w:rtl/>
        </w:rPr>
        <w:t>"ככל שהקטין קרוב יותר לבגירות בעת ביצוע המעשים, מוצדק יותר להתחשב בשיקולי הענישה הקבועים ב</w:t>
      </w:r>
      <w:hyperlink r:id="rId32" w:history="1">
        <w:r w:rsidR="002C0BC0" w:rsidRPr="002C0BC0">
          <w:rPr>
            <w:b/>
            <w:bCs/>
            <w:noProof w:val="0"/>
            <w:color w:val="0000FF"/>
            <w:u w:val="single"/>
            <w:rtl/>
          </w:rPr>
          <w:t>חוק העונשין</w:t>
        </w:r>
      </w:hyperlink>
      <w:r>
        <w:rPr>
          <w:b/>
          <w:bCs/>
          <w:noProof w:val="0"/>
          <w:rtl/>
        </w:rPr>
        <w:t>, ובעיקר בעיקרון ההלימה בין חומרת המעשה ומידת האשם לבין חומרת העונש"</w:t>
      </w:r>
      <w:r>
        <w:rPr>
          <w:noProof w:val="0"/>
          <w:rtl/>
        </w:rPr>
        <w:t xml:space="preserve"> (כב' השופט </w:t>
      </w:r>
      <w:r>
        <w:rPr>
          <w:b/>
          <w:noProof w:val="0"/>
          <w:rtl/>
        </w:rPr>
        <w:t>ע' פוגלמן</w:t>
      </w:r>
      <w:r>
        <w:rPr>
          <w:noProof w:val="0"/>
          <w:rtl/>
        </w:rPr>
        <w:t xml:space="preserve"> ב</w:t>
      </w:r>
      <w:hyperlink r:id="rId33" w:history="1">
        <w:r w:rsidR="002C0BC0" w:rsidRPr="002C0BC0">
          <w:rPr>
            <w:noProof w:val="0"/>
            <w:color w:val="0000FF"/>
            <w:u w:val="single"/>
            <w:rtl/>
          </w:rPr>
          <w:t>ע"פ 8144/13</w:t>
        </w:r>
      </w:hyperlink>
      <w:r>
        <w:rPr>
          <w:noProof w:val="0"/>
          <w:rtl/>
        </w:rPr>
        <w:t xml:space="preserve"> </w:t>
      </w:r>
      <w:r>
        <w:rPr>
          <w:bCs/>
          <w:noProof w:val="0"/>
          <w:u w:val="single"/>
          <w:rtl/>
        </w:rPr>
        <w:t>פלוני נ' מדינת ישראל</w:t>
      </w:r>
      <w:r>
        <w:rPr>
          <w:b/>
          <w:noProof w:val="0"/>
          <w:rtl/>
        </w:rPr>
        <w:t xml:space="preserve">, </w:t>
      </w:r>
      <w:r>
        <w:rPr>
          <w:noProof w:val="0"/>
          <w:rtl/>
        </w:rPr>
        <w:t xml:space="preserve">[פורסם בנבו] פסקה 8 (10.3.2015)). </w:t>
      </w:r>
    </w:p>
    <w:p w14:paraId="3C55263D" w14:textId="77777777" w:rsidR="00382304" w:rsidRDefault="00382304" w:rsidP="00080515">
      <w:pPr>
        <w:spacing w:line="360" w:lineRule="auto"/>
        <w:jc w:val="both"/>
        <w:rPr>
          <w:noProof w:val="0"/>
          <w:highlight w:val="yellow"/>
          <w:rtl/>
        </w:rPr>
      </w:pPr>
      <w:r>
        <w:rPr>
          <w:noProof w:val="0"/>
          <w:rtl/>
        </w:rPr>
        <w:t>כמו כן יש לזקוף לזכותו את העובדה שאין לו עבר פלילי, את העובדה שהודה, לקח אחריות וחסך בזמן שיפוטי.</w:t>
      </w:r>
    </w:p>
    <w:p w14:paraId="29A8C508" w14:textId="77777777" w:rsidR="00382304" w:rsidRDefault="00382304" w:rsidP="00B27CAD">
      <w:pPr>
        <w:spacing w:line="360" w:lineRule="auto"/>
        <w:jc w:val="both"/>
        <w:rPr>
          <w:b/>
          <w:bCs/>
          <w:noProof w:val="0"/>
          <w:rtl/>
        </w:rPr>
      </w:pPr>
      <w:r>
        <w:rPr>
          <w:noProof w:val="0"/>
          <w:rtl/>
        </w:rPr>
        <w:t xml:space="preserve">כפי שטענו הסנגורים מדובר במי שנולד לסכסוך אלים וקשה ושילם על כך ברצח אביו. מגיל צעיר הוא חי בחרדה לאובדן חייו וחיי יקיריו תוך אובדן חופש כמעט באופן מוחלט, הוא אינו  פוקד את מסגרות החינוך וכמעט ואינו מבלה עם בני גילו. מדובר בנסיבות קשות במיוחד ויש לתת להם משקל בגזר דינו. </w:t>
      </w:r>
    </w:p>
    <w:p w14:paraId="4A9B99B3" w14:textId="77777777" w:rsidR="00382304" w:rsidRDefault="00382304" w:rsidP="00B27CAD">
      <w:pPr>
        <w:spacing w:line="360" w:lineRule="auto"/>
        <w:jc w:val="both"/>
        <w:rPr>
          <w:b/>
          <w:bCs/>
          <w:noProof w:val="0"/>
          <w:rtl/>
        </w:rPr>
      </w:pPr>
    </w:p>
    <w:p w14:paraId="4E64410B" w14:textId="77777777" w:rsidR="00382304" w:rsidRDefault="00382304" w:rsidP="00B27CAD">
      <w:pPr>
        <w:spacing w:line="360" w:lineRule="auto"/>
        <w:jc w:val="both"/>
        <w:rPr>
          <w:noProof w:val="0"/>
          <w:rtl/>
        </w:rPr>
      </w:pPr>
      <w:r>
        <w:rPr>
          <w:b/>
          <w:bCs/>
          <w:noProof w:val="0"/>
          <w:rtl/>
        </w:rPr>
        <w:t xml:space="preserve">ביחס לבקשת הפרקליטות להטיל חלק מהקנס על אם הנאשם, </w:t>
      </w:r>
      <w:r>
        <w:rPr>
          <w:noProof w:val="0"/>
          <w:rtl/>
        </w:rPr>
        <w:t>דבר זה מתאפשר לאור</w:t>
      </w:r>
      <w:r>
        <w:rPr>
          <w:b/>
          <w:bCs/>
          <w:noProof w:val="0"/>
          <w:rtl/>
        </w:rPr>
        <w:t xml:space="preserve"> </w:t>
      </w:r>
      <w:r>
        <w:rPr>
          <w:noProof w:val="0"/>
          <w:rtl/>
        </w:rPr>
        <w:t>תיקון 20 ל</w:t>
      </w:r>
      <w:hyperlink r:id="rId34" w:history="1">
        <w:r w:rsidR="002C0BC0" w:rsidRPr="002C0BC0">
          <w:rPr>
            <w:noProof w:val="0"/>
            <w:color w:val="0000FF"/>
            <w:u w:val="single"/>
            <w:rtl/>
          </w:rPr>
          <w:t>חוק הנוער (שפיטה ענישה ודרכי טיפול)</w:t>
        </w:r>
      </w:hyperlink>
      <w:r>
        <w:rPr>
          <w:noProof w:val="0"/>
          <w:rtl/>
        </w:rPr>
        <w:t xml:space="preserve"> התשל"א 1971, בו הוסף </w:t>
      </w:r>
      <w:hyperlink r:id="rId35" w:history="1">
        <w:r w:rsidR="001421E3" w:rsidRPr="001421E3">
          <w:rPr>
            <w:rStyle w:val="Hyperlink"/>
            <w:noProof w:val="0"/>
            <w:rtl/>
          </w:rPr>
          <w:t>סעיף 24 א</w:t>
        </w:r>
      </w:hyperlink>
      <w:r>
        <w:rPr>
          <w:noProof w:val="0"/>
          <w:rtl/>
        </w:rPr>
        <w:t xml:space="preserve"> המאפשר הטלת סנקציות כספיות על ההורים אף במקרה של הרשעה. בדברי ההסבר לתיקון נכתב כי מטרתה של הצעת החוק היא להגביר את מעורבותם הפעילה של ההורים בחייו של הילד ובמניעת עבריינות, דבר שייטיב עם הקטין ועם החברה כולה. </w:t>
      </w:r>
    </w:p>
    <w:p w14:paraId="772014BD" w14:textId="77777777" w:rsidR="00382304" w:rsidRDefault="00382304" w:rsidP="00080515">
      <w:pPr>
        <w:spacing w:after="200" w:line="360" w:lineRule="auto"/>
        <w:jc w:val="both"/>
        <w:rPr>
          <w:noProof w:val="0"/>
          <w:rtl/>
        </w:rPr>
      </w:pPr>
      <w:r>
        <w:rPr>
          <w:noProof w:val="0"/>
          <w:rtl/>
        </w:rPr>
        <w:t xml:space="preserve">עניין זה אף בא לידי ביטוי בתזכיר </w:t>
      </w:r>
      <w:hyperlink r:id="rId36" w:history="1">
        <w:r w:rsidR="002C0BC0" w:rsidRPr="002C0BC0">
          <w:rPr>
            <w:noProof w:val="0"/>
            <w:color w:val="0000FF"/>
            <w:u w:val="single"/>
            <w:rtl/>
          </w:rPr>
          <w:t>חוק הנוער (שפיטה ענישה ודרכי טיפול)</w:t>
        </w:r>
      </w:hyperlink>
      <w:r>
        <w:rPr>
          <w:noProof w:val="0"/>
          <w:rtl/>
        </w:rPr>
        <w:t xml:space="preserve"> (תיקון)(דרכי טיפול לאחר הרשעה) בו נכתב כי </w:t>
      </w:r>
      <w:r>
        <w:rPr>
          <w:b/>
          <w:bCs/>
          <w:noProof w:val="0"/>
          <w:rtl/>
        </w:rPr>
        <w:t>"האפשרות להטיל על הורה קנס או פיצוי גם במקרה של הרשעה עשויה,</w:t>
      </w:r>
      <w:r>
        <w:rPr>
          <w:noProof w:val="0"/>
          <w:rtl/>
        </w:rPr>
        <w:t xml:space="preserve"> </w:t>
      </w:r>
      <w:r>
        <w:rPr>
          <w:b/>
          <w:bCs/>
          <w:noProof w:val="0"/>
          <w:rtl/>
        </w:rPr>
        <w:t xml:space="preserve">לפחות בחלק מהמקרים, להעביר לקטין ולבני משפחתו את המסר על פיו לקטין ולבני משפחתו אחריות כלפי החברה עקב העבירה שנגרמה". </w:t>
      </w:r>
      <w:r>
        <w:rPr>
          <w:noProof w:val="0"/>
          <w:rtl/>
        </w:rPr>
        <w:t>בנוסף נכתב בתזכיר החוק כי מהלך זה עשוי להחזיר את האחריות להורים ואף לחזק את סמכותם מול הקטין.</w:t>
      </w:r>
    </w:p>
    <w:p w14:paraId="24C89D62" w14:textId="77777777" w:rsidR="00382304" w:rsidRDefault="00382304" w:rsidP="00080515">
      <w:pPr>
        <w:spacing w:after="200" w:line="360" w:lineRule="auto"/>
        <w:jc w:val="both"/>
        <w:rPr>
          <w:noProof w:val="0"/>
          <w:rtl/>
        </w:rPr>
      </w:pPr>
      <w:r>
        <w:rPr>
          <w:noProof w:val="0"/>
          <w:rtl/>
        </w:rPr>
        <w:t>על מנת להשית קנס או חיוב כספי אחר על ההורים יש לתת להם הזדמנות נאותה להשמיע את טענותיהם. בעניינינו ב"כ הקטין השמיעו את הטענות בשם האם.</w:t>
      </w:r>
    </w:p>
    <w:p w14:paraId="3F4A82DB" w14:textId="77777777" w:rsidR="00382304" w:rsidRDefault="00382304" w:rsidP="00080515">
      <w:pPr>
        <w:spacing w:after="200" w:line="360" w:lineRule="auto"/>
        <w:jc w:val="both"/>
        <w:rPr>
          <w:noProof w:val="0"/>
          <w:rtl/>
        </w:rPr>
      </w:pPr>
      <w:r>
        <w:rPr>
          <w:noProof w:val="0"/>
          <w:rtl/>
        </w:rPr>
        <w:t>לאחר ששמעתי את הטענות, שוכנעתי כי יש להטיל חלק מהקנס על אמו של הנאשם. על אף טענותיהם של הסנגורים כי אמו של נאשם היא הגורם אשר יכול לסייע בשיקומו, נראה כי לא הצליחה לעשות כן עד כה. להיפך, היא לא מנעה ממנו להחזיק בנשק, בביתה, פעמיים. על אף שהייתה אמורה לפקח עליו במסגרת התנאים המגבילים ב</w:t>
      </w:r>
      <w:r>
        <w:rPr>
          <w:rFonts w:ascii="Calibri" w:hAnsi="Calibri"/>
        </w:rPr>
        <w:t>xxxxxxx</w:t>
      </w:r>
      <w:r>
        <w:rPr>
          <w:noProof w:val="0"/>
          <w:rtl/>
        </w:rPr>
        <w:t xml:space="preserve">, היא אפשרה לו להפר אותם, לשוב לבית בו ביצע את העבירה בפעם הראשונה, ולהחזיק בנשק בלתי חוקי פעם נוספת. על כן, סבורני כי נכון מאד להשית עליה קנס כספי, אשר יבטא את אחריותה כלפי החברה. </w:t>
      </w:r>
    </w:p>
    <w:p w14:paraId="288AE5A0" w14:textId="77777777" w:rsidR="00382304" w:rsidRDefault="00382304" w:rsidP="00080515">
      <w:pPr>
        <w:spacing w:after="200" w:line="360" w:lineRule="auto"/>
        <w:jc w:val="both"/>
        <w:rPr>
          <w:rFonts w:ascii="Calibri" w:hAnsi="Calibri"/>
        </w:rPr>
      </w:pPr>
      <w:r>
        <w:rPr>
          <w:noProof w:val="0"/>
          <w:rtl/>
        </w:rPr>
        <w:t>כפי שציינתי לעיל, כל המערכות צריכות לשלב ידיים במלחמה נגד עבירות הנשק. אין די בפעילות משטרתית או בענישה מחמירה. יש לרתום את גורמי החינוך בקהילה למאמץ המניעה, ועוד לפני כן: את ההורים. בהיבט זה הטלת קנס על אמו של הנאשם יהווה מסר משמעותי עבורה ועבור הורי קטינים אחרים: עליהם לשוב ולהפעיל סמכותם כלפי ילדיהם, ולמנוע מהם לבצע עבירות בכלל ועבירות נשק בפרט.</w:t>
      </w:r>
    </w:p>
    <w:p w14:paraId="7397EB56" w14:textId="77777777" w:rsidR="00382304" w:rsidRDefault="00382304" w:rsidP="00080515">
      <w:pPr>
        <w:spacing w:after="200" w:line="360" w:lineRule="auto"/>
        <w:jc w:val="both"/>
        <w:rPr>
          <w:b/>
          <w:bCs/>
          <w:noProof w:val="0"/>
          <w:u w:val="single"/>
          <w:rtl/>
        </w:rPr>
      </w:pPr>
      <w:r>
        <w:rPr>
          <w:b/>
          <w:bCs/>
          <w:noProof w:val="0"/>
          <w:u w:val="single"/>
          <w:rtl/>
        </w:rPr>
        <w:t>סוף דבר:</w:t>
      </w:r>
    </w:p>
    <w:p w14:paraId="262C35A2" w14:textId="77777777" w:rsidR="00382304" w:rsidRDefault="00382304" w:rsidP="00080515">
      <w:pPr>
        <w:spacing w:after="200" w:line="360" w:lineRule="auto"/>
        <w:jc w:val="both"/>
        <w:rPr>
          <w:noProof w:val="0"/>
          <w:rtl/>
        </w:rPr>
      </w:pPr>
      <w:r>
        <w:rPr>
          <w:noProof w:val="0"/>
          <w:rtl/>
        </w:rPr>
        <w:t xml:space="preserve">לאור כל האמור לעיל, בשים לב לחומרת העבירות ולסיכון הטמון בהן, לעובדה שבוצעו פעמיים ותוך הפרת תנאים מגבילים, ולאור הצורך הדוחק לנקות את רחובותינו מנשק לא חוקי,  אל מול נסיבות חייו הקשות במיוחד של הנאשם, עברו הנקי וגילו הצעיר יחסית, הגעתי למסקנה כי האיזון הראוי בעניינו יהיה בהרשעתו, הטלת תקופה משמעותית של מאסר בפועל, (אך לא מלוא התקופה לה עתרה המאשימה), כמו כן אטיל מאסר מותנה צופה פני עתיד וקנס על הנאשם ועל אמו. </w:t>
      </w:r>
    </w:p>
    <w:p w14:paraId="09125734" w14:textId="77777777" w:rsidR="00382304" w:rsidRDefault="00382304" w:rsidP="00080515">
      <w:pPr>
        <w:spacing w:after="200" w:line="360" w:lineRule="auto"/>
        <w:jc w:val="both"/>
        <w:rPr>
          <w:b/>
          <w:bCs/>
          <w:noProof w:val="0"/>
          <w:u w:val="single"/>
          <w:rtl/>
        </w:rPr>
      </w:pPr>
      <w:r>
        <w:rPr>
          <w:b/>
          <w:bCs/>
          <w:noProof w:val="0"/>
          <w:u w:val="single"/>
          <w:rtl/>
        </w:rPr>
        <w:t xml:space="preserve">לפיכך, אני מחליטה להרשיע את פלוני לפי </w:t>
      </w:r>
      <w:hyperlink r:id="rId37" w:history="1">
        <w:r w:rsidR="001421E3" w:rsidRPr="001421E3">
          <w:rPr>
            <w:rStyle w:val="Hyperlink"/>
            <w:b/>
            <w:bCs/>
            <w:noProof w:val="0"/>
            <w:rtl/>
          </w:rPr>
          <w:t>סעיף 24(1)</w:t>
        </w:r>
      </w:hyperlink>
      <w:r>
        <w:rPr>
          <w:b/>
          <w:bCs/>
          <w:noProof w:val="0"/>
          <w:u w:val="single"/>
          <w:rtl/>
        </w:rPr>
        <w:t xml:space="preserve"> ל</w:t>
      </w:r>
      <w:hyperlink r:id="rId38" w:history="1">
        <w:r w:rsidR="002C0BC0" w:rsidRPr="002C0BC0">
          <w:rPr>
            <w:b/>
            <w:bCs/>
            <w:noProof w:val="0"/>
            <w:color w:val="0000FF"/>
            <w:u w:val="single"/>
            <w:rtl/>
          </w:rPr>
          <w:t>חוק הנוער (שפיטה, ענישה ודרכי טיפול)</w:t>
        </w:r>
      </w:hyperlink>
      <w:r>
        <w:rPr>
          <w:b/>
          <w:bCs/>
          <w:noProof w:val="0"/>
          <w:u w:val="single"/>
          <w:rtl/>
        </w:rPr>
        <w:t xml:space="preserve"> תשל"א 1971 וגוזרת את דינו כדלקמן:</w:t>
      </w:r>
    </w:p>
    <w:p w14:paraId="1FA82715" w14:textId="77777777" w:rsidR="00382304" w:rsidRDefault="00382304" w:rsidP="00080515">
      <w:pPr>
        <w:pStyle w:val="ad"/>
        <w:numPr>
          <w:ilvl w:val="0"/>
          <w:numId w:val="1"/>
        </w:numPr>
        <w:spacing w:line="360" w:lineRule="auto"/>
        <w:jc w:val="both"/>
        <w:rPr>
          <w:rFonts w:ascii="David" w:hAnsi="David" w:cs="David"/>
          <w:b/>
          <w:bCs/>
          <w:sz w:val="24"/>
          <w:szCs w:val="24"/>
          <w:rtl/>
        </w:rPr>
      </w:pPr>
      <w:r>
        <w:rPr>
          <w:rFonts w:ascii="David" w:hAnsi="David" w:cs="David"/>
          <w:b/>
          <w:bCs/>
          <w:sz w:val="24"/>
          <w:szCs w:val="24"/>
          <w:rtl/>
        </w:rPr>
        <w:t xml:space="preserve">אני מטילה על פלוני 10 חודשי מאסר בפועל בניכוי ימי מעצרו החל מיום 27.11.22-30.11.22 ומיום 18.1.23 עד היום. </w:t>
      </w:r>
    </w:p>
    <w:p w14:paraId="10F00528" w14:textId="77777777" w:rsidR="00382304" w:rsidRDefault="00382304" w:rsidP="00080515">
      <w:pPr>
        <w:pStyle w:val="ad"/>
        <w:numPr>
          <w:ilvl w:val="0"/>
          <w:numId w:val="1"/>
        </w:numPr>
        <w:spacing w:after="200" w:line="360" w:lineRule="auto"/>
        <w:jc w:val="both"/>
        <w:rPr>
          <w:rFonts w:cs="David"/>
          <w:b/>
          <w:bCs/>
          <w:sz w:val="24"/>
          <w:szCs w:val="24"/>
          <w:rtl/>
        </w:rPr>
      </w:pPr>
      <w:r>
        <w:rPr>
          <w:rFonts w:cs="David"/>
          <w:b/>
          <w:bCs/>
          <w:sz w:val="24"/>
          <w:szCs w:val="24"/>
          <w:rtl/>
        </w:rPr>
        <w:t>אני מטילה על פלוני 6 חודשי מאסר אותם ירצה אם תוך 3 שנים מיום שחרורו יעבור עבירות נשק מכל סוג, לרבות סיוע או ניסיון לעברן.</w:t>
      </w:r>
    </w:p>
    <w:p w14:paraId="63028FAB" w14:textId="77777777" w:rsidR="00382304" w:rsidRDefault="00382304" w:rsidP="00080515">
      <w:pPr>
        <w:pStyle w:val="ad"/>
        <w:numPr>
          <w:ilvl w:val="0"/>
          <w:numId w:val="1"/>
        </w:numPr>
        <w:spacing w:line="360" w:lineRule="auto"/>
        <w:jc w:val="both"/>
        <w:rPr>
          <w:rFonts w:ascii="David" w:hAnsi="David" w:cs="David"/>
          <w:b/>
          <w:bCs/>
          <w:sz w:val="24"/>
          <w:szCs w:val="24"/>
        </w:rPr>
      </w:pPr>
      <w:r>
        <w:rPr>
          <w:rFonts w:cs="David"/>
          <w:b/>
          <w:bCs/>
          <w:sz w:val="24"/>
          <w:szCs w:val="24"/>
          <w:rtl/>
        </w:rPr>
        <w:t xml:space="preserve">פלוני ישלם קנס בסך 4000 ₪ או 40 ימי מאסר תמורתו. </w:t>
      </w:r>
      <w:r>
        <w:rPr>
          <w:rFonts w:ascii="David" w:hAnsi="David" w:cs="David"/>
          <w:b/>
          <w:bCs/>
          <w:sz w:val="24"/>
          <w:szCs w:val="24"/>
          <w:rtl/>
        </w:rPr>
        <w:t>הקנס ישולם בארבעה תשלומים שווים ורצופים. תשלום ראשון יופקד חודש לאחר סיום המאסר בפועל. החוב מועבר למרכז לגביית קנסות, אגרות והוצאות ברשות האכיפה והגבייה, בהתאם למועדים והתשלומים שקבע בית המשפט. ניתן יהיה לשלם את הקנס כעבור שלושה ימים מיום מתן</w:t>
      </w:r>
      <w:r w:rsidR="002C0BC0">
        <w:rPr>
          <w:rFonts w:ascii="David" w:hAnsi="David" w:cs="David"/>
          <w:b/>
          <w:bCs/>
          <w:sz w:val="24"/>
          <w:szCs w:val="24"/>
          <w:rtl/>
        </w:rPr>
        <w:t xml:space="preserve"> </w:t>
      </w:r>
      <w:r>
        <w:rPr>
          <w:rFonts w:ascii="David" w:hAnsi="David" w:cs="David"/>
          <w:b/>
          <w:bCs/>
          <w:sz w:val="24"/>
          <w:szCs w:val="24"/>
          <w:rtl/>
        </w:rPr>
        <w:t xml:space="preserve"> גזר הדין לחשבון המרכז לגביית קנסות, אגרות </w:t>
      </w:r>
      <w:r w:rsidR="002C0BC0">
        <w:rPr>
          <w:rFonts w:ascii="David" w:hAnsi="David" w:cs="David"/>
          <w:b/>
          <w:bCs/>
          <w:sz w:val="24"/>
          <w:szCs w:val="24"/>
          <w:rtl/>
        </w:rPr>
        <w:t xml:space="preserve"> </w:t>
      </w:r>
      <w:r>
        <w:rPr>
          <w:rFonts w:ascii="David" w:hAnsi="David" w:cs="David"/>
          <w:b/>
          <w:bCs/>
          <w:sz w:val="24"/>
          <w:szCs w:val="24"/>
          <w:rtl/>
        </w:rPr>
        <w:t>והוצאות ברשות האכיפה והגבייה באחת מהדרכים הבאות:</w:t>
      </w:r>
    </w:p>
    <w:p w14:paraId="744E7F8A" w14:textId="77777777" w:rsidR="00382304" w:rsidRDefault="00382304" w:rsidP="00080515">
      <w:pPr>
        <w:spacing w:line="360" w:lineRule="auto"/>
        <w:rPr>
          <w:rFonts w:ascii="David" w:hAnsi="David"/>
          <w:b/>
          <w:bCs/>
        </w:rPr>
      </w:pPr>
      <w:r>
        <w:rPr>
          <w:b/>
          <w:bCs/>
        </w:rPr>
        <w:t>·</w:t>
      </w:r>
      <w:r w:rsidR="002C0BC0">
        <w:rPr>
          <w:b/>
          <w:bCs/>
          <w:noProof w:val="0"/>
          <w:rtl/>
        </w:rPr>
        <w:t xml:space="preserve">        </w:t>
      </w:r>
      <w:r>
        <w:rPr>
          <w:b/>
          <w:bCs/>
          <w:noProof w:val="0"/>
          <w:rtl/>
        </w:rPr>
        <w:t xml:space="preserve"> בכרטיס אשראי – באתר המקוון של רשות האכיפה והגבייה, </w:t>
      </w:r>
      <w:hyperlink r:id="rId39" w:history="1">
        <w:r>
          <w:rPr>
            <w:rStyle w:val="Hyperlink"/>
            <w:b/>
            <w:bCs/>
          </w:rPr>
          <w:t>www.eca.gov.il</w:t>
        </w:r>
      </w:hyperlink>
    </w:p>
    <w:p w14:paraId="027FCAF8" w14:textId="77777777" w:rsidR="00382304" w:rsidRDefault="00382304" w:rsidP="00080515">
      <w:pPr>
        <w:spacing w:line="360" w:lineRule="auto"/>
        <w:rPr>
          <w:b/>
          <w:bCs/>
        </w:rPr>
      </w:pPr>
      <w:r>
        <w:rPr>
          <w:b/>
          <w:bCs/>
        </w:rPr>
        <w:t>·</w:t>
      </w:r>
      <w:r w:rsidR="002C0BC0">
        <w:rPr>
          <w:b/>
          <w:bCs/>
          <w:noProof w:val="0"/>
          <w:rtl/>
        </w:rPr>
        <w:t xml:space="preserve">        </w:t>
      </w:r>
      <w:r>
        <w:rPr>
          <w:b/>
          <w:bCs/>
          <w:noProof w:val="0"/>
          <w:rtl/>
        </w:rPr>
        <w:t xml:space="preserve"> מוקד שירות טלפוני בשרות עצמי (מרכז גבייה) – בטלפון 35592* או בטלפון 073-2055000</w:t>
      </w:r>
    </w:p>
    <w:p w14:paraId="7B9A4D0E" w14:textId="77777777" w:rsidR="00382304" w:rsidRDefault="00382304" w:rsidP="00080515">
      <w:pPr>
        <w:spacing w:line="360" w:lineRule="auto"/>
        <w:rPr>
          <w:b/>
          <w:bCs/>
          <w:noProof w:val="0"/>
          <w:rtl/>
        </w:rPr>
      </w:pPr>
      <w:r>
        <w:rPr>
          <w:b/>
          <w:bCs/>
        </w:rPr>
        <w:t>·</w:t>
      </w:r>
      <w:r w:rsidR="002C0BC0">
        <w:rPr>
          <w:b/>
          <w:bCs/>
          <w:noProof w:val="0"/>
          <w:rtl/>
        </w:rPr>
        <w:t xml:space="preserve">        </w:t>
      </w:r>
      <w:r>
        <w:rPr>
          <w:b/>
          <w:bCs/>
          <w:noProof w:val="0"/>
          <w:rtl/>
        </w:rPr>
        <w:t xml:space="preserve"> במזומן בכל סניף של בנק הדואר – בהצגת תעודת זהות בלבד (אין צורך בשוברי תשלום).</w:t>
      </w:r>
    </w:p>
    <w:p w14:paraId="698AFE6F" w14:textId="77777777" w:rsidR="00382304" w:rsidRDefault="00382304" w:rsidP="00080515">
      <w:pPr>
        <w:pStyle w:val="ad"/>
        <w:numPr>
          <w:ilvl w:val="0"/>
          <w:numId w:val="1"/>
        </w:numPr>
        <w:spacing w:line="360" w:lineRule="auto"/>
        <w:jc w:val="both"/>
        <w:rPr>
          <w:rFonts w:ascii="David" w:hAnsi="David" w:cs="David"/>
          <w:b/>
          <w:bCs/>
          <w:sz w:val="24"/>
          <w:szCs w:val="24"/>
          <w:rtl/>
        </w:rPr>
      </w:pPr>
      <w:r>
        <w:rPr>
          <w:rFonts w:ascii="David" w:hAnsi="David" w:cs="David"/>
          <w:b/>
          <w:bCs/>
          <w:sz w:val="24"/>
          <w:szCs w:val="24"/>
          <w:rtl/>
        </w:rPr>
        <w:t>אימו של הנאשם תשלם קנס בסך 2000 ₪. הקנס ישולם בשני תשלומים שווים ורצופים. תשלום ראשון יופקד עד ליום 1.8.23. החוב מועבר למרכז לגביית קנסות, אגרות והוצאות ברשות האכיפה והגבייה, בהתאם למועדים והתשלומים שקבע בית המשפט. ניתן יהיה לשלם את הקנס כעבור שלושה ימים מיום מתן</w:t>
      </w:r>
      <w:r w:rsidR="002C0BC0">
        <w:rPr>
          <w:rFonts w:ascii="David" w:hAnsi="David" w:cs="David"/>
          <w:b/>
          <w:bCs/>
          <w:sz w:val="24"/>
          <w:szCs w:val="24"/>
          <w:rtl/>
        </w:rPr>
        <w:t xml:space="preserve"> </w:t>
      </w:r>
      <w:r>
        <w:rPr>
          <w:rFonts w:ascii="David" w:hAnsi="David" w:cs="David"/>
          <w:b/>
          <w:bCs/>
          <w:sz w:val="24"/>
          <w:szCs w:val="24"/>
          <w:rtl/>
        </w:rPr>
        <w:t xml:space="preserve"> גזר הדין לחשבון המרכז לגביית קנסות, אגרות </w:t>
      </w:r>
      <w:r w:rsidR="002C0BC0">
        <w:rPr>
          <w:rFonts w:ascii="David" w:hAnsi="David" w:cs="David"/>
          <w:b/>
          <w:bCs/>
          <w:sz w:val="24"/>
          <w:szCs w:val="24"/>
          <w:rtl/>
        </w:rPr>
        <w:t xml:space="preserve"> </w:t>
      </w:r>
      <w:r>
        <w:rPr>
          <w:rFonts w:ascii="David" w:hAnsi="David" w:cs="David"/>
          <w:b/>
          <w:bCs/>
          <w:sz w:val="24"/>
          <w:szCs w:val="24"/>
          <w:rtl/>
        </w:rPr>
        <w:t>והוצאות ברשות האכיפה והגבייה באחת מהדרכים הבאות:</w:t>
      </w:r>
    </w:p>
    <w:p w14:paraId="144FCBE8" w14:textId="77777777" w:rsidR="00382304" w:rsidRDefault="00382304" w:rsidP="00080515">
      <w:pPr>
        <w:spacing w:line="360" w:lineRule="auto"/>
        <w:rPr>
          <w:rFonts w:ascii="David" w:hAnsi="David"/>
          <w:b/>
          <w:bCs/>
          <w:noProof w:val="0"/>
          <w:rtl/>
        </w:rPr>
      </w:pPr>
      <w:r>
        <w:rPr>
          <w:b/>
          <w:bCs/>
        </w:rPr>
        <w:t>·</w:t>
      </w:r>
      <w:r w:rsidR="002C0BC0">
        <w:rPr>
          <w:b/>
          <w:bCs/>
          <w:noProof w:val="0"/>
          <w:rtl/>
        </w:rPr>
        <w:t xml:space="preserve">        </w:t>
      </w:r>
      <w:r>
        <w:rPr>
          <w:b/>
          <w:bCs/>
          <w:noProof w:val="0"/>
          <w:rtl/>
        </w:rPr>
        <w:t xml:space="preserve"> בכרטיס אשראי – באתר המקוון של רשות האכיפה והגבייה, </w:t>
      </w:r>
      <w:hyperlink r:id="rId40" w:history="1">
        <w:r>
          <w:rPr>
            <w:rStyle w:val="Hyperlink"/>
            <w:b/>
            <w:bCs/>
          </w:rPr>
          <w:t>www.eca.gov.il</w:t>
        </w:r>
      </w:hyperlink>
    </w:p>
    <w:p w14:paraId="544E461E" w14:textId="77777777" w:rsidR="00382304" w:rsidRDefault="00382304" w:rsidP="00080515">
      <w:pPr>
        <w:spacing w:line="360" w:lineRule="auto"/>
        <w:rPr>
          <w:b/>
          <w:bCs/>
          <w:noProof w:val="0"/>
          <w:rtl/>
        </w:rPr>
      </w:pPr>
      <w:r>
        <w:rPr>
          <w:b/>
          <w:bCs/>
        </w:rPr>
        <w:t>·</w:t>
      </w:r>
      <w:r w:rsidR="002C0BC0">
        <w:rPr>
          <w:b/>
          <w:bCs/>
          <w:noProof w:val="0"/>
          <w:rtl/>
        </w:rPr>
        <w:t xml:space="preserve">        </w:t>
      </w:r>
      <w:r>
        <w:rPr>
          <w:b/>
          <w:bCs/>
          <w:noProof w:val="0"/>
          <w:rtl/>
        </w:rPr>
        <w:t xml:space="preserve"> מוקד שירות טלפוני בשרות עצמי (מרכז גבייה) – בטלפון 35592* או בטלפון 073-2055000</w:t>
      </w:r>
    </w:p>
    <w:p w14:paraId="59E4C7A3" w14:textId="77777777" w:rsidR="00382304" w:rsidRDefault="00382304" w:rsidP="00080515">
      <w:pPr>
        <w:spacing w:line="360" w:lineRule="auto"/>
        <w:rPr>
          <w:b/>
          <w:bCs/>
          <w:noProof w:val="0"/>
          <w:rtl/>
        </w:rPr>
      </w:pPr>
      <w:r>
        <w:rPr>
          <w:b/>
          <w:bCs/>
        </w:rPr>
        <w:t>·</w:t>
      </w:r>
      <w:r w:rsidR="002C0BC0">
        <w:rPr>
          <w:b/>
          <w:bCs/>
          <w:noProof w:val="0"/>
          <w:rtl/>
        </w:rPr>
        <w:t xml:space="preserve">        </w:t>
      </w:r>
      <w:r>
        <w:rPr>
          <w:b/>
          <w:bCs/>
          <w:noProof w:val="0"/>
          <w:rtl/>
        </w:rPr>
        <w:t xml:space="preserve"> במזומן בכל סניף של בנק הדואר – בהצגת תעודת זהות בלבד (אין צורך בשוברי תשלום).</w:t>
      </w:r>
    </w:p>
    <w:p w14:paraId="38CB90C8" w14:textId="77777777" w:rsidR="00382304" w:rsidRDefault="00382304" w:rsidP="00080515">
      <w:pPr>
        <w:spacing w:line="360" w:lineRule="auto"/>
        <w:rPr>
          <w:b/>
          <w:bCs/>
          <w:noProof w:val="0"/>
          <w:rtl/>
        </w:rPr>
      </w:pPr>
      <w:r>
        <w:rPr>
          <w:b/>
          <w:bCs/>
          <w:noProof w:val="0"/>
          <w:u w:val="single"/>
          <w:rtl/>
        </w:rPr>
        <w:t>בשל דברי הסנגורים כי הנאשם נפגע בעת שהותו במעצר, אני מורה לשב"ס לשמור על מוגנותו בכלא</w:t>
      </w:r>
      <w:r>
        <w:rPr>
          <w:b/>
          <w:bCs/>
          <w:noProof w:val="0"/>
          <w:rtl/>
        </w:rPr>
        <w:t xml:space="preserve">. </w:t>
      </w:r>
    </w:p>
    <w:p w14:paraId="747E16F4" w14:textId="77777777" w:rsidR="00382304" w:rsidRPr="00D44B16" w:rsidRDefault="00382304" w:rsidP="00080515">
      <w:pPr>
        <w:spacing w:after="200" w:line="360" w:lineRule="auto"/>
        <w:jc w:val="both"/>
        <w:rPr>
          <w:rFonts w:ascii="Calibri" w:hAnsi="Calibri"/>
          <w:noProof w:val="0"/>
          <w:rtl/>
        </w:rPr>
      </w:pPr>
      <w:r>
        <w:rPr>
          <w:b/>
          <w:bCs/>
          <w:noProof w:val="0"/>
          <w:rtl/>
        </w:rPr>
        <w:t xml:space="preserve">זכות ערעור כחוק . </w:t>
      </w:r>
    </w:p>
    <w:p w14:paraId="244387BA" w14:textId="77777777" w:rsidR="00382304" w:rsidRPr="00D44B16" w:rsidRDefault="002C0BC0" w:rsidP="00080515">
      <w:pPr>
        <w:spacing w:after="200" w:line="360" w:lineRule="auto"/>
        <w:jc w:val="both"/>
        <w:rPr>
          <w:rFonts w:ascii="Calibri" w:hAnsi="Calibri"/>
          <w:b/>
          <w:bCs/>
          <w:noProof w:val="0"/>
          <w:rtl/>
        </w:rPr>
      </w:pPr>
      <w:r w:rsidRPr="002C0BC0">
        <w:rPr>
          <w:rFonts w:ascii="Calibri" w:hAnsi="Calibri"/>
          <w:b/>
          <w:bCs/>
          <w:noProof w:val="0"/>
          <w:color w:val="FFFFFF"/>
          <w:sz w:val="2"/>
          <w:szCs w:val="2"/>
          <w:rtl/>
        </w:rPr>
        <w:t>5129371</w:t>
      </w:r>
      <w:r w:rsidR="00382304" w:rsidRPr="00D44B16">
        <w:rPr>
          <w:rFonts w:ascii="Calibri" w:hAnsi="Calibri"/>
          <w:b/>
          <w:bCs/>
          <w:noProof w:val="0"/>
          <w:rtl/>
        </w:rPr>
        <w:t xml:space="preserve">מתירה פרסום פסק הדין ללא פרטים מזהים של הקטין. </w:t>
      </w:r>
    </w:p>
    <w:p w14:paraId="4DBAB26D" w14:textId="77777777" w:rsidR="00382304" w:rsidRDefault="002C0BC0" w:rsidP="006D3E17">
      <w:pPr>
        <w:spacing w:line="360" w:lineRule="auto"/>
        <w:jc w:val="both"/>
        <w:rPr>
          <w:rFonts w:ascii="Arial" w:hAnsi="Arial"/>
          <w:noProof w:val="0"/>
          <w:rtl/>
        </w:rPr>
      </w:pPr>
      <w:bookmarkStart w:id="7" w:name="Nitan"/>
      <w:r w:rsidRPr="002C0BC0">
        <w:rPr>
          <w:rFonts w:ascii="Arial" w:hAnsi="Arial"/>
          <w:noProof w:val="0"/>
          <w:color w:val="FFFFFF"/>
          <w:sz w:val="2"/>
          <w:szCs w:val="2"/>
          <w:rtl/>
        </w:rPr>
        <w:t>54678313</w:t>
      </w:r>
      <w:r>
        <w:rPr>
          <w:rFonts w:ascii="Arial" w:hAnsi="Arial"/>
          <w:noProof w:val="0"/>
          <w:rtl/>
        </w:rPr>
        <w:t xml:space="preserve">גזר הדין ניתן ביום 26.6.23 במעמד הצדדים. עותק זה המאושר לפרסום ניתן היום, 02 יולי 2023 </w:t>
      </w:r>
      <w:bookmarkEnd w:id="7"/>
      <w:r w:rsidR="00382304">
        <w:rPr>
          <w:rFonts w:ascii="Arial" w:hAnsi="Arial"/>
          <w:noProof w:val="0"/>
          <w:rtl/>
        </w:rPr>
        <w:t xml:space="preserve">בהעדר הצדדים. </w:t>
      </w:r>
    </w:p>
    <w:p w14:paraId="0E5BE0DC" w14:textId="77777777" w:rsidR="00382304" w:rsidRDefault="00382304" w:rsidP="006D3E17">
      <w:pPr>
        <w:spacing w:line="360" w:lineRule="auto"/>
        <w:jc w:val="both"/>
        <w:rPr>
          <w:rFonts w:ascii="Arial" w:hAnsi="Arial"/>
          <w:noProof w:val="0"/>
          <w:rtl/>
        </w:rPr>
      </w:pPr>
      <w:r>
        <w:rPr>
          <w:rFonts w:ascii="Arial" w:hAnsi="Arial"/>
          <w:noProof w:val="0"/>
          <w:rtl/>
        </w:rPr>
        <w:t>מזכירות נא העבירו לידי ב"כ הצדדים.</w:t>
      </w:r>
    </w:p>
    <w:p w14:paraId="75CE028E" w14:textId="77777777" w:rsidR="00382304" w:rsidRDefault="00382304" w:rsidP="00080515">
      <w:pPr>
        <w:tabs>
          <w:tab w:val="left" w:pos="2553"/>
        </w:tabs>
        <w:rPr>
          <w:noProof w:val="0"/>
          <w:rtl/>
        </w:rPr>
      </w:pPr>
      <w:r>
        <w:rPr>
          <w:noProof w:val="0"/>
          <w:rtl/>
        </w:rPr>
        <w:t xml:space="preserve">     </w:t>
      </w:r>
    </w:p>
    <w:p w14:paraId="7B44E8FC" w14:textId="77777777" w:rsidR="00382304" w:rsidRDefault="00382304" w:rsidP="006D3E17">
      <w:pPr>
        <w:tabs>
          <w:tab w:val="left" w:pos="2553"/>
        </w:tabs>
        <w:rPr>
          <w:noProof w:val="0"/>
          <w:rtl/>
        </w:rPr>
      </w:pPr>
      <w:r>
        <w:rPr>
          <w:noProof w:val="0"/>
          <w:rtl/>
        </w:rPr>
        <w:tab/>
        <w:t xml:space="preserve">     </w:t>
      </w:r>
    </w:p>
    <w:p w14:paraId="1DAAFEDD" w14:textId="77777777" w:rsidR="00382304" w:rsidRPr="001421E3" w:rsidRDefault="001421E3" w:rsidP="002C0BC0">
      <w:pPr>
        <w:tabs>
          <w:tab w:val="left" w:pos="2553"/>
        </w:tabs>
        <w:rPr>
          <w:rFonts w:hint="cs"/>
          <w:color w:val="FFFFFF"/>
          <w:sz w:val="2"/>
          <w:szCs w:val="2"/>
          <w:rtl/>
        </w:rPr>
      </w:pPr>
      <w:r w:rsidRPr="001421E3">
        <w:rPr>
          <w:noProof w:val="0"/>
          <w:color w:val="FFFFFF"/>
          <w:sz w:val="2"/>
          <w:szCs w:val="2"/>
          <w:rtl/>
        </w:rPr>
        <w:t>5129371</w:t>
      </w:r>
      <w:r w:rsidR="00382304" w:rsidRPr="001421E3">
        <w:rPr>
          <w:noProof w:val="0"/>
          <w:color w:val="FFFFFF"/>
          <w:sz w:val="2"/>
          <w:szCs w:val="2"/>
          <w:rtl/>
        </w:rPr>
        <w:tab/>
      </w:r>
      <w:r w:rsidR="00382304" w:rsidRPr="001421E3">
        <w:rPr>
          <w:noProof w:val="0"/>
          <w:color w:val="FFFFFF"/>
          <w:sz w:val="2"/>
          <w:szCs w:val="2"/>
          <w:rtl/>
        </w:rPr>
        <w:tab/>
      </w:r>
      <w:r w:rsidR="00382304" w:rsidRPr="001421E3">
        <w:rPr>
          <w:noProof w:val="0"/>
          <w:color w:val="FFFFFF"/>
          <w:sz w:val="2"/>
          <w:szCs w:val="2"/>
          <w:rtl/>
        </w:rPr>
        <w:tab/>
      </w:r>
      <w:r w:rsidR="00382304" w:rsidRPr="001421E3">
        <w:rPr>
          <w:noProof w:val="0"/>
          <w:color w:val="FFFFFF"/>
          <w:sz w:val="2"/>
          <w:szCs w:val="2"/>
          <w:rtl/>
        </w:rPr>
        <w:tab/>
        <w:t xml:space="preserve">        </w:t>
      </w:r>
    </w:p>
    <w:p w14:paraId="44002CBE" w14:textId="77777777" w:rsidR="00382304" w:rsidRPr="001421E3" w:rsidRDefault="001421E3" w:rsidP="002C0BC0">
      <w:pPr>
        <w:keepNext/>
        <w:tabs>
          <w:tab w:val="left" w:pos="2553"/>
        </w:tabs>
        <w:rPr>
          <w:rFonts w:ascii="David" w:hAnsi="David"/>
          <w:noProof w:val="0"/>
          <w:color w:val="FFFFFF"/>
          <w:sz w:val="2"/>
          <w:szCs w:val="2"/>
          <w:rtl/>
        </w:rPr>
      </w:pPr>
      <w:r w:rsidRPr="001421E3">
        <w:rPr>
          <w:rFonts w:ascii="David" w:hAnsi="David"/>
          <w:noProof w:val="0"/>
          <w:color w:val="FFFFFF"/>
          <w:sz w:val="2"/>
          <w:szCs w:val="2"/>
          <w:rtl/>
        </w:rPr>
        <w:t>54678313</w:t>
      </w:r>
    </w:p>
    <w:p w14:paraId="55C1414D" w14:textId="77777777" w:rsidR="002C0BC0" w:rsidRDefault="002C0BC0" w:rsidP="002C0BC0">
      <w:pPr>
        <w:tabs>
          <w:tab w:val="left" w:pos="2553"/>
        </w:tabs>
        <w:rPr>
          <w:rFonts w:ascii="Arial" w:hAnsi="Arial"/>
          <w:noProof w:val="0"/>
          <w:rtl/>
        </w:rPr>
      </w:pPr>
    </w:p>
    <w:p w14:paraId="71F2FD5D" w14:textId="77777777" w:rsidR="002C0BC0" w:rsidRDefault="002C0BC0" w:rsidP="002C0BC0">
      <w:pPr>
        <w:tabs>
          <w:tab w:val="left" w:pos="2553"/>
        </w:tabs>
        <w:jc w:val="center"/>
        <w:rPr>
          <w:rFonts w:ascii="Arial" w:hAnsi="Arial"/>
          <w:noProof w:val="0"/>
          <w:color w:val="0000FF"/>
          <w:u w:val="single"/>
          <w:rtl/>
        </w:rPr>
      </w:pPr>
      <w:hyperlink r:id="rId41" w:history="1">
        <w:r>
          <w:rPr>
            <w:rFonts w:ascii="Arial" w:hAnsi="Arial"/>
            <w:noProof w:val="0"/>
            <w:color w:val="0000FF"/>
            <w:u w:val="single"/>
            <w:rtl/>
          </w:rPr>
          <w:t>בעניין עריכה ושינויים במסמכי פסיקה, חקיקה ועוד באתר נבו – הקש כאן</w:t>
        </w:r>
      </w:hyperlink>
    </w:p>
    <w:p w14:paraId="11EEC330" w14:textId="77777777" w:rsidR="001421E3" w:rsidRPr="001421E3" w:rsidRDefault="001421E3" w:rsidP="001421E3">
      <w:pPr>
        <w:keepNext/>
        <w:tabs>
          <w:tab w:val="left" w:pos="2553"/>
        </w:tabs>
        <w:rPr>
          <w:rFonts w:ascii="David" w:hAnsi="David"/>
          <w:noProof w:val="0"/>
          <w:color w:val="000000"/>
          <w:sz w:val="22"/>
          <w:szCs w:val="22"/>
          <w:rtl/>
        </w:rPr>
      </w:pPr>
    </w:p>
    <w:p w14:paraId="0FC2B938" w14:textId="77777777" w:rsidR="001421E3" w:rsidRPr="001421E3" w:rsidRDefault="001421E3" w:rsidP="001421E3">
      <w:pPr>
        <w:keepNext/>
        <w:tabs>
          <w:tab w:val="left" w:pos="2553"/>
        </w:tabs>
        <w:rPr>
          <w:rFonts w:ascii="David" w:hAnsi="David"/>
          <w:noProof w:val="0"/>
          <w:color w:val="000000"/>
          <w:sz w:val="22"/>
          <w:szCs w:val="22"/>
          <w:rtl/>
        </w:rPr>
      </w:pPr>
      <w:r w:rsidRPr="001421E3">
        <w:rPr>
          <w:rFonts w:ascii="David" w:hAnsi="David"/>
          <w:noProof w:val="0"/>
          <w:color w:val="000000"/>
          <w:sz w:val="22"/>
          <w:szCs w:val="22"/>
          <w:rtl/>
        </w:rPr>
        <w:t>שרון עצמון הלוי 54678313-/</w:t>
      </w:r>
    </w:p>
    <w:p w14:paraId="3C485656" w14:textId="77777777" w:rsidR="002C0BC0" w:rsidRPr="002C0BC0" w:rsidRDefault="001421E3" w:rsidP="001421E3">
      <w:pPr>
        <w:tabs>
          <w:tab w:val="left" w:pos="2553"/>
        </w:tabs>
        <w:rPr>
          <w:rFonts w:ascii="Arial" w:hAnsi="Arial"/>
          <w:noProof w:val="0"/>
          <w:color w:val="0000FF"/>
          <w:u w:val="single"/>
          <w:rtl/>
        </w:rPr>
      </w:pPr>
      <w:r w:rsidRPr="001421E3">
        <w:rPr>
          <w:rFonts w:ascii="Arial" w:hAnsi="Arial"/>
          <w:noProof w:val="0"/>
          <w:color w:val="000000"/>
          <w:u w:val="single"/>
          <w:rtl/>
        </w:rPr>
        <w:t>נוסח מסמך זה כפוף לשינויי ניסוח ועריכה</w:t>
      </w:r>
    </w:p>
    <w:sectPr w:rsidR="002C0BC0" w:rsidRPr="002C0BC0" w:rsidSect="001421E3">
      <w:headerReference w:type="even" r:id="rId42"/>
      <w:headerReference w:type="default" r:id="rId43"/>
      <w:footerReference w:type="even" r:id="rId44"/>
      <w:footerReference w:type="default" r:id="rId45"/>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27C72" w14:textId="77777777" w:rsidR="00345567" w:rsidRDefault="00345567">
      <w:r>
        <w:separator/>
      </w:r>
    </w:p>
  </w:endnote>
  <w:endnote w:type="continuationSeparator" w:id="0">
    <w:p w14:paraId="7FB2AEB5" w14:textId="77777777" w:rsidR="00345567" w:rsidRDefault="00345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71E4" w14:textId="77777777" w:rsidR="001421E3" w:rsidRDefault="001421E3" w:rsidP="001421E3">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07B23017" w14:textId="77777777" w:rsidR="002C0BC0" w:rsidRPr="001421E3" w:rsidRDefault="001421E3" w:rsidP="001421E3">
    <w:pPr>
      <w:pStyle w:val="a4"/>
      <w:pBdr>
        <w:top w:val="single" w:sz="4" w:space="1" w:color="auto"/>
        <w:between w:val="single" w:sz="4" w:space="0" w:color="auto"/>
      </w:pBdr>
      <w:spacing w:after="60"/>
      <w:jc w:val="center"/>
      <w:rPr>
        <w:rFonts w:ascii="FrankRuehl" w:hAnsi="FrankRuehl" w:cs="FrankRuehl"/>
        <w:color w:val="000000"/>
      </w:rPr>
    </w:pPr>
    <w:r w:rsidRPr="001421E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09ABF" w14:textId="77777777" w:rsidR="001421E3" w:rsidRDefault="001421E3" w:rsidP="001421E3">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PAGE</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334A39">
      <w:rPr>
        <w:rStyle w:val="ab"/>
        <w:rFonts w:ascii="FrankRuehl" w:hAnsi="FrankRuehl" w:cs="FrankRuehl"/>
        <w:rtl/>
      </w:rPr>
      <w:t>1</w:t>
    </w:r>
    <w:r>
      <w:rPr>
        <w:rStyle w:val="ab"/>
        <w:rFonts w:ascii="FrankRuehl" w:hAnsi="FrankRuehl" w:cs="FrankRuehl"/>
        <w:rtl/>
      </w:rPr>
      <w:fldChar w:fldCharType="end"/>
    </w:r>
  </w:p>
  <w:p w14:paraId="696D5E43" w14:textId="77777777" w:rsidR="00382304" w:rsidRPr="001421E3" w:rsidRDefault="001421E3" w:rsidP="001421E3">
    <w:pPr>
      <w:pStyle w:val="a4"/>
      <w:pBdr>
        <w:top w:val="single" w:sz="4" w:space="1" w:color="auto"/>
        <w:between w:val="single" w:sz="4" w:space="0" w:color="auto"/>
      </w:pBdr>
      <w:spacing w:after="60"/>
      <w:jc w:val="center"/>
      <w:rPr>
        <w:rStyle w:val="ab"/>
        <w:rFonts w:ascii="FrankRuehl" w:hAnsi="FrankRuehl" w:cs="FrankRuehl" w:hint="cs"/>
        <w:color w:val="000000"/>
        <w:rtl/>
      </w:rPr>
    </w:pPr>
    <w:r w:rsidRPr="001421E3">
      <w:rPr>
        <w:rStyle w:val="ab"/>
        <w:rFonts w:ascii="FrankRuehl" w:hAnsi="FrankRuehl" w:cs="FrankRuehl" w:hint="cs"/>
        <w:color w:val="000000"/>
      </w:rPr>
      <w:pict w14:anchorId="3F5170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C6FDF" w14:textId="77777777" w:rsidR="00345567" w:rsidRDefault="00345567">
      <w:r>
        <w:separator/>
      </w:r>
    </w:p>
  </w:footnote>
  <w:footnote w:type="continuationSeparator" w:id="0">
    <w:p w14:paraId="6B4E5C01" w14:textId="77777777" w:rsidR="00345567" w:rsidRDefault="00345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02244" w14:textId="77777777" w:rsidR="002C0BC0" w:rsidRPr="001421E3" w:rsidRDefault="001421E3" w:rsidP="001421E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(פ"ת) 51251-12-22</w:t>
    </w:r>
    <w:r>
      <w:rPr>
        <w:rFonts w:ascii="David" w:hAnsi="David"/>
        <w:color w:val="000000"/>
        <w:sz w:val="22"/>
        <w:szCs w:val="22"/>
        <w:rtl/>
      </w:rPr>
      <w:tab/>
      <w:t xml:space="preserve"> מדינת ישראל פרקליטות מחוז מרכז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EEFE" w14:textId="77777777" w:rsidR="00382304" w:rsidRPr="001421E3" w:rsidRDefault="001421E3" w:rsidP="001421E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(פ"ת) 51251-12-22</w:t>
    </w:r>
    <w:r>
      <w:rPr>
        <w:rFonts w:ascii="David" w:hAnsi="David"/>
        <w:color w:val="000000"/>
        <w:sz w:val="22"/>
        <w:szCs w:val="22"/>
        <w:rtl/>
      </w:rPr>
      <w:tab/>
      <w:t xml:space="preserve"> מדינת ישראל פרקליטות מחוז מרכז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F53C1A"/>
    <w:multiLevelType w:val="hybridMultilevel"/>
    <w:tmpl w:val="CC6C0A48"/>
    <w:lvl w:ilvl="0" w:tplc="CE94C190">
      <w:start w:val="1"/>
      <w:numFmt w:val="decimal"/>
      <w:lvlText w:val="%1."/>
      <w:lvlJc w:val="left"/>
      <w:pPr>
        <w:ind w:left="786" w:hanging="360"/>
      </w:pPr>
      <w:rPr>
        <w:rFonts w:cs="Times New Roman"/>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954485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0062"/>
    <w:rsid w:val="0000226B"/>
    <w:rsid w:val="000055B4"/>
    <w:rsid w:val="00005C8B"/>
    <w:rsid w:val="000229A1"/>
    <w:rsid w:val="0002714D"/>
    <w:rsid w:val="000529D2"/>
    <w:rsid w:val="000564AB"/>
    <w:rsid w:val="00064FBD"/>
    <w:rsid w:val="00080515"/>
    <w:rsid w:val="00082AB2"/>
    <w:rsid w:val="000906FE"/>
    <w:rsid w:val="00091023"/>
    <w:rsid w:val="00096AF7"/>
    <w:rsid w:val="000B344B"/>
    <w:rsid w:val="000C3B0F"/>
    <w:rsid w:val="000C3B60"/>
    <w:rsid w:val="000E0DD2"/>
    <w:rsid w:val="000E3AF1"/>
    <w:rsid w:val="000F0BC8"/>
    <w:rsid w:val="000F0DD6"/>
    <w:rsid w:val="00107E6D"/>
    <w:rsid w:val="0011194C"/>
    <w:rsid w:val="0011424C"/>
    <w:rsid w:val="001173C6"/>
    <w:rsid w:val="001367BC"/>
    <w:rsid w:val="001421E3"/>
    <w:rsid w:val="00144D2A"/>
    <w:rsid w:val="0014653E"/>
    <w:rsid w:val="00180519"/>
    <w:rsid w:val="00191C82"/>
    <w:rsid w:val="001C4003"/>
    <w:rsid w:val="001D3128"/>
    <w:rsid w:val="001D4DBF"/>
    <w:rsid w:val="001E75CA"/>
    <w:rsid w:val="002265FF"/>
    <w:rsid w:val="00234943"/>
    <w:rsid w:val="00271B56"/>
    <w:rsid w:val="002C0BC0"/>
    <w:rsid w:val="002C344E"/>
    <w:rsid w:val="002C3F4A"/>
    <w:rsid w:val="002E75E9"/>
    <w:rsid w:val="00307A6A"/>
    <w:rsid w:val="00307C40"/>
    <w:rsid w:val="00320433"/>
    <w:rsid w:val="003230C7"/>
    <w:rsid w:val="00327E50"/>
    <w:rsid w:val="00334A39"/>
    <w:rsid w:val="0033597A"/>
    <w:rsid w:val="00343D89"/>
    <w:rsid w:val="00345567"/>
    <w:rsid w:val="00362612"/>
    <w:rsid w:val="0036743F"/>
    <w:rsid w:val="003715DD"/>
    <w:rsid w:val="00382304"/>
    <w:rsid w:val="003823E0"/>
    <w:rsid w:val="00396CA4"/>
    <w:rsid w:val="003A4521"/>
    <w:rsid w:val="003D1C8C"/>
    <w:rsid w:val="0040096C"/>
    <w:rsid w:val="00414F1F"/>
    <w:rsid w:val="00416649"/>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A4822"/>
    <w:rsid w:val="005F4F09"/>
    <w:rsid w:val="0061431B"/>
    <w:rsid w:val="00622BAA"/>
    <w:rsid w:val="006306CF"/>
    <w:rsid w:val="00644E9A"/>
    <w:rsid w:val="00671BD5"/>
    <w:rsid w:val="006805C1"/>
    <w:rsid w:val="00686C21"/>
    <w:rsid w:val="006931C1"/>
    <w:rsid w:val="00694556"/>
    <w:rsid w:val="006C30C5"/>
    <w:rsid w:val="006C4820"/>
    <w:rsid w:val="006D1C9A"/>
    <w:rsid w:val="006D3B31"/>
    <w:rsid w:val="006D3E17"/>
    <w:rsid w:val="006E0D96"/>
    <w:rsid w:val="006E1A53"/>
    <w:rsid w:val="006F56E6"/>
    <w:rsid w:val="00704EDA"/>
    <w:rsid w:val="00721122"/>
    <w:rsid w:val="007233FE"/>
    <w:rsid w:val="00753019"/>
    <w:rsid w:val="00754801"/>
    <w:rsid w:val="00761441"/>
    <w:rsid w:val="00795365"/>
    <w:rsid w:val="007A351D"/>
    <w:rsid w:val="007B7765"/>
    <w:rsid w:val="007C5BDD"/>
    <w:rsid w:val="007D45E3"/>
    <w:rsid w:val="007D7D3D"/>
    <w:rsid w:val="007E6115"/>
    <w:rsid w:val="007F4609"/>
    <w:rsid w:val="00803FD8"/>
    <w:rsid w:val="00806205"/>
    <w:rsid w:val="00814468"/>
    <w:rsid w:val="008176A1"/>
    <w:rsid w:val="00820005"/>
    <w:rsid w:val="00844318"/>
    <w:rsid w:val="0086061C"/>
    <w:rsid w:val="00863F5D"/>
    <w:rsid w:val="00870890"/>
    <w:rsid w:val="00873602"/>
    <w:rsid w:val="00875D12"/>
    <w:rsid w:val="00881CCE"/>
    <w:rsid w:val="0088479D"/>
    <w:rsid w:val="00896889"/>
    <w:rsid w:val="00897DAF"/>
    <w:rsid w:val="008C2316"/>
    <w:rsid w:val="008C5714"/>
    <w:rsid w:val="008D10B2"/>
    <w:rsid w:val="008D17A1"/>
    <w:rsid w:val="00903896"/>
    <w:rsid w:val="00906F3D"/>
    <w:rsid w:val="0094424E"/>
    <w:rsid w:val="00955642"/>
    <w:rsid w:val="009622DF"/>
    <w:rsid w:val="0096493F"/>
    <w:rsid w:val="00967DFF"/>
    <w:rsid w:val="00994341"/>
    <w:rsid w:val="00996935"/>
    <w:rsid w:val="009D1A48"/>
    <w:rsid w:val="009E1CE7"/>
    <w:rsid w:val="009E4EA5"/>
    <w:rsid w:val="009F164B"/>
    <w:rsid w:val="009F323C"/>
    <w:rsid w:val="00A3392B"/>
    <w:rsid w:val="00A85E34"/>
    <w:rsid w:val="00A94B64"/>
    <w:rsid w:val="00AA3229"/>
    <w:rsid w:val="00AA7596"/>
    <w:rsid w:val="00AB5E52"/>
    <w:rsid w:val="00AC1527"/>
    <w:rsid w:val="00AC30D6"/>
    <w:rsid w:val="00AC3B02"/>
    <w:rsid w:val="00AC3B7B"/>
    <w:rsid w:val="00AC5209"/>
    <w:rsid w:val="00AE0E34"/>
    <w:rsid w:val="00AE729E"/>
    <w:rsid w:val="00AE7752"/>
    <w:rsid w:val="00AF7FDA"/>
    <w:rsid w:val="00B27CAD"/>
    <w:rsid w:val="00B5356E"/>
    <w:rsid w:val="00B809AD"/>
    <w:rsid w:val="00B80CBD"/>
    <w:rsid w:val="00B86096"/>
    <w:rsid w:val="00B964D9"/>
    <w:rsid w:val="00BA0A7C"/>
    <w:rsid w:val="00BA517C"/>
    <w:rsid w:val="00BB3D05"/>
    <w:rsid w:val="00BB73BE"/>
    <w:rsid w:val="00BC2D89"/>
    <w:rsid w:val="00BD32F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44B16"/>
    <w:rsid w:val="00D53924"/>
    <w:rsid w:val="00D55D0C"/>
    <w:rsid w:val="00D96D8C"/>
    <w:rsid w:val="00DA6649"/>
    <w:rsid w:val="00DC1259"/>
    <w:rsid w:val="00DC1BD2"/>
    <w:rsid w:val="00DC2571"/>
    <w:rsid w:val="00DC487C"/>
    <w:rsid w:val="00DE1E7D"/>
    <w:rsid w:val="00DE6BF6"/>
    <w:rsid w:val="00DE7517"/>
    <w:rsid w:val="00E04E84"/>
    <w:rsid w:val="00E1068A"/>
    <w:rsid w:val="00E25884"/>
    <w:rsid w:val="00E25B55"/>
    <w:rsid w:val="00E31C2B"/>
    <w:rsid w:val="00E5426A"/>
    <w:rsid w:val="00E54642"/>
    <w:rsid w:val="00E54CD9"/>
    <w:rsid w:val="00E80CBE"/>
    <w:rsid w:val="00E962E3"/>
    <w:rsid w:val="00EB6C79"/>
    <w:rsid w:val="00EC37E9"/>
    <w:rsid w:val="00EF51AD"/>
    <w:rsid w:val="00F038D8"/>
    <w:rsid w:val="00F06995"/>
    <w:rsid w:val="00F13623"/>
    <w:rsid w:val="00F44D1D"/>
    <w:rsid w:val="00F84B6D"/>
    <w:rsid w:val="00F957E8"/>
    <w:rsid w:val="00FA311A"/>
    <w:rsid w:val="00FA5FDA"/>
    <w:rsid w:val="00FB6AB3"/>
    <w:rsid w:val="00FD1419"/>
    <w:rsid w:val="00FD5204"/>
    <w:rsid w:val="00FD79E4"/>
    <w:rsid w:val="00FE2818"/>
    <w:rsid w:val="00FE2894"/>
    <w:rsid w:val="00FF5C0B"/>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B7A65B"/>
  <w15:chartTrackingRefBased/>
  <w15:docId w15:val="{FE01EA01-F790-44B7-AC67-CDE85C15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rPr>
      <w:rFonts w:cs="Times New Roman"/>
    </w:rPr>
  </w:style>
  <w:style w:type="character" w:styleId="ab">
    <w:name w:val="page number"/>
    <w:rPr>
      <w:rFonts w:cs="Times New Roman"/>
    </w:rPr>
  </w:style>
  <w:style w:type="table" w:customStyle="1" w:styleId="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semiHidden/>
    <w:rsid w:val="003230C7"/>
    <w:rPr>
      <w:color w:val="808080"/>
    </w:rPr>
  </w:style>
  <w:style w:type="character" w:styleId="Hyperlink">
    <w:name w:val="Hyperlink"/>
    <w:semiHidden/>
    <w:rsid w:val="00080515"/>
    <w:rPr>
      <w:color w:val="0000FF"/>
      <w:u w:val="single"/>
    </w:rPr>
  </w:style>
  <w:style w:type="paragraph" w:styleId="ad">
    <w:name w:val="List Paragraph"/>
    <w:basedOn w:val="a"/>
    <w:qFormat/>
    <w:rsid w:val="00080515"/>
    <w:pPr>
      <w:spacing w:after="160" w:line="252" w:lineRule="auto"/>
      <w:ind w:left="720"/>
      <w:contextualSpacing/>
    </w:pPr>
    <w:rPr>
      <w:rFonts w:ascii="Calibri" w:hAnsi="Calibri" w:cs="Arial"/>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6934681" TargetMode="External"/><Relationship Id="rId39" Type="http://schemas.openxmlformats.org/officeDocument/2006/relationships/hyperlink" Target="http://www.eca.gov.il" TargetMode="External"/><Relationship Id="rId21" Type="http://schemas.openxmlformats.org/officeDocument/2006/relationships/hyperlink" Target="http://www.nevo.co.il/law/70348/24a" TargetMode="External"/><Relationship Id="rId34" Type="http://schemas.openxmlformats.org/officeDocument/2006/relationships/hyperlink" Target="http://www.nevo.co.il/law/70348"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73092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48/24.1" TargetMode="External"/><Relationship Id="rId24" Type="http://schemas.openxmlformats.org/officeDocument/2006/relationships/hyperlink" Target="http://www.nevo.co.il/case/6239005"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48/24.1" TargetMode="External"/><Relationship Id="rId40" Type="http://schemas.openxmlformats.org/officeDocument/2006/relationships/hyperlink" Target="http://www.eca.gov.il"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20000252" TargetMode="External"/><Relationship Id="rId28" Type="http://schemas.openxmlformats.org/officeDocument/2006/relationships/hyperlink" Target="http://www.nevo.co.il/case/26905927" TargetMode="External"/><Relationship Id="rId36" Type="http://schemas.openxmlformats.org/officeDocument/2006/relationships/hyperlink" Target="http://www.nevo.co.il/law/70348" TargetMode="External"/><Relationship Id="rId10" Type="http://schemas.openxmlformats.org/officeDocument/2006/relationships/hyperlink" Target="http://www.nevo.co.il/law/70348"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25890687"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87.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37972" TargetMode="External"/><Relationship Id="rId27" Type="http://schemas.openxmlformats.org/officeDocument/2006/relationships/hyperlink" Target="http://www.nevo.co.il/case/25824863" TargetMode="External"/><Relationship Id="rId30" Type="http://schemas.openxmlformats.org/officeDocument/2006/relationships/hyperlink" Target="http://www.nevo.co.il/case/26538254" TargetMode="External"/><Relationship Id="rId35" Type="http://schemas.openxmlformats.org/officeDocument/2006/relationships/hyperlink" Target="http://www.nevo.co.il/law/70348/24a" TargetMode="External"/><Relationship Id="rId43" Type="http://schemas.openxmlformats.org/officeDocument/2006/relationships/header" Target="header2.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48/24a" TargetMode="External"/><Relationship Id="rId17" Type="http://schemas.openxmlformats.org/officeDocument/2006/relationships/hyperlink" Target="http://www.nevo.co.il/law/70301/287.a" TargetMode="External"/><Relationship Id="rId25" Type="http://schemas.openxmlformats.org/officeDocument/2006/relationships/hyperlink" Target="http://www.nevo.co.il/case/27404359" TargetMode="External"/><Relationship Id="rId33" Type="http://schemas.openxmlformats.org/officeDocument/2006/relationships/hyperlink" Target="http://www.nevo.co.il/case/20111699" TargetMode="External"/><Relationship Id="rId38" Type="http://schemas.openxmlformats.org/officeDocument/2006/relationships/hyperlink" Target="http://www.nevo.co.il/law/70348" TargetMode="External"/><Relationship Id="rId46"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3874</Words>
  <Characters>19370</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23198</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7864368</vt:i4>
      </vt:variant>
      <vt:variant>
        <vt:i4>99</vt:i4>
      </vt:variant>
      <vt:variant>
        <vt:i4>0</vt:i4>
      </vt:variant>
      <vt:variant>
        <vt:i4>5</vt:i4>
      </vt:variant>
      <vt:variant>
        <vt:lpwstr>http://www.eca.gov.il/</vt:lpwstr>
      </vt:variant>
      <vt:variant>
        <vt:lpwstr/>
      </vt:variant>
      <vt:variant>
        <vt:i4>7864368</vt:i4>
      </vt:variant>
      <vt:variant>
        <vt:i4>96</vt:i4>
      </vt:variant>
      <vt:variant>
        <vt:i4>0</vt:i4>
      </vt:variant>
      <vt:variant>
        <vt:i4>5</vt:i4>
      </vt:variant>
      <vt:variant>
        <vt:lpwstr>http://www.eca.gov.il/</vt:lpwstr>
      </vt:variant>
      <vt:variant>
        <vt:lpwstr/>
      </vt:variant>
      <vt:variant>
        <vt:i4>8257636</vt:i4>
      </vt:variant>
      <vt:variant>
        <vt:i4>93</vt:i4>
      </vt:variant>
      <vt:variant>
        <vt:i4>0</vt:i4>
      </vt:variant>
      <vt:variant>
        <vt:i4>5</vt:i4>
      </vt:variant>
      <vt:variant>
        <vt:lpwstr>http://www.nevo.co.il/law/70348</vt:lpwstr>
      </vt:variant>
      <vt:variant>
        <vt:lpwstr/>
      </vt:variant>
      <vt:variant>
        <vt:i4>5505088</vt:i4>
      </vt:variant>
      <vt:variant>
        <vt:i4>90</vt:i4>
      </vt:variant>
      <vt:variant>
        <vt:i4>0</vt:i4>
      </vt:variant>
      <vt:variant>
        <vt:i4>5</vt:i4>
      </vt:variant>
      <vt:variant>
        <vt:lpwstr>http://www.nevo.co.il/law/70348/24.1</vt:lpwstr>
      </vt:variant>
      <vt:variant>
        <vt:lpwstr/>
      </vt:variant>
      <vt:variant>
        <vt:i4>8257636</vt:i4>
      </vt:variant>
      <vt:variant>
        <vt:i4>87</vt:i4>
      </vt:variant>
      <vt:variant>
        <vt:i4>0</vt:i4>
      </vt:variant>
      <vt:variant>
        <vt:i4>5</vt:i4>
      </vt:variant>
      <vt:variant>
        <vt:lpwstr>http://www.nevo.co.il/law/70348</vt:lpwstr>
      </vt:variant>
      <vt:variant>
        <vt:lpwstr/>
      </vt:variant>
      <vt:variant>
        <vt:i4>6619246</vt:i4>
      </vt:variant>
      <vt:variant>
        <vt:i4>84</vt:i4>
      </vt:variant>
      <vt:variant>
        <vt:i4>0</vt:i4>
      </vt:variant>
      <vt:variant>
        <vt:i4>5</vt:i4>
      </vt:variant>
      <vt:variant>
        <vt:lpwstr>http://www.nevo.co.il/law/70348/24a</vt:lpwstr>
      </vt:variant>
      <vt:variant>
        <vt:lpwstr/>
      </vt:variant>
      <vt:variant>
        <vt:i4>8257636</vt:i4>
      </vt:variant>
      <vt:variant>
        <vt:i4>81</vt:i4>
      </vt:variant>
      <vt:variant>
        <vt:i4>0</vt:i4>
      </vt:variant>
      <vt:variant>
        <vt:i4>5</vt:i4>
      </vt:variant>
      <vt:variant>
        <vt:lpwstr>http://www.nevo.co.il/law/70348</vt:lpwstr>
      </vt:variant>
      <vt:variant>
        <vt:lpwstr/>
      </vt:variant>
      <vt:variant>
        <vt:i4>3866739</vt:i4>
      </vt:variant>
      <vt:variant>
        <vt:i4>78</vt:i4>
      </vt:variant>
      <vt:variant>
        <vt:i4>0</vt:i4>
      </vt:variant>
      <vt:variant>
        <vt:i4>5</vt:i4>
      </vt:variant>
      <vt:variant>
        <vt:lpwstr>http://www.nevo.co.il/case/20111699</vt:lpwstr>
      </vt:variant>
      <vt:variant>
        <vt:lpwstr/>
      </vt:variant>
      <vt:variant>
        <vt:i4>7995492</vt:i4>
      </vt:variant>
      <vt:variant>
        <vt:i4>75</vt:i4>
      </vt:variant>
      <vt:variant>
        <vt:i4>0</vt:i4>
      </vt:variant>
      <vt:variant>
        <vt:i4>5</vt:i4>
      </vt:variant>
      <vt:variant>
        <vt:lpwstr>http://www.nevo.co.il/law/70301</vt:lpwstr>
      </vt:variant>
      <vt:variant>
        <vt:lpwstr/>
      </vt:variant>
      <vt:variant>
        <vt:i4>3276926</vt:i4>
      </vt:variant>
      <vt:variant>
        <vt:i4>72</vt:i4>
      </vt:variant>
      <vt:variant>
        <vt:i4>0</vt:i4>
      </vt:variant>
      <vt:variant>
        <vt:i4>5</vt:i4>
      </vt:variant>
      <vt:variant>
        <vt:lpwstr>http://www.nevo.co.il/case/25890687</vt:lpwstr>
      </vt:variant>
      <vt:variant>
        <vt:lpwstr/>
      </vt:variant>
      <vt:variant>
        <vt:i4>3801203</vt:i4>
      </vt:variant>
      <vt:variant>
        <vt:i4>69</vt:i4>
      </vt:variant>
      <vt:variant>
        <vt:i4>0</vt:i4>
      </vt:variant>
      <vt:variant>
        <vt:i4>5</vt:i4>
      </vt:variant>
      <vt:variant>
        <vt:lpwstr>http://www.nevo.co.il/case/26538254</vt:lpwstr>
      </vt:variant>
      <vt:variant>
        <vt:lpwstr/>
      </vt:variant>
      <vt:variant>
        <vt:i4>4128881</vt:i4>
      </vt:variant>
      <vt:variant>
        <vt:i4>66</vt:i4>
      </vt:variant>
      <vt:variant>
        <vt:i4>0</vt:i4>
      </vt:variant>
      <vt:variant>
        <vt:i4>5</vt:i4>
      </vt:variant>
      <vt:variant>
        <vt:lpwstr>http://www.nevo.co.il/case/27309272</vt:lpwstr>
      </vt:variant>
      <vt:variant>
        <vt:lpwstr/>
      </vt:variant>
      <vt:variant>
        <vt:i4>3932283</vt:i4>
      </vt:variant>
      <vt:variant>
        <vt:i4>63</vt:i4>
      </vt:variant>
      <vt:variant>
        <vt:i4>0</vt:i4>
      </vt:variant>
      <vt:variant>
        <vt:i4>5</vt:i4>
      </vt:variant>
      <vt:variant>
        <vt:lpwstr>http://www.nevo.co.il/case/26905927</vt:lpwstr>
      </vt:variant>
      <vt:variant>
        <vt:lpwstr/>
      </vt:variant>
      <vt:variant>
        <vt:i4>3670139</vt:i4>
      </vt:variant>
      <vt:variant>
        <vt:i4>60</vt:i4>
      </vt:variant>
      <vt:variant>
        <vt:i4>0</vt:i4>
      </vt:variant>
      <vt:variant>
        <vt:i4>5</vt:i4>
      </vt:variant>
      <vt:variant>
        <vt:lpwstr>http://www.nevo.co.il/case/25824863</vt:lpwstr>
      </vt:variant>
      <vt:variant>
        <vt:lpwstr/>
      </vt:variant>
      <vt:variant>
        <vt:i4>3604599</vt:i4>
      </vt:variant>
      <vt:variant>
        <vt:i4>57</vt:i4>
      </vt:variant>
      <vt:variant>
        <vt:i4>0</vt:i4>
      </vt:variant>
      <vt:variant>
        <vt:i4>5</vt:i4>
      </vt:variant>
      <vt:variant>
        <vt:lpwstr>http://www.nevo.co.il/case/26934681</vt:lpwstr>
      </vt:variant>
      <vt:variant>
        <vt:lpwstr/>
      </vt:variant>
      <vt:variant>
        <vt:i4>3604592</vt:i4>
      </vt:variant>
      <vt:variant>
        <vt:i4>54</vt:i4>
      </vt:variant>
      <vt:variant>
        <vt:i4>0</vt:i4>
      </vt:variant>
      <vt:variant>
        <vt:i4>5</vt:i4>
      </vt:variant>
      <vt:variant>
        <vt:lpwstr>http://www.nevo.co.il/case/27404359</vt:lpwstr>
      </vt:variant>
      <vt:variant>
        <vt:lpwstr/>
      </vt:variant>
      <vt:variant>
        <vt:i4>3145855</vt:i4>
      </vt:variant>
      <vt:variant>
        <vt:i4>51</vt:i4>
      </vt:variant>
      <vt:variant>
        <vt:i4>0</vt:i4>
      </vt:variant>
      <vt:variant>
        <vt:i4>5</vt:i4>
      </vt:variant>
      <vt:variant>
        <vt:lpwstr>http://www.nevo.co.il/case/6239005</vt:lpwstr>
      </vt:variant>
      <vt:variant>
        <vt:lpwstr/>
      </vt:variant>
      <vt:variant>
        <vt:i4>3604598</vt:i4>
      </vt:variant>
      <vt:variant>
        <vt:i4>48</vt:i4>
      </vt:variant>
      <vt:variant>
        <vt:i4>0</vt:i4>
      </vt:variant>
      <vt:variant>
        <vt:i4>5</vt:i4>
      </vt:variant>
      <vt:variant>
        <vt:lpwstr>http://www.nevo.co.il/case/20000252</vt:lpwstr>
      </vt:variant>
      <vt:variant>
        <vt:lpwstr/>
      </vt:variant>
      <vt:variant>
        <vt:i4>3801206</vt:i4>
      </vt:variant>
      <vt:variant>
        <vt:i4>45</vt:i4>
      </vt:variant>
      <vt:variant>
        <vt:i4>0</vt:i4>
      </vt:variant>
      <vt:variant>
        <vt:i4>5</vt:i4>
      </vt:variant>
      <vt:variant>
        <vt:lpwstr>http://www.nevo.co.il/case/2237972</vt:lpwstr>
      </vt:variant>
      <vt:variant>
        <vt:lpwstr/>
      </vt:variant>
      <vt:variant>
        <vt:i4>6619246</vt:i4>
      </vt:variant>
      <vt:variant>
        <vt:i4>42</vt:i4>
      </vt:variant>
      <vt:variant>
        <vt:i4>0</vt:i4>
      </vt:variant>
      <vt:variant>
        <vt:i4>5</vt:i4>
      </vt:variant>
      <vt:variant>
        <vt:lpwstr>http://www.nevo.co.il/law/70348/24a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4390992</vt:i4>
      </vt:variant>
      <vt:variant>
        <vt:i4>30</vt:i4>
      </vt:variant>
      <vt:variant>
        <vt:i4>0</vt:i4>
      </vt:variant>
      <vt:variant>
        <vt:i4>5</vt:i4>
      </vt:variant>
      <vt:variant>
        <vt:lpwstr>http://www.nevo.co.il/law/70301/287.a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6619246</vt:i4>
      </vt:variant>
      <vt:variant>
        <vt:i4>15</vt:i4>
      </vt:variant>
      <vt:variant>
        <vt:i4>0</vt:i4>
      </vt:variant>
      <vt:variant>
        <vt:i4>5</vt:i4>
      </vt:variant>
      <vt:variant>
        <vt:lpwstr>http://www.nevo.co.il/law/70348/24a</vt:lpwstr>
      </vt:variant>
      <vt:variant>
        <vt:lpwstr/>
      </vt:variant>
      <vt:variant>
        <vt:i4>5505088</vt:i4>
      </vt:variant>
      <vt:variant>
        <vt:i4>12</vt:i4>
      </vt:variant>
      <vt:variant>
        <vt:i4>0</vt:i4>
      </vt:variant>
      <vt:variant>
        <vt:i4>5</vt:i4>
      </vt:variant>
      <vt:variant>
        <vt:lpwstr>http://www.nevo.co.il/law/70348/24.1</vt:lpwstr>
      </vt:variant>
      <vt:variant>
        <vt:lpwstr/>
      </vt:variant>
      <vt:variant>
        <vt:i4>8257636</vt:i4>
      </vt:variant>
      <vt:variant>
        <vt:i4>9</vt:i4>
      </vt:variant>
      <vt:variant>
        <vt:i4>0</vt:i4>
      </vt:variant>
      <vt:variant>
        <vt:i4>5</vt:i4>
      </vt:variant>
      <vt:variant>
        <vt:lpwstr>http://www.nevo.co.il/law/70348</vt:lpwstr>
      </vt:variant>
      <vt:variant>
        <vt:lpwstr/>
      </vt:variant>
      <vt:variant>
        <vt:i4>4390992</vt:i4>
      </vt:variant>
      <vt:variant>
        <vt:i4>6</vt:i4>
      </vt:variant>
      <vt:variant>
        <vt:i4>0</vt:i4>
      </vt:variant>
      <vt:variant>
        <vt:i4>5</vt:i4>
      </vt:variant>
      <vt:variant>
        <vt:lpwstr>http://www.nevo.co.il/law/70301/287.a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2023-07-03T06:23:00Z</cp:lastPrinted>
  <dcterms:created xsi:type="dcterms:W3CDTF">2025-01-19T17:52:00Z</dcterms:created>
  <dcterms:modified xsi:type="dcterms:W3CDTF">2025-01-19T17:52:00Z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51251</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 פרקליטות מחוז מרכז</vt:lpwstr>
  </property>
  <property fmtid="{D5CDD505-2E9C-101B-9397-08002B2CF9AE}" pid="9" name="APPELLEE">
    <vt:lpwstr>פלוני</vt:lpwstr>
  </property>
  <property fmtid="{D5CDD505-2E9C-101B-9397-08002B2CF9AE}" pid="10" name="JUDGE">
    <vt:lpwstr>שרון עצמון הלוי</vt:lpwstr>
  </property>
  <property fmtid="{D5CDD505-2E9C-101B-9397-08002B2CF9AE}" pid="11" name="CITY">
    <vt:lpwstr>פ"ת</vt:lpwstr>
  </property>
  <property fmtid="{D5CDD505-2E9C-101B-9397-08002B2CF9AE}" pid="12" name="DATE">
    <vt:lpwstr>20230626</vt:lpwstr>
  </property>
  <property fmtid="{D5CDD505-2E9C-101B-9397-08002B2CF9AE}" pid="13" name="TYPE_N_DATE">
    <vt:lpwstr>38020230626</vt:lpwstr>
  </property>
  <property fmtid="{D5CDD505-2E9C-101B-9397-08002B2CF9AE}" pid="14" name="WORDNUMPAGES">
    <vt:lpwstr>10</vt:lpwstr>
  </property>
  <property fmtid="{D5CDD505-2E9C-101B-9397-08002B2CF9AE}" pid="15" name="TYPE_ABS_DATE">
    <vt:lpwstr>380120230626</vt:lpwstr>
  </property>
  <property fmtid="{D5CDD505-2E9C-101B-9397-08002B2CF9AE}" pid="16" name="ISABSTRACT">
    <vt:lpwstr>Y</vt:lpwstr>
  </property>
  <property fmtid="{D5CDD505-2E9C-101B-9397-08002B2CF9AE}" pid="17" name="LAWYER">
    <vt:lpwstr>יהונתן הירש אילון;איהאב ג'לג'ולי;שי טובים</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2237972;20000252;6239005;27404359;26934681;25824863;26905927;27309272;26538254;25890687;20111699</vt:lpwstr>
  </property>
  <property fmtid="{D5CDD505-2E9C-101B-9397-08002B2CF9AE}" pid="36" name="LAWLISTTMP1">
    <vt:lpwstr>70301/144.a:2;287.a</vt:lpwstr>
  </property>
  <property fmtid="{D5CDD505-2E9C-101B-9397-08002B2CF9AE}" pid="37" name="LAWLISTTMP2">
    <vt:lpwstr>70348/024a:2;024.1</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13800;15752</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מתחם הענישה</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20230710</vt:lpwstr>
  </property>
  <property fmtid="{D5CDD505-2E9C-101B-9397-08002B2CF9AE}" pid="72" name="METAKZER">
    <vt:lpwstr>עומרי</vt:lpwstr>
  </property>
</Properties>
</file>