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97583E" w:rsidRPr="004C7C09" w14:paraId="044537AC" w14:textId="77777777" w:rsidTr="00C308B0">
        <w:trPr>
          <w:trHeight w:hRule="exact" w:val="418"/>
          <w:jc w:val="center"/>
        </w:trPr>
        <w:tc>
          <w:tcPr>
            <w:tcW w:w="8721" w:type="dxa"/>
            <w:gridSpan w:val="2"/>
          </w:tcPr>
          <w:p w14:paraId="229D369F" w14:textId="77777777" w:rsidR="0097583E" w:rsidRPr="004C7C09" w:rsidRDefault="0097583E" w:rsidP="00D9732C">
            <w:pPr>
              <w:pStyle w:val="a3"/>
              <w:jc w:val="center"/>
              <w:rPr>
                <w:rFonts w:ascii="Tahoma" w:hAnsi="Tahoma" w:cs="Tahoma"/>
                <w:color w:val="000080"/>
                <w:rtl/>
              </w:rPr>
            </w:pPr>
            <w:bookmarkStart w:id="0" w:name="FirstLawyer"/>
            <w:bookmarkStart w:id="1" w:name="LastJudge"/>
            <w:r w:rsidRPr="004C7C09">
              <w:rPr>
                <w:rFonts w:ascii="Tahoma" w:hAnsi="Tahoma" w:cs="Tahoma"/>
                <w:b/>
                <w:bCs/>
                <w:color w:val="000080"/>
                <w:rtl/>
              </w:rPr>
              <w:t>בית משפט השלום בחדרה</w:t>
            </w:r>
          </w:p>
        </w:tc>
      </w:tr>
      <w:tr w:rsidR="0097583E" w:rsidRPr="004C7C09" w14:paraId="4B751524" w14:textId="77777777" w:rsidTr="00C308B0">
        <w:trPr>
          <w:trHeight w:val="337"/>
          <w:jc w:val="center"/>
        </w:trPr>
        <w:tc>
          <w:tcPr>
            <w:tcW w:w="5060" w:type="dxa"/>
          </w:tcPr>
          <w:p w14:paraId="6E758704" w14:textId="77777777" w:rsidR="0097583E" w:rsidRPr="004C7C09" w:rsidRDefault="0097583E" w:rsidP="00D9732C">
            <w:pPr>
              <w:rPr>
                <w:rFonts w:cs="FrankRuehl"/>
                <w:sz w:val="28"/>
                <w:szCs w:val="28"/>
                <w:rtl/>
              </w:rPr>
            </w:pPr>
            <w:r w:rsidRPr="004C7C09">
              <w:rPr>
                <w:rFonts w:cs="FrankRuehl"/>
                <w:sz w:val="28"/>
                <w:szCs w:val="28"/>
                <w:rtl/>
              </w:rPr>
              <w:t>ת"פ</w:t>
            </w:r>
            <w:r w:rsidRPr="004C7C09">
              <w:rPr>
                <w:rFonts w:cs="FrankRuehl" w:hint="cs"/>
                <w:sz w:val="28"/>
                <w:szCs w:val="28"/>
                <w:rtl/>
              </w:rPr>
              <w:t xml:space="preserve"> </w:t>
            </w:r>
            <w:r w:rsidRPr="004C7C09">
              <w:rPr>
                <w:rFonts w:cs="FrankRuehl"/>
                <w:sz w:val="28"/>
                <w:szCs w:val="28"/>
                <w:rtl/>
              </w:rPr>
              <w:t>29620-01-23</w:t>
            </w:r>
            <w:r w:rsidRPr="004C7C09">
              <w:rPr>
                <w:rFonts w:cs="FrankRuehl" w:hint="cs"/>
                <w:sz w:val="28"/>
                <w:szCs w:val="28"/>
                <w:rtl/>
              </w:rPr>
              <w:t xml:space="preserve"> </w:t>
            </w:r>
            <w:r w:rsidRPr="004C7C09">
              <w:rPr>
                <w:rFonts w:cs="FrankRuehl"/>
                <w:sz w:val="28"/>
                <w:szCs w:val="28"/>
                <w:rtl/>
              </w:rPr>
              <w:t>מדינת ישראל נ' מחאמיד(עציר)</w:t>
            </w:r>
          </w:p>
          <w:p w14:paraId="2DC993DF" w14:textId="77777777" w:rsidR="0097583E" w:rsidRPr="004C7C09" w:rsidRDefault="0097583E" w:rsidP="00D9732C">
            <w:pPr>
              <w:pStyle w:val="a3"/>
              <w:rPr>
                <w:rFonts w:cs="FrankRuehl"/>
                <w:sz w:val="28"/>
                <w:szCs w:val="28"/>
                <w:rtl/>
              </w:rPr>
            </w:pPr>
          </w:p>
        </w:tc>
        <w:tc>
          <w:tcPr>
            <w:tcW w:w="3661" w:type="dxa"/>
          </w:tcPr>
          <w:p w14:paraId="293AAFC0" w14:textId="77777777" w:rsidR="0097583E" w:rsidRPr="004C7C09" w:rsidRDefault="0097583E" w:rsidP="00D9732C">
            <w:pPr>
              <w:pStyle w:val="a3"/>
              <w:jc w:val="right"/>
              <w:rPr>
                <w:rFonts w:cs="FrankRuehl"/>
                <w:sz w:val="28"/>
                <w:szCs w:val="28"/>
                <w:rtl/>
              </w:rPr>
            </w:pPr>
          </w:p>
        </w:tc>
      </w:tr>
    </w:tbl>
    <w:p w14:paraId="65B8EF5A" w14:textId="77777777" w:rsidR="0097583E" w:rsidRPr="004C7C09" w:rsidRDefault="0097583E" w:rsidP="00C308B0">
      <w:pPr>
        <w:pStyle w:val="a3"/>
        <w:rPr>
          <w:rtl/>
        </w:rPr>
      </w:pPr>
      <w:r w:rsidRPr="004C7C09">
        <w:rPr>
          <w:rFonts w:hint="cs"/>
          <w:rtl/>
        </w:rPr>
        <w:t xml:space="preserve"> </w:t>
      </w:r>
    </w:p>
    <w:p w14:paraId="02C33168" w14:textId="77777777" w:rsidR="00C308B0" w:rsidRPr="004C7C09" w:rsidRDefault="00C308B0" w:rsidP="00D9732C">
      <w:pPr>
        <w:rPr>
          <w:rFonts w:ascii="David" w:hAnsi="David"/>
          <w:b/>
          <w:bCs/>
          <w:sz w:val="26"/>
          <w:szCs w:val="26"/>
          <w:rtl/>
        </w:rPr>
      </w:pPr>
      <w:r w:rsidRPr="004C7C09">
        <w:rPr>
          <w:rFonts w:ascii="David" w:hAnsi="David"/>
          <w:sz w:val="26"/>
          <w:szCs w:val="26"/>
          <w:rtl/>
        </w:rPr>
        <w:t xml:space="preserve">בפני </w:t>
      </w:r>
      <w:r w:rsidRPr="004C7C09">
        <w:rPr>
          <w:rFonts w:ascii="David" w:hAnsi="David"/>
          <w:sz w:val="26"/>
          <w:szCs w:val="26"/>
        </w:rPr>
        <w:tab/>
      </w:r>
      <w:r w:rsidRPr="004C7C09">
        <w:rPr>
          <w:rFonts w:ascii="David" w:hAnsi="David"/>
          <w:b/>
          <w:bCs/>
          <w:sz w:val="26"/>
          <w:szCs w:val="26"/>
          <w:rtl/>
        </w:rPr>
        <w:t>כבוד השופט  אלכס אחטר</w:t>
      </w:r>
    </w:p>
    <w:p w14:paraId="154B10DD" w14:textId="77777777" w:rsidR="00C308B0" w:rsidRPr="004C7C09" w:rsidRDefault="00C308B0" w:rsidP="00D9732C">
      <w:pPr>
        <w:rPr>
          <w:rFonts w:ascii="David" w:hAnsi="David"/>
          <w:sz w:val="26"/>
          <w:szCs w:val="26"/>
          <w:rtl/>
        </w:rPr>
      </w:pPr>
    </w:p>
    <w:p w14:paraId="7BD2BCF5" w14:textId="77777777" w:rsidR="00C308B0" w:rsidRPr="004C7C09" w:rsidRDefault="00C308B0" w:rsidP="0097583E">
      <w:pPr>
        <w:tabs>
          <w:tab w:val="left" w:pos="987"/>
        </w:tabs>
        <w:rPr>
          <w:rFonts w:ascii="David" w:hAnsi="David"/>
          <w:sz w:val="26"/>
          <w:szCs w:val="26"/>
        </w:rPr>
      </w:pPr>
    </w:p>
    <w:p w14:paraId="5EA80F91" w14:textId="77777777" w:rsidR="00C308B0" w:rsidRPr="004C7C09" w:rsidRDefault="00C308B0" w:rsidP="0097583E">
      <w:pPr>
        <w:suppressLineNumbers/>
      </w:pPr>
      <w:bookmarkStart w:id="2" w:name="FirstAppellant"/>
      <w:r w:rsidRPr="004C7C09">
        <w:rPr>
          <w:rFonts w:ascii="David" w:hAnsi="David"/>
          <w:sz w:val="26"/>
          <w:szCs w:val="26"/>
          <w:rtl/>
        </w:rPr>
        <w:t>בעניין:</w:t>
      </w:r>
      <w:r w:rsidRPr="004C7C09">
        <w:rPr>
          <w:rFonts w:ascii="David" w:hAnsi="David"/>
          <w:sz w:val="26"/>
          <w:szCs w:val="26"/>
        </w:rPr>
        <w:tab/>
      </w:r>
      <w:r w:rsidRPr="004C7C09">
        <w:rPr>
          <w:rFonts w:ascii="Arial" w:hAnsi="Arial" w:hint="cs"/>
          <w:b/>
          <w:bCs/>
          <w:sz w:val="26"/>
          <w:szCs w:val="26"/>
          <w:rtl/>
        </w:rPr>
        <w:t>ה</w:t>
      </w:r>
      <w:r w:rsidRPr="004C7C09">
        <w:rPr>
          <w:rFonts w:ascii="Arial" w:hAnsi="Arial"/>
          <w:b/>
          <w:bCs/>
          <w:sz w:val="26"/>
          <w:szCs w:val="26"/>
          <w:rtl/>
        </w:rPr>
        <w:t>מאשימה</w:t>
      </w:r>
    </w:p>
    <w:p w14:paraId="706A2496" w14:textId="77777777" w:rsidR="00C308B0" w:rsidRPr="004C7C09" w:rsidRDefault="00C308B0" w:rsidP="0097583E">
      <w:pPr>
        <w:suppressLineNumbers/>
      </w:pPr>
      <w:r w:rsidRPr="004C7C09">
        <w:rPr>
          <w:rFonts w:ascii="David" w:hAnsi="David"/>
          <w:sz w:val="26"/>
          <w:szCs w:val="26"/>
        </w:rPr>
        <w:tab/>
      </w:r>
      <w:r w:rsidRPr="004C7C09">
        <w:rPr>
          <w:rFonts w:ascii="Arial" w:hAnsi="Arial"/>
          <w:b/>
          <w:bCs/>
          <w:sz w:val="26"/>
          <w:szCs w:val="26"/>
          <w:rtl/>
        </w:rPr>
        <w:t>מדינת ישראל</w:t>
      </w:r>
      <w:r w:rsidRPr="004C7C09">
        <w:rPr>
          <w:rFonts w:ascii="Arial" w:hAnsi="Arial" w:hint="cs"/>
          <w:b/>
          <w:bCs/>
          <w:sz w:val="26"/>
          <w:szCs w:val="26"/>
          <w:rtl/>
        </w:rPr>
        <w:t xml:space="preserve"> </w:t>
      </w:r>
      <w:r w:rsidRPr="004C7C09">
        <w:rPr>
          <w:rFonts w:ascii="Arial" w:hAnsi="Arial"/>
          <w:b/>
          <w:bCs/>
          <w:sz w:val="26"/>
          <w:szCs w:val="26"/>
          <w:rtl/>
        </w:rPr>
        <w:t>ע"י ב"כ עוה"ד</w:t>
      </w:r>
      <w:r w:rsidRPr="004C7C09">
        <w:rPr>
          <w:rFonts w:hint="cs"/>
          <w:rtl/>
        </w:rPr>
        <w:t xml:space="preserve"> </w:t>
      </w:r>
      <w:r w:rsidRPr="004C7C09">
        <w:rPr>
          <w:rFonts w:hint="cs"/>
          <w:b/>
          <w:bCs/>
          <w:rtl/>
        </w:rPr>
        <w:t>עמית אליתים</w:t>
      </w:r>
    </w:p>
    <w:p w14:paraId="330A7273" w14:textId="77777777" w:rsidR="00C308B0" w:rsidRPr="004C7C09" w:rsidRDefault="00C308B0" w:rsidP="00D9732C">
      <w:pPr>
        <w:tabs>
          <w:tab w:val="left" w:pos="987"/>
          <w:tab w:val="left" w:pos="4183"/>
        </w:tabs>
        <w:rPr>
          <w:rFonts w:ascii="David" w:hAnsi="David"/>
          <w:sz w:val="26"/>
          <w:szCs w:val="26"/>
        </w:rPr>
      </w:pPr>
    </w:p>
    <w:bookmarkEnd w:id="2"/>
    <w:p w14:paraId="32D5653E" w14:textId="77777777" w:rsidR="00C308B0" w:rsidRPr="004C7C09" w:rsidRDefault="00C308B0" w:rsidP="0097583E">
      <w:pPr>
        <w:jc w:val="center"/>
        <w:rPr>
          <w:rFonts w:ascii="David" w:hAnsi="David"/>
          <w:b/>
          <w:bCs/>
          <w:sz w:val="26"/>
          <w:szCs w:val="26"/>
          <w:rtl/>
        </w:rPr>
      </w:pPr>
      <w:r w:rsidRPr="004C7C09">
        <w:rPr>
          <w:rFonts w:ascii="David" w:hAnsi="David"/>
          <w:sz w:val="26"/>
          <w:szCs w:val="26"/>
          <w:rtl/>
        </w:rPr>
        <w:tab/>
      </w:r>
    </w:p>
    <w:p w14:paraId="3F99CF98" w14:textId="77777777" w:rsidR="00C308B0" w:rsidRPr="004C7C09" w:rsidRDefault="00C308B0" w:rsidP="0097583E">
      <w:pPr>
        <w:jc w:val="center"/>
        <w:rPr>
          <w:rFonts w:ascii="David" w:hAnsi="David"/>
          <w:b/>
          <w:bCs/>
          <w:sz w:val="26"/>
          <w:szCs w:val="26"/>
          <w:rtl/>
        </w:rPr>
      </w:pPr>
      <w:r w:rsidRPr="004C7C09">
        <w:rPr>
          <w:rFonts w:ascii="David" w:hAnsi="David"/>
          <w:b/>
          <w:bCs/>
          <w:sz w:val="26"/>
          <w:szCs w:val="26"/>
          <w:rtl/>
        </w:rPr>
        <w:t>נגד</w:t>
      </w:r>
    </w:p>
    <w:p w14:paraId="0ABDCC6B" w14:textId="77777777" w:rsidR="00C308B0" w:rsidRPr="004C7C09" w:rsidRDefault="00C308B0" w:rsidP="0097583E">
      <w:pPr>
        <w:tabs>
          <w:tab w:val="left" w:pos="987"/>
        </w:tabs>
        <w:rPr>
          <w:rFonts w:ascii="David" w:hAnsi="David"/>
          <w:sz w:val="26"/>
          <w:szCs w:val="26"/>
        </w:rPr>
      </w:pPr>
    </w:p>
    <w:p w14:paraId="2E57E250" w14:textId="77777777" w:rsidR="00C308B0" w:rsidRDefault="00C308B0" w:rsidP="00D9732C">
      <w:pPr>
        <w:rPr>
          <w:rFonts w:ascii="David" w:hAnsi="David"/>
          <w:sz w:val="26"/>
          <w:szCs w:val="26"/>
          <w:rtl/>
        </w:rPr>
      </w:pPr>
    </w:p>
    <w:p w14:paraId="7C91EECD" w14:textId="77777777" w:rsidR="00C308B0" w:rsidRPr="00C308B0" w:rsidRDefault="00C308B0" w:rsidP="00D9732C">
      <w:pPr>
        <w:rPr>
          <w:rFonts w:ascii="David" w:hAnsi="David"/>
          <w:sz w:val="26"/>
          <w:szCs w:val="26"/>
          <w:rtl/>
        </w:rPr>
      </w:pPr>
    </w:p>
    <w:p w14:paraId="05832337" w14:textId="77777777" w:rsidR="00C308B0" w:rsidRPr="00C308B0" w:rsidRDefault="00C308B0" w:rsidP="00D9732C">
      <w:pPr>
        <w:rPr>
          <w:rFonts w:ascii="David" w:hAnsi="David"/>
          <w:sz w:val="26"/>
          <w:szCs w:val="26"/>
          <w:rtl/>
        </w:rPr>
      </w:pPr>
    </w:p>
    <w:p w14:paraId="12EAA876" w14:textId="77777777" w:rsidR="00C308B0" w:rsidRPr="00C308B0" w:rsidRDefault="00C308B0" w:rsidP="00D9732C">
      <w:pPr>
        <w:rPr>
          <w:rFonts w:ascii="David" w:hAnsi="David"/>
          <w:sz w:val="26"/>
          <w:szCs w:val="26"/>
          <w:rtl/>
        </w:rPr>
      </w:pPr>
    </w:p>
    <w:p w14:paraId="4F4D622D" w14:textId="77777777" w:rsidR="00C308B0" w:rsidRDefault="00C308B0" w:rsidP="0097583E">
      <w:pPr>
        <w:suppressLineNumbers/>
        <w:rPr>
          <w:rFonts w:hint="cs"/>
          <w:b/>
          <w:bCs/>
          <w:rtl/>
        </w:rPr>
      </w:pPr>
      <w:r w:rsidRPr="004C7C09">
        <w:rPr>
          <w:rFonts w:ascii="David" w:hAnsi="David"/>
          <w:sz w:val="26"/>
          <w:szCs w:val="26"/>
          <w:rtl/>
        </w:rPr>
        <w:tab/>
      </w:r>
      <w:r w:rsidRPr="004C7C09">
        <w:rPr>
          <w:rFonts w:ascii="Arial" w:hAnsi="Arial"/>
          <w:b/>
          <w:bCs/>
          <w:sz w:val="26"/>
          <w:szCs w:val="26"/>
          <w:rtl/>
        </w:rPr>
        <w:t>הנאשם</w:t>
      </w:r>
      <w:r w:rsidRPr="004C7C09">
        <w:rPr>
          <w:rFonts w:ascii="Arial" w:hAnsi="Arial"/>
          <w:b/>
          <w:bCs/>
          <w:sz w:val="26"/>
          <w:szCs w:val="26"/>
          <w:rtl/>
        </w:rPr>
        <w:tab/>
        <w:t>אחמד מחאמיד (עציר)</w:t>
      </w:r>
      <w:r w:rsidRPr="004C7C09">
        <w:rPr>
          <w:rFonts w:ascii="Arial" w:hAnsi="Arial" w:hint="cs"/>
          <w:b/>
          <w:bCs/>
          <w:sz w:val="26"/>
          <w:szCs w:val="26"/>
          <w:rtl/>
        </w:rPr>
        <w:t xml:space="preserve"> </w:t>
      </w:r>
      <w:r w:rsidRPr="004C7C09">
        <w:rPr>
          <w:rFonts w:ascii="Arial" w:hAnsi="Arial"/>
          <w:b/>
          <w:bCs/>
          <w:sz w:val="26"/>
          <w:szCs w:val="26"/>
          <w:rtl/>
        </w:rPr>
        <w:t>ע"י ב"כ עוה"ד</w:t>
      </w:r>
      <w:r w:rsidRPr="004C7C09">
        <w:rPr>
          <w:rFonts w:hint="cs"/>
          <w:rtl/>
        </w:rPr>
        <w:t xml:space="preserve"> </w:t>
      </w:r>
      <w:r w:rsidRPr="004C7C09">
        <w:rPr>
          <w:rFonts w:hint="cs"/>
          <w:b/>
          <w:bCs/>
          <w:rtl/>
        </w:rPr>
        <w:t>פאיז יונס</w:t>
      </w:r>
    </w:p>
    <w:p w14:paraId="66BC31BC" w14:textId="77777777" w:rsidR="00C308B0" w:rsidRDefault="00C308B0" w:rsidP="0097583E">
      <w:pPr>
        <w:suppressLineNumbers/>
        <w:rPr>
          <w:rFonts w:hint="cs"/>
          <w:b/>
          <w:bCs/>
          <w:rtl/>
        </w:rPr>
      </w:pPr>
    </w:p>
    <w:p w14:paraId="5CCCEDE2" w14:textId="77777777" w:rsidR="00C308B0" w:rsidRDefault="00C308B0" w:rsidP="0097583E">
      <w:pPr>
        <w:suppressLineNumbers/>
        <w:rPr>
          <w:rFonts w:hint="cs"/>
          <w:b/>
          <w:bCs/>
          <w:rtl/>
        </w:rPr>
      </w:pPr>
    </w:p>
    <w:p w14:paraId="3CCEE938" w14:textId="77777777" w:rsidR="00020349" w:rsidRPr="00020349" w:rsidRDefault="00020349" w:rsidP="00C308B0">
      <w:pPr>
        <w:spacing w:after="120" w:line="240" w:lineRule="exact"/>
        <w:ind w:left="283" w:hanging="283"/>
        <w:jc w:val="both"/>
        <w:rPr>
          <w:rFonts w:ascii="FrankRuehl" w:hAnsi="FrankRuehl" w:cs="FrankRuehl"/>
          <w:rtl/>
        </w:rPr>
      </w:pPr>
    </w:p>
    <w:p w14:paraId="68D5D552" w14:textId="77777777" w:rsidR="00020349" w:rsidRPr="00020349" w:rsidRDefault="00020349" w:rsidP="00020349">
      <w:pPr>
        <w:spacing w:after="120" w:line="240" w:lineRule="exact"/>
        <w:ind w:left="283" w:hanging="283"/>
        <w:jc w:val="both"/>
        <w:rPr>
          <w:rFonts w:ascii="FrankRuehl" w:hAnsi="FrankRuehl" w:cs="FrankRuehl"/>
          <w:rtl/>
        </w:rPr>
      </w:pPr>
      <w:bookmarkStart w:id="3" w:name="Links_Start"/>
      <w:bookmarkEnd w:id="3"/>
      <w:r w:rsidRPr="00020349">
        <w:rPr>
          <w:rFonts w:ascii="FrankRuehl" w:hAnsi="FrankRuehl" w:cs="FrankRuehl"/>
          <w:rtl/>
        </w:rPr>
        <w:t>ספרות:</w:t>
      </w:r>
    </w:p>
    <w:p w14:paraId="6E658BAB" w14:textId="77777777" w:rsidR="00020349" w:rsidRPr="00020349" w:rsidRDefault="00020349" w:rsidP="00020349">
      <w:pPr>
        <w:spacing w:after="120" w:line="240" w:lineRule="exact"/>
        <w:ind w:left="283" w:hanging="283"/>
        <w:jc w:val="both"/>
        <w:rPr>
          <w:rStyle w:val="Hyperlink"/>
          <w:rFonts w:ascii="FrankRuehl" w:hAnsi="FrankRuehl" w:cs="FrankRuehl"/>
          <w:u w:val="none"/>
          <w:rtl/>
        </w:rPr>
      </w:pPr>
      <w:r w:rsidRPr="00020349">
        <w:rPr>
          <w:rFonts w:ascii="FrankRuehl" w:hAnsi="FrankRuehl" w:cs="FrankRuehl"/>
          <w:color w:val="0000FF"/>
          <w:rtl/>
        </w:rPr>
        <w:fldChar w:fldCharType="begin"/>
      </w:r>
      <w:r w:rsidRPr="00020349">
        <w:rPr>
          <w:rFonts w:ascii="FrankRuehl" w:hAnsi="FrankRuehl" w:cs="FrankRuehl"/>
          <w:color w:val="0000FF"/>
          <w:rtl/>
        </w:rPr>
        <w:instrText xml:space="preserve"> </w:instrText>
      </w:r>
      <w:r w:rsidRPr="00020349">
        <w:rPr>
          <w:rFonts w:ascii="FrankRuehl" w:hAnsi="FrankRuehl" w:cs="FrankRuehl"/>
          <w:color w:val="0000FF"/>
        </w:rPr>
        <w:instrText xml:space="preserve">HYPERLINK </w:instrText>
      </w:r>
      <w:r w:rsidRPr="00020349">
        <w:rPr>
          <w:rFonts w:ascii="FrankRuehl" w:hAnsi="FrankRuehl" w:cs="FrankRuehl"/>
          <w:color w:val="0000FF"/>
          <w:rtl/>
        </w:rPr>
        <w:instrText>"</w:instrText>
      </w:r>
      <w:r w:rsidRPr="00020349">
        <w:rPr>
          <w:rFonts w:ascii="FrankRuehl" w:hAnsi="FrankRuehl" w:cs="FrankRuehl"/>
          <w:color w:val="0000FF"/>
        </w:rPr>
        <w:instrText>http://www.nevo.co.il/safrut/bookgroup/412"</w:instrText>
      </w:r>
      <w:r w:rsidRPr="00020349">
        <w:rPr>
          <w:rFonts w:ascii="FrankRuehl" w:hAnsi="FrankRuehl" w:cs="FrankRuehl"/>
          <w:color w:val="0000FF"/>
          <w:rtl/>
        </w:rPr>
        <w:instrText xml:space="preserve"> </w:instrText>
      </w:r>
      <w:r w:rsidRPr="00020349">
        <w:rPr>
          <w:rFonts w:ascii="FrankRuehl" w:hAnsi="FrankRuehl" w:cs="FrankRuehl"/>
          <w:color w:val="0000FF"/>
          <w:rtl/>
        </w:rPr>
      </w:r>
      <w:r w:rsidRPr="00020349">
        <w:rPr>
          <w:rFonts w:ascii="FrankRuehl" w:hAnsi="FrankRuehl" w:cs="FrankRuehl"/>
          <w:color w:val="0000FF"/>
          <w:rtl/>
        </w:rPr>
        <w:fldChar w:fldCharType="separate"/>
      </w:r>
      <w:r w:rsidRPr="00020349">
        <w:rPr>
          <w:rStyle w:val="Hyperlink"/>
          <w:rFonts w:ascii="FrankRuehl" w:hAnsi="FrankRuehl" w:cs="FrankRuehl"/>
          <w:u w:val="none"/>
          <w:rtl/>
        </w:rPr>
        <w:t xml:space="preserve">ש"ז פלר  </w:t>
      </w:r>
      <w:r w:rsidRPr="00020349">
        <w:rPr>
          <w:rStyle w:val="Hyperlink"/>
          <w:rFonts w:ascii="FrankRuehl" w:hAnsi="FrankRuehl" w:cs="FrankRuehl"/>
          <w:u w:val="none"/>
        </w:rPr>
        <w:t xml:space="preserve"> </w:t>
      </w:r>
      <w:r w:rsidRPr="00020349">
        <w:rPr>
          <w:rStyle w:val="Hyperlink"/>
          <w:rFonts w:ascii="FrankRuehl" w:hAnsi="FrankRuehl" w:cs="FrankRuehl"/>
          <w:b/>
          <w:bCs/>
          <w:u w:val="none"/>
          <w:rtl/>
        </w:rPr>
        <w:t xml:space="preserve">יסודות בדיני עונשין </w:t>
      </w:r>
    </w:p>
    <w:p w14:paraId="48AC1A01" w14:textId="77777777" w:rsidR="00020349" w:rsidRDefault="00020349" w:rsidP="00020349">
      <w:pPr>
        <w:spacing w:after="120" w:line="240" w:lineRule="exact"/>
        <w:ind w:left="283" w:hanging="283"/>
        <w:jc w:val="both"/>
        <w:rPr>
          <w:rFonts w:ascii="FrankRuehl" w:hAnsi="FrankRuehl" w:cs="FrankRuehl"/>
          <w:color w:val="0000FF"/>
          <w:rtl/>
        </w:rPr>
      </w:pPr>
      <w:r w:rsidRPr="00020349">
        <w:rPr>
          <w:rFonts w:ascii="FrankRuehl" w:hAnsi="FrankRuehl" w:cs="FrankRuehl"/>
          <w:color w:val="0000FF"/>
          <w:rtl/>
        </w:rPr>
        <w:fldChar w:fldCharType="end"/>
      </w:r>
      <w:bookmarkStart w:id="4" w:name="Links_End"/>
      <w:bookmarkStart w:id="5" w:name="LawTable"/>
      <w:bookmarkEnd w:id="4"/>
      <w:bookmarkEnd w:id="5"/>
    </w:p>
    <w:p w14:paraId="0D6E6E02" w14:textId="77777777" w:rsidR="00020349" w:rsidRPr="00020349" w:rsidRDefault="00020349" w:rsidP="00020349">
      <w:pPr>
        <w:spacing w:before="120" w:after="120" w:line="240" w:lineRule="exact"/>
        <w:ind w:left="283" w:hanging="283"/>
        <w:jc w:val="both"/>
        <w:rPr>
          <w:rFonts w:ascii="FrankRuehl" w:hAnsi="FrankRuehl" w:cs="FrankRuehl"/>
          <w:color w:val="0000FF"/>
          <w:rtl/>
        </w:rPr>
      </w:pPr>
    </w:p>
    <w:p w14:paraId="607F0DCE" w14:textId="77777777" w:rsidR="00020349" w:rsidRPr="00020349" w:rsidRDefault="00020349" w:rsidP="00020349">
      <w:pPr>
        <w:spacing w:before="120" w:after="120" w:line="240" w:lineRule="exact"/>
        <w:ind w:left="283" w:hanging="283"/>
        <w:jc w:val="both"/>
        <w:rPr>
          <w:rFonts w:ascii="FrankRuehl" w:hAnsi="FrankRuehl" w:cs="FrankRuehl"/>
          <w:color w:val="0000FF"/>
          <w:rtl/>
        </w:rPr>
      </w:pPr>
    </w:p>
    <w:p w14:paraId="054171D4" w14:textId="77777777" w:rsidR="00020349" w:rsidRPr="00020349" w:rsidRDefault="00020349" w:rsidP="00020349">
      <w:pPr>
        <w:spacing w:before="120" w:after="120" w:line="240" w:lineRule="exact"/>
        <w:ind w:left="283" w:hanging="283"/>
        <w:jc w:val="both"/>
        <w:rPr>
          <w:rFonts w:ascii="FrankRuehl" w:hAnsi="FrankRuehl" w:cs="FrankRuehl"/>
          <w:color w:val="0000FF"/>
          <w:rtl/>
        </w:rPr>
      </w:pPr>
      <w:r w:rsidRPr="00020349">
        <w:rPr>
          <w:rFonts w:ascii="FrankRuehl" w:hAnsi="FrankRuehl" w:cs="FrankRuehl"/>
          <w:color w:val="0000FF"/>
          <w:rtl/>
        </w:rPr>
        <w:t xml:space="preserve">חקיקה שאוזכרה: </w:t>
      </w:r>
    </w:p>
    <w:p w14:paraId="3AB88B43" w14:textId="77777777" w:rsidR="00020349" w:rsidRPr="00020349" w:rsidRDefault="00020349" w:rsidP="00020349">
      <w:pPr>
        <w:spacing w:before="120" w:after="120" w:line="240" w:lineRule="exact"/>
        <w:ind w:left="283" w:hanging="283"/>
        <w:jc w:val="both"/>
        <w:rPr>
          <w:rFonts w:ascii="FrankRuehl" w:hAnsi="FrankRuehl" w:cs="FrankRuehl"/>
          <w:rtl/>
        </w:rPr>
      </w:pPr>
      <w:hyperlink r:id="rId7" w:history="1">
        <w:r w:rsidRPr="00020349">
          <w:rPr>
            <w:rFonts w:ascii="FrankRuehl" w:hAnsi="FrankRuehl" w:cs="FrankRuehl"/>
            <w:color w:val="0000FF"/>
            <w:rtl/>
          </w:rPr>
          <w:t>חוק העונשין, תשל"ז-1977</w:t>
        </w:r>
      </w:hyperlink>
      <w:r w:rsidRPr="00020349">
        <w:rPr>
          <w:rFonts w:ascii="FrankRuehl" w:hAnsi="FrankRuehl" w:cs="FrankRuehl"/>
          <w:rtl/>
        </w:rPr>
        <w:t xml:space="preserve">: סע'  </w:t>
      </w:r>
      <w:hyperlink r:id="rId8" w:history="1">
        <w:r w:rsidRPr="00020349">
          <w:rPr>
            <w:rFonts w:ascii="FrankRuehl" w:hAnsi="FrankRuehl" w:cs="FrankRuehl"/>
            <w:color w:val="0000FF"/>
            <w:rtl/>
          </w:rPr>
          <w:t>40ד'</w:t>
        </w:r>
      </w:hyperlink>
      <w:r w:rsidRPr="00020349">
        <w:rPr>
          <w:rFonts w:ascii="FrankRuehl" w:hAnsi="FrankRuehl" w:cs="FrankRuehl"/>
          <w:rtl/>
        </w:rPr>
        <w:t xml:space="preserve">, </w:t>
      </w:r>
      <w:hyperlink r:id="rId9" w:history="1">
        <w:r w:rsidRPr="00020349">
          <w:rPr>
            <w:rFonts w:ascii="FrankRuehl" w:hAnsi="FrankRuehl" w:cs="FrankRuehl"/>
            <w:color w:val="0000FF"/>
            <w:rtl/>
          </w:rPr>
          <w:t>40 ה'</w:t>
        </w:r>
      </w:hyperlink>
      <w:r w:rsidRPr="00020349">
        <w:rPr>
          <w:rFonts w:ascii="FrankRuehl" w:hAnsi="FrankRuehl" w:cs="FrankRuehl"/>
          <w:rtl/>
        </w:rPr>
        <w:t xml:space="preserve">, </w:t>
      </w:r>
      <w:hyperlink r:id="rId10" w:history="1">
        <w:r w:rsidRPr="00020349">
          <w:rPr>
            <w:rFonts w:ascii="FrankRuehl" w:hAnsi="FrankRuehl" w:cs="FrankRuehl"/>
            <w:color w:val="0000FF"/>
            <w:rtl/>
          </w:rPr>
          <w:t>40ט'</w:t>
        </w:r>
      </w:hyperlink>
      <w:r w:rsidRPr="00020349">
        <w:rPr>
          <w:rFonts w:ascii="FrankRuehl" w:hAnsi="FrankRuehl" w:cs="FrankRuehl"/>
          <w:rtl/>
        </w:rPr>
        <w:t xml:space="preserve">, </w:t>
      </w:r>
      <w:hyperlink r:id="rId11" w:history="1">
        <w:r w:rsidRPr="00020349">
          <w:rPr>
            <w:rFonts w:ascii="FrankRuehl" w:hAnsi="FrankRuehl" w:cs="FrankRuehl"/>
            <w:color w:val="0000FF"/>
            <w:rtl/>
          </w:rPr>
          <w:t>144(א)</w:t>
        </w:r>
      </w:hyperlink>
      <w:r w:rsidRPr="00020349">
        <w:rPr>
          <w:rFonts w:ascii="FrankRuehl" w:hAnsi="FrankRuehl" w:cs="FrankRuehl"/>
          <w:rtl/>
        </w:rPr>
        <w:t xml:space="preserve">, </w:t>
      </w:r>
      <w:hyperlink r:id="rId12" w:history="1">
        <w:r w:rsidRPr="00020349">
          <w:rPr>
            <w:rFonts w:ascii="FrankRuehl" w:hAnsi="FrankRuehl" w:cs="FrankRuehl"/>
            <w:color w:val="0000FF"/>
            <w:rtl/>
          </w:rPr>
          <w:t>40יא'</w:t>
        </w:r>
      </w:hyperlink>
    </w:p>
    <w:p w14:paraId="54C35A7C" w14:textId="77777777" w:rsidR="00020349" w:rsidRPr="00020349" w:rsidRDefault="00020349" w:rsidP="00020349">
      <w:pPr>
        <w:spacing w:after="120" w:line="240" w:lineRule="exact"/>
        <w:ind w:left="283" w:hanging="283"/>
        <w:jc w:val="both"/>
        <w:rPr>
          <w:rFonts w:ascii="FrankRuehl" w:hAnsi="FrankRuehl" w:cs="FrankRuehl"/>
          <w:rtl/>
        </w:rPr>
      </w:pPr>
      <w:bookmarkStart w:id="6" w:name="LawTable_End"/>
      <w:bookmarkEnd w:id="6"/>
    </w:p>
    <w:p w14:paraId="65733C62" w14:textId="77777777" w:rsidR="00C308B0" w:rsidRPr="00020349" w:rsidRDefault="00C308B0" w:rsidP="00020349">
      <w:pPr>
        <w:spacing w:after="120" w:line="240" w:lineRule="exact"/>
        <w:ind w:left="283" w:hanging="283"/>
        <w:jc w:val="both"/>
        <w:rPr>
          <w:rFonts w:ascii="FrankRuehl" w:hAnsi="FrankRuehl" w:cs="FrankRuehl"/>
          <w:color w:val="0000FF"/>
          <w:rtl/>
        </w:rPr>
      </w:pPr>
    </w:p>
    <w:p w14:paraId="10E066AD" w14:textId="77777777" w:rsidR="00F438FA" w:rsidRPr="00F438FA" w:rsidRDefault="00F438FA" w:rsidP="004C7C09">
      <w:pPr>
        <w:spacing w:after="120" w:line="240" w:lineRule="exact"/>
        <w:ind w:left="283" w:hanging="283"/>
        <w:jc w:val="both"/>
        <w:rPr>
          <w:rFonts w:hint="cs"/>
          <w:vanish/>
          <w:color w:val="0000FF"/>
          <w:rtl/>
        </w:rPr>
      </w:pPr>
    </w:p>
    <w:p w14:paraId="0BCFC3FB" w14:textId="77777777" w:rsidR="00F438FA" w:rsidRPr="00F438FA" w:rsidRDefault="00F438FA" w:rsidP="004C7C09">
      <w:pPr>
        <w:spacing w:after="120" w:line="240" w:lineRule="exact"/>
        <w:ind w:left="283" w:hanging="283"/>
        <w:jc w:val="both"/>
        <w:rPr>
          <w:vanish/>
          <w:color w:val="0000FF"/>
        </w:rPr>
      </w:pPr>
      <w:r w:rsidRPr="00F438FA">
        <w:rPr>
          <w:vanish/>
          <w:color w:val="0000FF"/>
          <w:rtl/>
        </w:rPr>
        <w:t>ספרות:</w:t>
      </w:r>
    </w:p>
    <w:p w14:paraId="3C9E3273" w14:textId="77777777" w:rsidR="0097583E" w:rsidRPr="00F438FA" w:rsidRDefault="0097583E" w:rsidP="00F438FA">
      <w:pPr>
        <w:spacing w:after="120" w:line="240" w:lineRule="exact"/>
        <w:ind w:left="283" w:hanging="283"/>
        <w:jc w:val="both"/>
        <w:rPr>
          <w:vanish/>
          <w:color w:val="0000FF"/>
        </w:rPr>
      </w:pPr>
    </w:p>
    <w:p w14:paraId="1C023D72" w14:textId="77777777" w:rsidR="00C308B0" w:rsidRPr="00F438FA" w:rsidRDefault="00C308B0" w:rsidP="004C7C09">
      <w:pPr>
        <w:jc w:val="center"/>
        <w:rPr>
          <w:rFonts w:ascii="David" w:hAnsi="David"/>
          <w:b/>
          <w:bCs/>
          <w:color w:val="0000FF"/>
          <w:sz w:val="32"/>
          <w:szCs w:val="32"/>
          <w:rtl/>
        </w:rPr>
      </w:pPr>
      <w:bookmarkStart w:id="7" w:name="PsakDin" w:colFirst="0" w:colLast="0"/>
      <w:bookmarkEnd w:id="0"/>
      <w:bookmarkEnd w:id="1"/>
      <w:r w:rsidRPr="00F438FA">
        <w:rPr>
          <w:rFonts w:ascii="David" w:hAnsi="David"/>
          <w:b/>
          <w:bCs/>
          <w:color w:val="0000FF"/>
          <w:sz w:val="32"/>
          <w:szCs w:val="32"/>
          <w:rtl/>
        </w:rPr>
        <w:t>גזר דין</w:t>
      </w:r>
    </w:p>
    <w:p w14:paraId="1CFC05D3" w14:textId="77777777" w:rsidR="00C308B0" w:rsidRPr="004C7C09" w:rsidRDefault="00C308B0" w:rsidP="00F438FA">
      <w:pPr>
        <w:spacing w:after="120" w:line="240" w:lineRule="exact"/>
        <w:ind w:left="283" w:hanging="283"/>
        <w:jc w:val="both"/>
        <w:rPr>
          <w:rFonts w:ascii="David" w:hAnsi="David"/>
          <w:bCs/>
          <w:sz w:val="32"/>
          <w:szCs w:val="32"/>
          <w:u w:val="single"/>
        </w:rPr>
      </w:pPr>
    </w:p>
    <w:bookmarkEnd w:id="7"/>
    <w:p w14:paraId="0B78271A" w14:textId="77777777" w:rsidR="0097583E" w:rsidRPr="00212CEA" w:rsidRDefault="0097583E" w:rsidP="0097583E">
      <w:pPr>
        <w:rPr>
          <w:rFonts w:ascii="Arial" w:hAnsi="Arial"/>
          <w:b/>
          <w:bCs/>
          <w:sz w:val="26"/>
          <w:szCs w:val="26"/>
          <w:rtl/>
        </w:rPr>
      </w:pPr>
    </w:p>
    <w:p w14:paraId="1B80D3CF" w14:textId="77777777" w:rsidR="0097583E" w:rsidRPr="00212CEA" w:rsidRDefault="0097583E" w:rsidP="0097583E">
      <w:pPr>
        <w:spacing w:line="360" w:lineRule="auto"/>
        <w:jc w:val="both"/>
        <w:rPr>
          <w:rFonts w:ascii="Arial" w:hAnsi="Arial"/>
          <w:rtl/>
        </w:rPr>
      </w:pPr>
      <w:bookmarkStart w:id="8" w:name="ABSTRACT_START"/>
      <w:bookmarkEnd w:id="8"/>
      <w:r w:rsidRPr="00212CEA">
        <w:rPr>
          <w:rFonts w:ascii="Arial" w:hAnsi="Arial"/>
          <w:rtl/>
        </w:rPr>
        <w:t xml:space="preserve">הנאשם הורשע על פי הודאתו בעבירות המיוחסות לו בכתב האישום - החזקת נשק שלא כדין – עבירה לפי </w:t>
      </w:r>
      <w:hyperlink r:id="rId13" w:history="1">
        <w:r w:rsidR="00C308B0" w:rsidRPr="00C308B0">
          <w:rPr>
            <w:rStyle w:val="Hyperlink"/>
            <w:rFonts w:ascii="Arial" w:hAnsi="Arial"/>
            <w:rtl/>
          </w:rPr>
          <w:t>סעיף 144(א)</w:t>
        </w:r>
      </w:hyperlink>
      <w:r w:rsidRPr="00212CEA">
        <w:rPr>
          <w:rFonts w:ascii="Arial" w:hAnsi="Arial"/>
          <w:rtl/>
        </w:rPr>
        <w:t xml:space="preserve"> רישא ל</w:t>
      </w:r>
      <w:hyperlink r:id="rId14" w:history="1">
        <w:r w:rsidR="004C7C09" w:rsidRPr="004C7C09">
          <w:rPr>
            <w:rFonts w:ascii="Arial" w:hAnsi="Arial"/>
            <w:color w:val="0000FF"/>
            <w:u w:val="single"/>
            <w:rtl/>
          </w:rPr>
          <w:t>חוק העונשין</w:t>
        </w:r>
      </w:hyperlink>
      <w:r w:rsidRPr="00212CEA">
        <w:rPr>
          <w:rFonts w:ascii="Arial" w:hAnsi="Arial"/>
          <w:rtl/>
        </w:rPr>
        <w:t xml:space="preserve">, תשל"ז – 1977 והחזקת חלק של נשק – עבירה לפי </w:t>
      </w:r>
      <w:hyperlink r:id="rId15" w:history="1">
        <w:r w:rsidR="00C308B0" w:rsidRPr="00C308B0">
          <w:rPr>
            <w:rStyle w:val="Hyperlink"/>
            <w:rFonts w:ascii="Arial" w:hAnsi="Arial"/>
            <w:rtl/>
          </w:rPr>
          <w:t>סעיף 144(א)</w:t>
        </w:r>
      </w:hyperlink>
      <w:r w:rsidRPr="00212CEA">
        <w:rPr>
          <w:rFonts w:ascii="Arial" w:hAnsi="Arial"/>
          <w:rtl/>
        </w:rPr>
        <w:t xml:space="preserve"> סיפא לחוק העונשין, תשל"ז – 1977. </w:t>
      </w:r>
    </w:p>
    <w:p w14:paraId="384A6AFD" w14:textId="77777777" w:rsidR="0097583E" w:rsidRPr="00212CEA" w:rsidRDefault="0097583E" w:rsidP="0097583E">
      <w:pPr>
        <w:spacing w:line="360" w:lineRule="auto"/>
        <w:jc w:val="both"/>
        <w:rPr>
          <w:rFonts w:ascii="Arial" w:hAnsi="Arial"/>
          <w:rtl/>
        </w:rPr>
      </w:pPr>
      <w:bookmarkStart w:id="9" w:name="ABSTRACT_END"/>
      <w:bookmarkEnd w:id="9"/>
    </w:p>
    <w:p w14:paraId="19F74DFE" w14:textId="77777777" w:rsidR="0097583E" w:rsidRPr="00212CEA" w:rsidRDefault="0097583E" w:rsidP="0097583E">
      <w:pPr>
        <w:spacing w:line="360" w:lineRule="auto"/>
        <w:jc w:val="both"/>
        <w:rPr>
          <w:rFonts w:ascii="Arial" w:hAnsi="Arial"/>
          <w:rtl/>
        </w:rPr>
      </w:pPr>
      <w:r w:rsidRPr="00212CEA">
        <w:rPr>
          <w:rFonts w:ascii="Arial" w:hAnsi="Arial"/>
          <w:rtl/>
        </w:rPr>
        <w:t xml:space="preserve">כעולה מעובדות כתב האישום החל ממועד שאינו בידיעת המאשימה במדויק ועד ליום 3/1/23, בשעות הבוקר, במהלך חיפוש שנעשה על פי צו בבית הנאשם באום אל פאחם, החזיק הנאשם בתוך חדר בקומה הראשונה, בתוך ארון אחסון בו סירים, באקדח חצי אוטומט מסוג </w:t>
      </w:r>
      <w:r w:rsidRPr="00212CEA">
        <w:rPr>
          <w:rFonts w:ascii="Arial" w:hAnsi="Arial"/>
        </w:rPr>
        <w:t xml:space="preserve">FN </w:t>
      </w:r>
      <w:r w:rsidRPr="00212CEA">
        <w:rPr>
          <w:rFonts w:ascii="Arial" w:hAnsi="Arial"/>
          <w:rtl/>
        </w:rPr>
        <w:t xml:space="preserve"> מספר סידורי</w:t>
      </w:r>
    </w:p>
    <w:p w14:paraId="3F77DA32" w14:textId="77777777" w:rsidR="0097583E" w:rsidRPr="00212CEA" w:rsidRDefault="0097583E" w:rsidP="0097583E">
      <w:pPr>
        <w:spacing w:line="360" w:lineRule="auto"/>
        <w:jc w:val="both"/>
        <w:rPr>
          <w:rFonts w:ascii="Arial" w:hAnsi="Arial"/>
          <w:rtl/>
        </w:rPr>
      </w:pPr>
      <w:r w:rsidRPr="00212CEA">
        <w:rPr>
          <w:rFonts w:ascii="Arial" w:hAnsi="Arial"/>
          <w:rtl/>
        </w:rPr>
        <w:lastRenderedPageBreak/>
        <w:t xml:space="preserve"> </w:t>
      </w:r>
      <w:r w:rsidRPr="00212CEA">
        <w:rPr>
          <w:rFonts w:ascii="Arial" w:hAnsi="Arial"/>
        </w:rPr>
        <w:t>L</w:t>
      </w:r>
      <w:r w:rsidRPr="00212CEA">
        <w:rPr>
          <w:rFonts w:ascii="Arial" w:hAnsi="Arial"/>
          <w:rtl/>
        </w:rPr>
        <w:t xml:space="preserve"> 30192, קליבר 9 מ"מ כשבתוך הנשק מחסנית ריקה התואמת את סוג הנשק. </w:t>
      </w:r>
    </w:p>
    <w:p w14:paraId="73FA9098" w14:textId="77777777" w:rsidR="0097583E" w:rsidRPr="00212CEA" w:rsidRDefault="0097583E" w:rsidP="0097583E">
      <w:pPr>
        <w:spacing w:line="360" w:lineRule="auto"/>
        <w:jc w:val="both"/>
        <w:rPr>
          <w:rFonts w:ascii="Arial" w:hAnsi="Arial"/>
          <w:rtl/>
        </w:rPr>
      </w:pPr>
      <w:r w:rsidRPr="00212CEA">
        <w:rPr>
          <w:rFonts w:ascii="Arial" w:hAnsi="Arial"/>
          <w:rtl/>
        </w:rPr>
        <w:t xml:space="preserve">במעשיו האמורים החזיק הנאשם שלא כדין באביזר נשק ובנשק שמסוגל לירות כדור ולהמית אדם. </w:t>
      </w:r>
    </w:p>
    <w:p w14:paraId="6E8A0EA7" w14:textId="77777777" w:rsidR="0097583E" w:rsidRPr="00212CEA" w:rsidRDefault="0097583E" w:rsidP="0097583E">
      <w:pPr>
        <w:spacing w:line="360" w:lineRule="auto"/>
        <w:jc w:val="both"/>
        <w:rPr>
          <w:rFonts w:ascii="Arial" w:hAnsi="Arial"/>
          <w:rtl/>
        </w:rPr>
      </w:pPr>
    </w:p>
    <w:p w14:paraId="41610B30" w14:textId="77777777" w:rsidR="0097583E" w:rsidRPr="00212CEA" w:rsidRDefault="0097583E" w:rsidP="0097583E">
      <w:pPr>
        <w:spacing w:line="360" w:lineRule="auto"/>
        <w:jc w:val="both"/>
        <w:rPr>
          <w:rFonts w:ascii="Arial" w:hAnsi="Arial"/>
          <w:rtl/>
        </w:rPr>
      </w:pPr>
      <w:r w:rsidRPr="00212CEA">
        <w:rPr>
          <w:rFonts w:ascii="Arial" w:hAnsi="Arial"/>
          <w:rtl/>
        </w:rPr>
        <w:t xml:space="preserve">טרם שמיעת הטיעונים לעונש ולבקשת ב"כ הנאשם הופנה עניינו של הנאשם לשירות המבחן וזאת לצורך קבלת תסקיר לעניין העונש בעניינו. המאשימה לא התנגדה להפניית עניינו של הנאשם לשירות המבחן אולם ציינה שאין בכך כדי להגביל את עמדתה העונשית שהינה מאסר, כך גם הודע לנאשם ע"י בית המשפט. </w:t>
      </w:r>
    </w:p>
    <w:p w14:paraId="42F70748" w14:textId="77777777" w:rsidR="0097583E" w:rsidRPr="00212CEA" w:rsidRDefault="0097583E" w:rsidP="0097583E">
      <w:pPr>
        <w:spacing w:line="360" w:lineRule="auto"/>
        <w:jc w:val="both"/>
        <w:rPr>
          <w:rFonts w:ascii="Arial" w:hAnsi="Arial"/>
          <w:rtl/>
        </w:rPr>
      </w:pPr>
    </w:p>
    <w:p w14:paraId="19DF1CA4" w14:textId="77777777" w:rsidR="0097583E" w:rsidRPr="00212CEA" w:rsidRDefault="0097583E" w:rsidP="0097583E">
      <w:pPr>
        <w:spacing w:line="360" w:lineRule="auto"/>
        <w:jc w:val="both"/>
        <w:rPr>
          <w:rFonts w:ascii="Arial" w:hAnsi="Arial"/>
          <w:rtl/>
        </w:rPr>
      </w:pPr>
      <w:r w:rsidRPr="00212CEA">
        <w:rPr>
          <w:rFonts w:ascii="Arial" w:hAnsi="Arial"/>
          <w:rtl/>
        </w:rPr>
        <w:t xml:space="preserve">ביום 13/4/23 התקבל מטעם שירות המבחן התסקיר בעניינו של הנאשם ממנו עולה כי מדובר בנאשם בן 22 שנים, רווק, אשר עצור עד תום ההליכים, מיום 3/1/23. </w:t>
      </w:r>
    </w:p>
    <w:p w14:paraId="1F5A7DFF" w14:textId="77777777" w:rsidR="0097583E" w:rsidRPr="00212CEA" w:rsidRDefault="0097583E" w:rsidP="0097583E">
      <w:pPr>
        <w:spacing w:line="360" w:lineRule="auto"/>
        <w:jc w:val="both"/>
        <w:rPr>
          <w:rFonts w:ascii="Arial" w:hAnsi="Arial"/>
          <w:rtl/>
        </w:rPr>
      </w:pPr>
    </w:p>
    <w:p w14:paraId="6DA05EE0" w14:textId="77777777" w:rsidR="0097583E" w:rsidRPr="00212CEA" w:rsidRDefault="0097583E" w:rsidP="0097583E">
      <w:pPr>
        <w:spacing w:line="360" w:lineRule="auto"/>
        <w:jc w:val="both"/>
        <w:rPr>
          <w:rFonts w:ascii="Arial" w:hAnsi="Arial"/>
          <w:rtl/>
        </w:rPr>
      </w:pPr>
      <w:r w:rsidRPr="00212CEA">
        <w:rPr>
          <w:rFonts w:ascii="Arial" w:hAnsi="Arial"/>
          <w:rtl/>
        </w:rPr>
        <w:t xml:space="preserve">כעולה מהתסקיר, הנאשם לקח אחריות חלקית למעשיו, וציין כי הנשק שנמצא בבית המשפחה הוא שלו, וזאת לאחר שרכש אותו מצד ג'. הנאשם ביטא בפני שירות המבחן חרטה, ביחס למעשיו, והביע רגשות של צער והבנה לחומרת הסיטואציה בה הוא נמצא. </w:t>
      </w:r>
    </w:p>
    <w:p w14:paraId="3C649CE7" w14:textId="77777777" w:rsidR="0097583E" w:rsidRPr="00212CEA" w:rsidRDefault="0097583E" w:rsidP="0097583E">
      <w:pPr>
        <w:spacing w:line="360" w:lineRule="auto"/>
        <w:jc w:val="both"/>
        <w:rPr>
          <w:rFonts w:ascii="Arial" w:hAnsi="Arial"/>
          <w:rtl/>
        </w:rPr>
      </w:pPr>
    </w:p>
    <w:p w14:paraId="7AE4288D" w14:textId="77777777" w:rsidR="0097583E" w:rsidRPr="00212CEA" w:rsidRDefault="0097583E" w:rsidP="0097583E">
      <w:pPr>
        <w:spacing w:line="360" w:lineRule="auto"/>
        <w:jc w:val="both"/>
        <w:rPr>
          <w:rFonts w:ascii="Arial" w:hAnsi="Arial"/>
          <w:rtl/>
        </w:rPr>
      </w:pPr>
      <w:r w:rsidRPr="00212CEA">
        <w:rPr>
          <w:rFonts w:ascii="Arial" w:hAnsi="Arial"/>
          <w:rtl/>
        </w:rPr>
        <w:t>שירות המבחן אף שוחח עם אביו של הנאשם ובמסגרת אותה שיחה, לדברי שירות המבחן, בלטה מצוקת האב סביב מעצרו הממושך של הנאשם, גישתו הייתה מגוננת מחד, ומאידך ביטא האב עמדות שומרות חוק ומכבדות ממסד.</w:t>
      </w:r>
    </w:p>
    <w:p w14:paraId="1DF492E0" w14:textId="77777777" w:rsidR="0097583E" w:rsidRPr="00212CEA" w:rsidRDefault="0097583E" w:rsidP="0097583E">
      <w:pPr>
        <w:spacing w:line="360" w:lineRule="auto"/>
        <w:jc w:val="both"/>
        <w:rPr>
          <w:rFonts w:ascii="Arial" w:hAnsi="Arial"/>
          <w:rtl/>
        </w:rPr>
      </w:pPr>
    </w:p>
    <w:p w14:paraId="4AB35359" w14:textId="77777777" w:rsidR="0097583E" w:rsidRPr="00212CEA" w:rsidRDefault="0097583E" w:rsidP="0097583E">
      <w:pPr>
        <w:spacing w:line="360" w:lineRule="auto"/>
        <w:jc w:val="both"/>
        <w:rPr>
          <w:rFonts w:ascii="Arial" w:hAnsi="Arial"/>
          <w:rtl/>
        </w:rPr>
      </w:pPr>
      <w:r w:rsidRPr="00212CEA">
        <w:rPr>
          <w:rFonts w:ascii="Arial" w:hAnsi="Arial"/>
          <w:rtl/>
        </w:rPr>
        <w:t xml:space="preserve">הנאשם נעדר עבר פלילי וזו מעורבותו הראשונה והיחידה בעבירות פליליות, התנהגותו אינה מעידה על דפוסי התנהגות עברייניים מושרשים. שירות המבחן התרשם בסופו של דבר כי קיים סיכון לא מבוטל להישנות התנהגות דומה בעתיד מצדו של הנאשם, ועל כן, לא מצא לנכון להמליץ על חלופה עונשית או שיקומית במסגרת הקהילה, כך שבסופו של דבר אין מנוס מהטלת ענישה מאחורי סורג ובריח לצד המלצה בפני הגורמים הרלוונטיים בשב"ס לשקול את האפשרות של שילוב הנאשם בהליך טיפולי מתאים בחסות שב"ס. </w:t>
      </w:r>
    </w:p>
    <w:p w14:paraId="5C914B1B" w14:textId="77777777" w:rsidR="0097583E" w:rsidRPr="00212CEA" w:rsidRDefault="0097583E" w:rsidP="0097583E">
      <w:pPr>
        <w:spacing w:line="360" w:lineRule="auto"/>
        <w:jc w:val="both"/>
        <w:rPr>
          <w:rFonts w:ascii="Arial" w:hAnsi="Arial"/>
          <w:rtl/>
        </w:rPr>
      </w:pPr>
    </w:p>
    <w:p w14:paraId="4CFB397A" w14:textId="77777777" w:rsidR="0097583E" w:rsidRPr="00212CEA" w:rsidRDefault="0097583E" w:rsidP="0097583E">
      <w:pPr>
        <w:spacing w:line="360" w:lineRule="auto"/>
        <w:jc w:val="both"/>
        <w:rPr>
          <w:rFonts w:ascii="Arial" w:hAnsi="Arial"/>
          <w:rtl/>
        </w:rPr>
      </w:pPr>
      <w:r w:rsidRPr="00212CEA">
        <w:rPr>
          <w:rFonts w:ascii="Arial" w:hAnsi="Arial"/>
          <w:rtl/>
        </w:rPr>
        <w:t xml:space="preserve">ביום 3/5/23 נשמעו בפני טיעוני הצדדים לעניין העונש, המאשימה עתרה במסגרת טיעוניה למתחם ענישה הנע בין 18-36 חודשי מאסר ובתוך המתחם ביקשה המאשימה למקם את עונשו של הנאשם ברף התחתון לצד ענישה הצופה פני עתיד וקנס כספי שלא יפחת מ- 5,000 ₪. המאשימה הדגישה במסגרת טיעוניה את נסיבות ביצוע העבירות, את הפגיעה בערך החברתי המוגן, וכן את נסיבותיו האישיות של הנאשם  בהן העובדה כי מדובר בנאשם נטול הרשעות קודמות. </w:t>
      </w:r>
    </w:p>
    <w:p w14:paraId="5CD8E206" w14:textId="77777777" w:rsidR="0097583E" w:rsidRPr="00212CEA" w:rsidRDefault="0097583E" w:rsidP="0097583E">
      <w:pPr>
        <w:spacing w:line="360" w:lineRule="auto"/>
        <w:jc w:val="both"/>
        <w:rPr>
          <w:rFonts w:ascii="Arial" w:hAnsi="Arial"/>
          <w:rtl/>
        </w:rPr>
      </w:pPr>
    </w:p>
    <w:p w14:paraId="0763DED1" w14:textId="77777777" w:rsidR="0097583E" w:rsidRPr="00212CEA" w:rsidRDefault="0097583E" w:rsidP="0097583E">
      <w:pPr>
        <w:spacing w:line="360" w:lineRule="auto"/>
        <w:jc w:val="both"/>
        <w:rPr>
          <w:rFonts w:ascii="Arial" w:hAnsi="Arial"/>
          <w:rtl/>
        </w:rPr>
      </w:pPr>
      <w:r w:rsidRPr="00212CEA">
        <w:rPr>
          <w:rFonts w:ascii="Arial" w:hAnsi="Arial"/>
          <w:rtl/>
        </w:rPr>
        <w:t xml:space="preserve">המאשימה התייחסה במסגרת טיעוניה לעמדת שירות המבחן ולאמור בתסקיר, ועתרה להטלת ענישה התומכת בטיעוניה ובפסיקה אליה הפנתה במסגרת טיעונים אלה. </w:t>
      </w:r>
    </w:p>
    <w:p w14:paraId="1D67BB37" w14:textId="77777777" w:rsidR="0097583E" w:rsidRPr="00212CEA" w:rsidRDefault="0097583E" w:rsidP="0097583E">
      <w:pPr>
        <w:spacing w:line="360" w:lineRule="auto"/>
        <w:jc w:val="both"/>
        <w:rPr>
          <w:rFonts w:ascii="Arial" w:hAnsi="Arial"/>
          <w:rtl/>
        </w:rPr>
      </w:pPr>
    </w:p>
    <w:p w14:paraId="2F85E4CE" w14:textId="77777777" w:rsidR="0097583E" w:rsidRPr="00212CEA" w:rsidRDefault="0097583E" w:rsidP="0097583E">
      <w:pPr>
        <w:spacing w:line="360" w:lineRule="auto"/>
        <w:jc w:val="both"/>
        <w:rPr>
          <w:rFonts w:ascii="Arial" w:hAnsi="Arial"/>
          <w:rtl/>
        </w:rPr>
      </w:pPr>
      <w:r w:rsidRPr="00212CEA">
        <w:rPr>
          <w:rFonts w:ascii="Arial" w:hAnsi="Arial"/>
          <w:rtl/>
        </w:rPr>
        <w:lastRenderedPageBreak/>
        <w:t xml:space="preserve">מנגד, ב"כ הנאשם הפנה במסגרת טיעוניו לגילו הצעיר של מרשו, לעובדה כי מדובר בנאשם נטול הרשעות קודמות אשר הודה בעבירות המיוחסות לו בכתב האישום לקח אחריות על מעשיו חסך זמן שיפוטי יקר ושוהה במעצר עד תום ההליכים מיום 3/1/23. </w:t>
      </w:r>
    </w:p>
    <w:p w14:paraId="3EA772AD" w14:textId="77777777" w:rsidR="0097583E" w:rsidRPr="00212CEA" w:rsidRDefault="0097583E" w:rsidP="0097583E">
      <w:pPr>
        <w:spacing w:line="360" w:lineRule="auto"/>
        <w:jc w:val="both"/>
        <w:rPr>
          <w:rFonts w:ascii="Arial" w:hAnsi="Arial"/>
          <w:rtl/>
        </w:rPr>
      </w:pPr>
    </w:p>
    <w:p w14:paraId="38E72765" w14:textId="77777777" w:rsidR="0097583E" w:rsidRPr="00212CEA" w:rsidRDefault="0097583E" w:rsidP="0097583E">
      <w:pPr>
        <w:spacing w:line="360" w:lineRule="auto"/>
        <w:jc w:val="both"/>
        <w:rPr>
          <w:rFonts w:ascii="Arial" w:hAnsi="Arial"/>
          <w:rtl/>
        </w:rPr>
      </w:pPr>
      <w:r w:rsidRPr="00212CEA">
        <w:rPr>
          <w:rFonts w:ascii="Arial" w:hAnsi="Arial"/>
          <w:rtl/>
        </w:rPr>
        <w:t xml:space="preserve">ב"כ הנאשם טען כי העבירות בהן הורשע מרשו לא בוצעו תוך תכנון מוקדם או תחכום, עסקינן בנאשם נורמטיבי בעל יציבות תעסוקתית אשר גדל במשפחה נורמטיבית ותומכת. </w:t>
      </w:r>
    </w:p>
    <w:p w14:paraId="16DF31A6" w14:textId="77777777" w:rsidR="0097583E" w:rsidRPr="00212CEA" w:rsidRDefault="0097583E" w:rsidP="0097583E">
      <w:pPr>
        <w:spacing w:line="360" w:lineRule="auto"/>
        <w:jc w:val="both"/>
        <w:rPr>
          <w:rFonts w:ascii="Arial" w:hAnsi="Arial"/>
          <w:rtl/>
        </w:rPr>
      </w:pPr>
    </w:p>
    <w:p w14:paraId="0B806C9F" w14:textId="77777777" w:rsidR="0097583E" w:rsidRPr="00212CEA" w:rsidRDefault="0097583E" w:rsidP="0097583E">
      <w:pPr>
        <w:spacing w:line="360" w:lineRule="auto"/>
        <w:jc w:val="both"/>
        <w:rPr>
          <w:rFonts w:ascii="Arial" w:hAnsi="Arial"/>
          <w:rtl/>
        </w:rPr>
      </w:pPr>
      <w:r w:rsidRPr="00212CEA">
        <w:rPr>
          <w:rFonts w:ascii="Arial" w:hAnsi="Arial"/>
          <w:rtl/>
        </w:rPr>
        <w:t xml:space="preserve">לדבריו מרשו נגרר אחר חברה שולית, ועתה הוא מבין את משמעות בחירתו השגויה. </w:t>
      </w:r>
    </w:p>
    <w:p w14:paraId="58D3D5E5" w14:textId="77777777" w:rsidR="0097583E" w:rsidRPr="00212CEA" w:rsidRDefault="0097583E" w:rsidP="0097583E">
      <w:pPr>
        <w:spacing w:line="360" w:lineRule="auto"/>
        <w:jc w:val="both"/>
        <w:rPr>
          <w:rFonts w:ascii="Arial" w:hAnsi="Arial"/>
          <w:rtl/>
        </w:rPr>
      </w:pPr>
    </w:p>
    <w:p w14:paraId="51C18CA1" w14:textId="77777777" w:rsidR="0097583E" w:rsidRPr="00212CEA" w:rsidRDefault="0097583E" w:rsidP="0097583E">
      <w:pPr>
        <w:spacing w:line="360" w:lineRule="auto"/>
        <w:jc w:val="both"/>
        <w:rPr>
          <w:rFonts w:ascii="Arial" w:hAnsi="Arial"/>
          <w:rtl/>
        </w:rPr>
      </w:pPr>
      <w:r w:rsidRPr="00212CEA">
        <w:rPr>
          <w:rFonts w:ascii="Arial" w:hAnsi="Arial"/>
          <w:rtl/>
        </w:rPr>
        <w:t xml:space="preserve">לדבריו יש לקבוע מתחם ענישה הנע בין 12-18 חודשים ובנסיבות העניין יש למקם את עונשו של הנאשם ברף התחתון של המתחם. ב"כ הנאשם הפנה לפסיקה התומכת בעמדתו. </w:t>
      </w:r>
    </w:p>
    <w:p w14:paraId="093CDF8C" w14:textId="77777777" w:rsidR="0097583E" w:rsidRPr="00212CEA" w:rsidRDefault="0097583E" w:rsidP="0097583E">
      <w:pPr>
        <w:spacing w:line="360" w:lineRule="auto"/>
        <w:jc w:val="both"/>
        <w:rPr>
          <w:rFonts w:ascii="Arial" w:hAnsi="Arial"/>
          <w:rtl/>
        </w:rPr>
      </w:pPr>
    </w:p>
    <w:p w14:paraId="7F58B647" w14:textId="77777777" w:rsidR="0097583E" w:rsidRPr="00212CEA" w:rsidRDefault="0097583E" w:rsidP="0097583E">
      <w:pPr>
        <w:spacing w:line="360" w:lineRule="auto"/>
        <w:jc w:val="both"/>
        <w:rPr>
          <w:rFonts w:ascii="Arial" w:hAnsi="Arial"/>
          <w:rtl/>
        </w:rPr>
      </w:pPr>
      <w:r w:rsidRPr="00212CEA">
        <w:rPr>
          <w:rFonts w:ascii="Arial" w:hAnsi="Arial"/>
          <w:rtl/>
        </w:rPr>
        <w:t xml:space="preserve">הנאשם ביקש לומר את דברו, וזאת כדלהלן: </w:t>
      </w:r>
      <w:r w:rsidRPr="00212CEA">
        <w:rPr>
          <w:rFonts w:ascii="Arial" w:hAnsi="Arial"/>
          <w:b/>
          <w:bCs/>
          <w:rtl/>
        </w:rPr>
        <w:t xml:space="preserve">"אני מצטער ומתחרט על מה שעשיתי, וקשה לי בבית סוהר, אני לא אוכל ולא ישן". </w:t>
      </w:r>
    </w:p>
    <w:p w14:paraId="0955B962" w14:textId="77777777" w:rsidR="0097583E" w:rsidRDefault="0097583E" w:rsidP="0097583E">
      <w:pPr>
        <w:spacing w:line="360" w:lineRule="auto"/>
        <w:jc w:val="both"/>
        <w:rPr>
          <w:rFonts w:ascii="Arial" w:hAnsi="Arial"/>
          <w:b/>
          <w:bCs/>
          <w:u w:val="single"/>
          <w:rtl/>
        </w:rPr>
      </w:pPr>
    </w:p>
    <w:p w14:paraId="38B5942F" w14:textId="77777777" w:rsidR="0097583E" w:rsidRPr="00212CEA" w:rsidRDefault="0097583E" w:rsidP="0097583E">
      <w:pPr>
        <w:spacing w:line="360" w:lineRule="auto"/>
        <w:jc w:val="both"/>
        <w:rPr>
          <w:rFonts w:ascii="Arial" w:hAnsi="Arial"/>
          <w:b/>
          <w:bCs/>
          <w:u w:val="single"/>
          <w:rtl/>
        </w:rPr>
      </w:pPr>
      <w:r w:rsidRPr="00212CEA">
        <w:rPr>
          <w:rFonts w:ascii="Arial" w:hAnsi="Arial"/>
          <w:b/>
          <w:bCs/>
          <w:u w:val="single"/>
          <w:rtl/>
        </w:rPr>
        <w:t xml:space="preserve">דיון והכרעה: </w:t>
      </w:r>
    </w:p>
    <w:p w14:paraId="29028FAA" w14:textId="77777777" w:rsidR="0097583E" w:rsidRPr="00212CEA" w:rsidRDefault="0097583E" w:rsidP="0097583E">
      <w:pPr>
        <w:spacing w:line="360" w:lineRule="auto"/>
        <w:jc w:val="both"/>
        <w:rPr>
          <w:rFonts w:ascii="Arial" w:hAnsi="Arial"/>
          <w:b/>
          <w:bCs/>
          <w:u w:val="single"/>
          <w:rtl/>
        </w:rPr>
      </w:pPr>
      <w:r w:rsidRPr="00212CEA">
        <w:rPr>
          <w:rFonts w:ascii="Arial" w:hAnsi="Arial"/>
          <w:rtl/>
        </w:rPr>
        <w:t>תיקון 113 ל</w:t>
      </w:r>
      <w:hyperlink r:id="rId16" w:history="1">
        <w:r w:rsidR="004C7C09" w:rsidRPr="004C7C09">
          <w:rPr>
            <w:rFonts w:ascii="Arial" w:hAnsi="Arial"/>
            <w:color w:val="0000FF"/>
            <w:u w:val="single"/>
            <w:rtl/>
          </w:rPr>
          <w:t>חוק העונשין</w:t>
        </w:r>
      </w:hyperlink>
      <w:r w:rsidRPr="00212CEA">
        <w:rPr>
          <w:rFonts w:ascii="Arial" w:hAnsi="Arial"/>
          <w:rtl/>
        </w:rPr>
        <w:t xml:space="preserve">, עיגן את הבניית שיקול הדעת השיפוטי והעניק מעמד בכורה לעיקרון ההלימה, היינו קיומו של יחס הולם בין חומרת מעשי העבירה, בנסיבותיו ומידת אשמו של הנאשם ובין סוג ומידת העונש המוטל עליו. בהתאם לתיקון לחוק, על בית המשפט לקבוע את מתחם העונש ההולם למעשה העבירות שביצע הנאשם. לשם כך יתחשב בית המשפט בערך החברתי שנפגע מביצוע העבירה, במידת הפגיעה בו, במדיניות הענישה הנהוגה ובנסיבות הקשורות בביצוע העבירה המפורטות </w:t>
      </w:r>
      <w:hyperlink r:id="rId17" w:history="1">
        <w:r w:rsidR="00C308B0" w:rsidRPr="00C308B0">
          <w:rPr>
            <w:rStyle w:val="Hyperlink"/>
            <w:rFonts w:ascii="Arial" w:hAnsi="Arial"/>
            <w:rtl/>
          </w:rPr>
          <w:t>בסעיף 40ט'</w:t>
        </w:r>
      </w:hyperlink>
      <w:r w:rsidRPr="00212CEA">
        <w:rPr>
          <w:rFonts w:ascii="Arial" w:hAnsi="Arial"/>
          <w:rtl/>
        </w:rPr>
        <w:t xml:space="preserve"> ל</w:t>
      </w:r>
      <w:hyperlink r:id="rId18" w:history="1">
        <w:r w:rsidR="004C7C09" w:rsidRPr="004C7C09">
          <w:rPr>
            <w:rFonts w:ascii="Arial" w:hAnsi="Arial"/>
            <w:color w:val="0000FF"/>
            <w:u w:val="single"/>
            <w:rtl/>
          </w:rPr>
          <w:t>חוק העונשין</w:t>
        </w:r>
      </w:hyperlink>
      <w:r w:rsidRPr="00212CEA">
        <w:rPr>
          <w:rFonts w:ascii="Arial" w:hAnsi="Arial"/>
          <w:rtl/>
        </w:rPr>
        <w:t xml:space="preserve">. </w:t>
      </w:r>
    </w:p>
    <w:p w14:paraId="624E3643" w14:textId="77777777" w:rsidR="0097583E" w:rsidRPr="00212CEA" w:rsidRDefault="0097583E" w:rsidP="0097583E">
      <w:pPr>
        <w:spacing w:line="360" w:lineRule="auto"/>
        <w:jc w:val="both"/>
        <w:rPr>
          <w:rFonts w:ascii="Arial" w:hAnsi="Arial"/>
          <w:rtl/>
        </w:rPr>
      </w:pPr>
    </w:p>
    <w:p w14:paraId="6D848972" w14:textId="77777777" w:rsidR="0097583E" w:rsidRPr="00212CEA" w:rsidRDefault="0097583E" w:rsidP="0097583E">
      <w:pPr>
        <w:spacing w:line="360" w:lineRule="auto"/>
        <w:jc w:val="both"/>
        <w:rPr>
          <w:rFonts w:ascii="Arial" w:hAnsi="Arial"/>
          <w:rtl/>
        </w:rPr>
      </w:pPr>
      <w:r w:rsidRPr="00212CEA">
        <w:rPr>
          <w:rFonts w:ascii="Arial" w:hAnsi="Arial"/>
          <w:rtl/>
        </w:rPr>
        <w:t xml:space="preserve">לכשייקבע מתחם הענישה, יקבע בית המשפט את העונש המתאים, בתוך המתחם, אשר יוטל על הנאשם וזאת בהתחשב בנסיבות שאינן קשורות בביצוע העבירה המפורטות </w:t>
      </w:r>
      <w:hyperlink r:id="rId19" w:history="1">
        <w:r w:rsidR="00C308B0" w:rsidRPr="00C308B0">
          <w:rPr>
            <w:rStyle w:val="Hyperlink"/>
            <w:rFonts w:ascii="Arial" w:hAnsi="Arial"/>
            <w:rtl/>
          </w:rPr>
          <w:t>בסעיף 40יא'</w:t>
        </w:r>
      </w:hyperlink>
      <w:r w:rsidRPr="00212CEA">
        <w:rPr>
          <w:rFonts w:ascii="Arial" w:hAnsi="Arial"/>
          <w:rtl/>
        </w:rPr>
        <w:t xml:space="preserve"> לחוק. </w:t>
      </w:r>
    </w:p>
    <w:p w14:paraId="1099C3D7" w14:textId="77777777" w:rsidR="0097583E" w:rsidRPr="00212CEA" w:rsidRDefault="0097583E" w:rsidP="0097583E">
      <w:pPr>
        <w:spacing w:line="360" w:lineRule="auto"/>
        <w:jc w:val="both"/>
        <w:rPr>
          <w:rFonts w:ascii="Arial" w:hAnsi="Arial"/>
          <w:rtl/>
        </w:rPr>
      </w:pPr>
    </w:p>
    <w:p w14:paraId="75FAD875" w14:textId="77777777" w:rsidR="0097583E" w:rsidRPr="00212CEA" w:rsidRDefault="0097583E" w:rsidP="0097583E">
      <w:pPr>
        <w:spacing w:line="360" w:lineRule="auto"/>
        <w:jc w:val="both"/>
        <w:rPr>
          <w:rFonts w:ascii="Arial" w:hAnsi="Arial"/>
          <w:rtl/>
        </w:rPr>
      </w:pPr>
      <w:r w:rsidRPr="00212CEA">
        <w:rPr>
          <w:rFonts w:ascii="Arial" w:hAnsi="Arial"/>
          <w:rtl/>
        </w:rPr>
        <w:t xml:space="preserve">בית המשפט רשאי לחרוג ממתחם העונש ההולם בשל שיקולי שיקום או הגנה על שלום הציבור לפי </w:t>
      </w:r>
      <w:hyperlink r:id="rId20" w:history="1">
        <w:r w:rsidR="00C308B0" w:rsidRPr="00C308B0">
          <w:rPr>
            <w:rStyle w:val="Hyperlink"/>
            <w:rFonts w:ascii="Arial" w:hAnsi="Arial"/>
            <w:rtl/>
          </w:rPr>
          <w:t>סעיפים 40ד'</w:t>
        </w:r>
      </w:hyperlink>
      <w:r w:rsidRPr="00212CEA">
        <w:rPr>
          <w:rFonts w:ascii="Arial" w:hAnsi="Arial"/>
          <w:rtl/>
        </w:rPr>
        <w:t xml:space="preserve"> ו</w:t>
      </w:r>
      <w:hyperlink r:id="rId21" w:history="1">
        <w:r w:rsidR="00C308B0" w:rsidRPr="00C308B0">
          <w:rPr>
            <w:rStyle w:val="Hyperlink"/>
            <w:rFonts w:ascii="Arial" w:hAnsi="Arial"/>
            <w:rtl/>
          </w:rPr>
          <w:t>40 ה'</w:t>
        </w:r>
      </w:hyperlink>
      <w:r w:rsidRPr="00212CEA">
        <w:rPr>
          <w:rFonts w:ascii="Arial" w:hAnsi="Arial"/>
          <w:rtl/>
        </w:rPr>
        <w:t xml:space="preserve"> לחוק. </w:t>
      </w:r>
    </w:p>
    <w:p w14:paraId="334EFA0A" w14:textId="77777777" w:rsidR="0097583E" w:rsidRPr="00212CEA" w:rsidRDefault="0097583E" w:rsidP="0097583E">
      <w:pPr>
        <w:spacing w:line="360" w:lineRule="auto"/>
        <w:jc w:val="both"/>
        <w:rPr>
          <w:rFonts w:ascii="David" w:hAnsi="David"/>
          <w:rtl/>
        </w:rPr>
      </w:pPr>
    </w:p>
    <w:p w14:paraId="77DB1D15" w14:textId="77777777" w:rsidR="0097583E" w:rsidRPr="00212CEA" w:rsidRDefault="0097583E" w:rsidP="0097583E">
      <w:pPr>
        <w:spacing w:line="360" w:lineRule="auto"/>
        <w:jc w:val="both"/>
        <w:rPr>
          <w:rFonts w:ascii="David" w:hAnsi="David"/>
          <w:rtl/>
        </w:rPr>
      </w:pPr>
      <w:r w:rsidRPr="00212CEA">
        <w:rPr>
          <w:rFonts w:ascii="David" w:hAnsi="David"/>
          <w:b/>
          <w:bCs/>
          <w:u w:val="single"/>
          <w:rtl/>
        </w:rPr>
        <w:t>קביעת מתחם העונש ההולם</w:t>
      </w:r>
      <w:r w:rsidRPr="00212CEA">
        <w:rPr>
          <w:rFonts w:ascii="David" w:hAnsi="David"/>
          <w:rtl/>
        </w:rPr>
        <w:t>:</w:t>
      </w:r>
    </w:p>
    <w:p w14:paraId="2BF7AB76" w14:textId="77777777" w:rsidR="0097583E" w:rsidRPr="00212CEA" w:rsidRDefault="0097583E" w:rsidP="0097583E">
      <w:pPr>
        <w:spacing w:line="360" w:lineRule="auto"/>
        <w:jc w:val="both"/>
        <w:rPr>
          <w:rFonts w:ascii="David" w:hAnsi="David"/>
        </w:rPr>
      </w:pPr>
      <w:r w:rsidRPr="00212CEA">
        <w:rPr>
          <w:rFonts w:ascii="David" w:hAnsi="David"/>
          <w:rtl/>
        </w:rPr>
        <w:t xml:space="preserve">אין צורך להכביר מילים בדבר חומרת מעשיו של הנאשם, הערכים החברתיים שנפגעו ומידת הפגיעה בהם. הנאשם במעשיו פגע בערכים חברתיים של שלום הציבור ובטחונו, הגנה על חיי אדם ועל הסדר הציבורי הואיל ונשק המוחזק שלא כדין עלול להביא לפגיעה בשלטון החוק ובנושאי שלטון החוק המבצעים את תפקידם ואף בפגיעה בגופם ובנפשם של אזרחים חפים מפשע. </w:t>
      </w:r>
    </w:p>
    <w:p w14:paraId="57799905" w14:textId="77777777" w:rsidR="0097583E" w:rsidRPr="00212CEA" w:rsidRDefault="0097583E" w:rsidP="0097583E">
      <w:pPr>
        <w:spacing w:line="360" w:lineRule="auto"/>
        <w:jc w:val="both"/>
        <w:rPr>
          <w:rFonts w:ascii="David" w:hAnsi="David"/>
        </w:rPr>
      </w:pPr>
    </w:p>
    <w:p w14:paraId="6EF035C5" w14:textId="77777777" w:rsidR="0097583E" w:rsidRPr="00212CEA" w:rsidRDefault="0097583E" w:rsidP="0097583E">
      <w:pPr>
        <w:spacing w:line="360" w:lineRule="auto"/>
        <w:jc w:val="both"/>
        <w:rPr>
          <w:rFonts w:ascii="David" w:hAnsi="David"/>
        </w:rPr>
      </w:pPr>
      <w:r w:rsidRPr="00212CEA">
        <w:rPr>
          <w:rFonts w:ascii="David" w:hAnsi="David"/>
          <w:rtl/>
        </w:rPr>
        <w:t xml:space="preserve">פסיקת בתי המשפט, במיוחד בשנים האחרונות, מחמירה מאוד בעבירה של החזקת נשק שלא כדין נוכח התופעה החמורה והמסוכנת של החזקת נשק בידיים שאינן מורשות לכך. </w:t>
      </w:r>
    </w:p>
    <w:p w14:paraId="104BC86C" w14:textId="77777777" w:rsidR="0097583E" w:rsidRPr="00212CEA" w:rsidRDefault="0097583E" w:rsidP="0097583E">
      <w:pPr>
        <w:spacing w:line="360" w:lineRule="auto"/>
        <w:jc w:val="both"/>
        <w:rPr>
          <w:rFonts w:ascii="David" w:hAnsi="David"/>
          <w:rtl/>
        </w:rPr>
      </w:pPr>
    </w:p>
    <w:p w14:paraId="46548278" w14:textId="77777777" w:rsidR="0097583E" w:rsidRPr="00212CEA" w:rsidRDefault="0097583E" w:rsidP="0097583E">
      <w:pPr>
        <w:spacing w:line="360" w:lineRule="auto"/>
        <w:jc w:val="both"/>
        <w:rPr>
          <w:rFonts w:ascii="David" w:hAnsi="David"/>
          <w:rtl/>
        </w:rPr>
      </w:pPr>
      <w:r w:rsidRPr="00212CEA">
        <w:rPr>
          <w:rFonts w:ascii="David" w:hAnsi="David"/>
          <w:rtl/>
        </w:rPr>
        <w:t>בית המשפט העליון ב</w:t>
      </w:r>
      <w:hyperlink r:id="rId22" w:history="1">
        <w:r w:rsidR="004C7C09" w:rsidRPr="004C7C09">
          <w:rPr>
            <w:rFonts w:ascii="David" w:hAnsi="David"/>
            <w:color w:val="0000FF"/>
            <w:u w:val="single"/>
            <w:rtl/>
          </w:rPr>
          <w:t>רע"פ 3278/23</w:t>
        </w:r>
      </w:hyperlink>
      <w:r w:rsidRPr="00212CEA">
        <w:rPr>
          <w:rFonts w:ascii="David" w:hAnsi="David"/>
          <w:rtl/>
        </w:rPr>
        <w:t xml:space="preserve"> </w:t>
      </w:r>
      <w:r w:rsidRPr="00212CEA">
        <w:rPr>
          <w:rFonts w:ascii="David" w:hAnsi="David"/>
          <w:b/>
          <w:bCs/>
          <w:rtl/>
        </w:rPr>
        <w:t>ולדיסלב מיכאלוב נ' מ"י</w:t>
      </w:r>
      <w:r w:rsidRPr="00212CEA">
        <w:rPr>
          <w:rFonts w:ascii="David" w:hAnsi="David"/>
          <w:rtl/>
        </w:rPr>
        <w:t xml:space="preserve"> (החלטה מיום 2.5.23, פורסם בנבו) חזר על הרציונל העומד בבסיס הצורך בענישה מחמירה למי שהורשע בעבירות אלה- </w:t>
      </w:r>
    </w:p>
    <w:p w14:paraId="331E0804" w14:textId="77777777" w:rsidR="0097583E" w:rsidRPr="00212CEA" w:rsidRDefault="0097583E" w:rsidP="0097583E">
      <w:pPr>
        <w:spacing w:line="360" w:lineRule="auto"/>
        <w:ind w:left="567" w:right="567"/>
        <w:jc w:val="both"/>
        <w:rPr>
          <w:rFonts w:ascii="David" w:hAnsi="David"/>
        </w:rPr>
      </w:pPr>
      <w:r w:rsidRPr="00212CEA">
        <w:rPr>
          <w:rFonts w:ascii="David" w:hAnsi="David" w:hint="cs"/>
          <w:b/>
          <w:bCs/>
          <w:rtl/>
        </w:rPr>
        <w:t>"</w:t>
      </w:r>
      <w:r w:rsidRPr="00212CEA">
        <w:rPr>
          <w:rFonts w:ascii="David" w:hAnsi="David"/>
          <w:b/>
          <w:bCs/>
          <w:rtl/>
        </w:rPr>
        <w:t>לא אחת עמדתי על הסיכון הנשקף מעבירות של החזקת נשק שלא כדין ועל הצורך בענישה מחמירה בעבירות אלה:[...] הסיכון הכרוך בעבירות של החזקת נשק שלא כדין נובע מהנזק הפוטנציאלי אשר עלול להיגרם ממנו – אף אם הנשק נתפס בטרם נזק זה התממש. בפרט, קיים סיכון, כפי שאנחנו נוכחים לדעת לא אחת, כי הנשק עלול להגיע לידיים עברייניות וייעשה בו שימוש אשר יוביל בסופו של יום לגביית מחירים כבדים בנפש. על כן, יש, ככלל, להשית ענישה מוחשית, אשר תרתיע מפני החזקת נשק גנוב שלא כדין" (</w:t>
      </w:r>
      <w:hyperlink r:id="rId23" w:history="1">
        <w:r w:rsidR="004C7C09" w:rsidRPr="004C7C09">
          <w:rPr>
            <w:rFonts w:ascii="David" w:hAnsi="David"/>
            <w:b/>
            <w:bCs/>
            <w:color w:val="0000FF"/>
            <w:u w:val="single"/>
            <w:rtl/>
          </w:rPr>
          <w:t>רע"פ 4079/21</w:t>
        </w:r>
      </w:hyperlink>
      <w:r w:rsidRPr="00212CEA">
        <w:rPr>
          <w:rFonts w:ascii="David" w:hAnsi="David"/>
          <w:b/>
          <w:bCs/>
          <w:rtl/>
        </w:rPr>
        <w:t xml:space="preserve"> פלוני נ' מדינת ישראל, פסקה 8 [פורסם בנבו] (20.6.2021))</w:t>
      </w:r>
      <w:r>
        <w:rPr>
          <w:rFonts w:ascii="David" w:hAnsi="David" w:hint="cs"/>
          <w:b/>
          <w:bCs/>
          <w:rtl/>
        </w:rPr>
        <w:t>"</w:t>
      </w:r>
      <w:r w:rsidRPr="00212CEA">
        <w:rPr>
          <w:rFonts w:ascii="David" w:hAnsi="David"/>
          <w:b/>
          <w:bCs/>
          <w:rtl/>
        </w:rPr>
        <w:t>.</w:t>
      </w:r>
    </w:p>
    <w:p w14:paraId="222653CD" w14:textId="77777777" w:rsidR="0097583E" w:rsidRPr="00212CEA" w:rsidRDefault="0097583E" w:rsidP="0097583E">
      <w:pPr>
        <w:spacing w:line="360" w:lineRule="auto"/>
        <w:jc w:val="both"/>
        <w:rPr>
          <w:rFonts w:ascii="David" w:hAnsi="David"/>
          <w:rtl/>
        </w:rPr>
      </w:pPr>
    </w:p>
    <w:p w14:paraId="3369AADA" w14:textId="77777777" w:rsidR="0097583E" w:rsidRPr="00212CEA" w:rsidRDefault="0097583E" w:rsidP="0097583E">
      <w:pPr>
        <w:spacing w:line="360" w:lineRule="auto"/>
        <w:jc w:val="both"/>
        <w:rPr>
          <w:rFonts w:ascii="David" w:hAnsi="David"/>
          <w:rtl/>
        </w:rPr>
      </w:pPr>
      <w:r w:rsidRPr="00212CEA">
        <w:rPr>
          <w:rFonts w:ascii="David" w:hAnsi="David"/>
          <w:rtl/>
        </w:rPr>
        <w:t>החזקת נשק שלא כדין יש בה כדי להוביל, ואכן מובילה בפועל, למקרים חמורים של שימוש מסוכן בנשק, בין אם משום שהנשק מגיע לידיים עברייניות, בין אם הנשק מגיע לידי מי שמנסים לפגוע בביטחונם ובשלומם של תושבי המדינה ובין אם מחמת שנגרמות תאונות כתוצאה מהשימוש בנשק. ביהמ"ש העליון חזר והזכיר רק לאחרונה:</w:t>
      </w:r>
    </w:p>
    <w:p w14:paraId="77CC3CB1" w14:textId="77777777" w:rsidR="0097583E" w:rsidRPr="00212CEA" w:rsidRDefault="0097583E" w:rsidP="0097583E">
      <w:pPr>
        <w:spacing w:line="360" w:lineRule="auto"/>
        <w:ind w:left="567" w:right="567"/>
        <w:contextualSpacing/>
        <w:jc w:val="both"/>
        <w:rPr>
          <w:rFonts w:ascii="David" w:hAnsi="David"/>
          <w:b/>
          <w:bCs/>
        </w:rPr>
      </w:pPr>
      <w:r w:rsidRPr="00212CEA">
        <w:rPr>
          <w:rFonts w:ascii="David" w:hAnsi="David"/>
          <w:rtl/>
        </w:rPr>
        <w:t>"</w:t>
      </w:r>
      <w:r w:rsidRPr="00212CEA">
        <w:rPr>
          <w:rFonts w:ascii="David" w:hAnsi="David"/>
          <w:b/>
          <w:bCs/>
          <w:rtl/>
        </w:rPr>
        <w:t>החזקת נשק שלא כדין מאיימת על שלום הציבור ובטחונו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 ענייננו ב"מכת מדינה" שהצורך להילחם בה על מנת להגן על הציבור, מצריך מענה הולם והטלת עונשי מאסר משמעותיים ..ידע כל מי שמחזיק בנשק בלתי חוקי כי צפוי הוא להיענש בחומרה, בבחינת "אם מחזיקים – למאסר נשלחים.</w:t>
      </w:r>
    </w:p>
    <w:p w14:paraId="714147C9" w14:textId="77777777" w:rsidR="0097583E" w:rsidRPr="00212CEA" w:rsidRDefault="0097583E" w:rsidP="0097583E">
      <w:pPr>
        <w:spacing w:line="360" w:lineRule="auto"/>
        <w:ind w:left="567" w:right="567"/>
        <w:contextualSpacing/>
        <w:jc w:val="both"/>
        <w:rPr>
          <w:rFonts w:ascii="David" w:hAnsi="David"/>
          <w:b/>
          <w:bCs/>
          <w:rtl/>
        </w:rPr>
      </w:pPr>
      <w:r w:rsidRPr="00212CEA">
        <w:rPr>
          <w:rFonts w:ascii="David" w:hAnsi="David"/>
          <w:b/>
          <w:bCs/>
          <w:rtl/>
        </w:rPr>
        <w:t>לא למותר להזכיר כי המחוקק מצא לעגן בהוראת שעה עונשי מינימום לעבירות נשק, כך שהעונש שיושת על מבצעיהן יתחיל מרבע העונש המרבי שנקבע לעבירה, אלא אם החליט בית המשפט מטעמים מיוחדים להקל בעונש (סעיף 144(ז) ל</w:t>
      </w:r>
      <w:hyperlink r:id="rId24" w:history="1">
        <w:r w:rsidR="004C7C09" w:rsidRPr="004C7C09">
          <w:rPr>
            <w:rFonts w:ascii="David" w:hAnsi="David"/>
            <w:b/>
            <w:bCs/>
            <w:color w:val="0000FF"/>
            <w:u w:val="single"/>
            <w:rtl/>
          </w:rPr>
          <w:t>חוק העונשין</w:t>
        </w:r>
      </w:hyperlink>
      <w:r w:rsidRPr="00212CEA">
        <w:rPr>
          <w:rFonts w:ascii="David" w:hAnsi="David"/>
          <w:b/>
          <w:bCs/>
          <w:rtl/>
        </w:rPr>
        <w:t>, וראו חוק העונשין (תיקון מס' 140 - הוראת שעה), התשפ"ב-2021, ס"ח 472;"</w:t>
      </w:r>
      <w:r w:rsidRPr="00212CEA">
        <w:rPr>
          <w:rFonts w:ascii="David" w:hAnsi="David"/>
          <w:rtl/>
        </w:rPr>
        <w:t xml:space="preserve"> (</w:t>
      </w:r>
      <w:hyperlink r:id="rId25" w:history="1">
        <w:r w:rsidR="004C7C09" w:rsidRPr="004C7C09">
          <w:rPr>
            <w:rFonts w:ascii="David" w:hAnsi="David"/>
            <w:color w:val="0000FF"/>
            <w:u w:val="single"/>
            <w:rtl/>
          </w:rPr>
          <w:t>ע"פ 2482/22</w:t>
        </w:r>
      </w:hyperlink>
      <w:r w:rsidRPr="00212CEA">
        <w:rPr>
          <w:rFonts w:ascii="David" w:hAnsi="David"/>
          <w:rtl/>
        </w:rPr>
        <w:t xml:space="preserve"> </w:t>
      </w:r>
      <w:r w:rsidRPr="00212CEA">
        <w:rPr>
          <w:rFonts w:ascii="David" w:hAnsi="David"/>
          <w:b/>
          <w:bCs/>
          <w:rtl/>
        </w:rPr>
        <w:t>מדינת ישראל נ' אחמד קדורה</w:t>
      </w:r>
      <w:r w:rsidRPr="00212CEA">
        <w:rPr>
          <w:rFonts w:ascii="David" w:hAnsi="David"/>
          <w:rtl/>
        </w:rPr>
        <w:t xml:space="preserve"> (14.04.22)).</w:t>
      </w:r>
    </w:p>
    <w:p w14:paraId="706BE307" w14:textId="77777777" w:rsidR="0097583E" w:rsidRPr="00212CEA" w:rsidRDefault="0097583E" w:rsidP="0097583E">
      <w:pPr>
        <w:spacing w:line="360" w:lineRule="auto"/>
        <w:ind w:left="567" w:right="567"/>
        <w:jc w:val="both"/>
        <w:rPr>
          <w:rFonts w:ascii="David" w:hAnsi="David"/>
          <w:rtl/>
        </w:rPr>
      </w:pPr>
    </w:p>
    <w:p w14:paraId="75F16ADE" w14:textId="77777777" w:rsidR="0097583E" w:rsidRPr="00212CEA" w:rsidRDefault="0097583E" w:rsidP="0097583E">
      <w:pPr>
        <w:spacing w:line="360" w:lineRule="auto"/>
        <w:jc w:val="both"/>
        <w:rPr>
          <w:rFonts w:ascii="David" w:hAnsi="David"/>
        </w:rPr>
      </w:pPr>
      <w:r w:rsidRPr="00212CEA">
        <w:rPr>
          <w:rFonts w:ascii="David" w:hAnsi="David"/>
          <w:rtl/>
        </w:rPr>
        <w:t>עמדת בית המשפט העליון היא שעל בתי המשפט לתרום את חלקם במיגור תופעה מסוכנת זו על דרך של החמרת הענישה עם מי שמחזיק בנשק שלא כדין. כך גם תיקון 140 ל</w:t>
      </w:r>
      <w:hyperlink r:id="rId26" w:history="1">
        <w:r w:rsidR="004C7C09" w:rsidRPr="004C7C09">
          <w:rPr>
            <w:rFonts w:ascii="David" w:hAnsi="David"/>
            <w:color w:val="0000FF"/>
            <w:u w:val="single"/>
            <w:rtl/>
          </w:rPr>
          <w:t>חוק העונשין</w:t>
        </w:r>
      </w:hyperlink>
      <w:r w:rsidRPr="00212CEA">
        <w:rPr>
          <w:rFonts w:ascii="David" w:hAnsi="David"/>
          <w:rtl/>
        </w:rPr>
        <w:t xml:space="preserve"> קבע עונש מינימום ביחס לעבירה בה הורשע הנאשם בהליך זה שלפני. כפי שנכתב ב</w:t>
      </w:r>
      <w:hyperlink r:id="rId27" w:history="1">
        <w:r w:rsidR="004C7C09" w:rsidRPr="004C7C09">
          <w:rPr>
            <w:rFonts w:ascii="David" w:hAnsi="David"/>
            <w:color w:val="0000FF"/>
            <w:u w:val="single"/>
            <w:rtl/>
          </w:rPr>
          <w:t>ע"פ 147/21</w:t>
        </w:r>
      </w:hyperlink>
      <w:r w:rsidRPr="00212CEA">
        <w:rPr>
          <w:rFonts w:ascii="David" w:hAnsi="David"/>
          <w:rtl/>
        </w:rPr>
        <w:t xml:space="preserve"> </w:t>
      </w:r>
      <w:r w:rsidRPr="00212CEA">
        <w:rPr>
          <w:rFonts w:ascii="David" w:hAnsi="David"/>
          <w:b/>
          <w:bCs/>
          <w:rtl/>
        </w:rPr>
        <w:t>מדינת ישראל נ' ירין ביטון</w:t>
      </w:r>
      <w:r w:rsidRPr="00212CEA">
        <w:rPr>
          <w:rFonts w:ascii="David" w:hAnsi="David"/>
          <w:rtl/>
        </w:rPr>
        <w:t xml:space="preserve"> (14.02.21): </w:t>
      </w:r>
    </w:p>
    <w:p w14:paraId="499DB312" w14:textId="77777777" w:rsidR="0097583E" w:rsidRPr="00212CEA" w:rsidRDefault="0097583E" w:rsidP="0097583E">
      <w:pPr>
        <w:spacing w:line="360" w:lineRule="auto"/>
        <w:ind w:left="567" w:right="567"/>
        <w:jc w:val="both"/>
        <w:rPr>
          <w:rFonts w:ascii="David" w:hAnsi="David"/>
        </w:rPr>
      </w:pPr>
      <w:r w:rsidRPr="00212CEA">
        <w:rPr>
          <w:rFonts w:ascii="David" w:hAnsi="David"/>
          <w:b/>
          <w:bCs/>
          <w:rtl/>
        </w:rPr>
        <w:t xml:space="preserve">"עבירות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 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 בדרך כלל, מעשי הכנה שאינם מגיעים כדי ניסיון לעבור עבירה פלילית אינם בני עונשין; ואולם, לא כך הוא כאשר מדובר במעשי הכנה שחומרתם מגיעה כדי סיכון ממשי וחמור לפרט ולחברה כאחד (ראו: ש"ז פלר </w:t>
      </w:r>
      <w:hyperlink r:id="rId28" w:history="1">
        <w:r w:rsidR="004C7C09" w:rsidRPr="004C7C09">
          <w:rPr>
            <w:rFonts w:ascii="David" w:hAnsi="David"/>
            <w:b/>
            <w:bCs/>
            <w:color w:val="0000FF"/>
            <w:u w:val="single"/>
            <w:rtl/>
          </w:rPr>
          <w:t>יסודות בדיני עונשין</w:t>
        </w:r>
      </w:hyperlink>
      <w:r w:rsidRPr="00212CEA">
        <w:rPr>
          <w:rFonts w:ascii="David" w:hAnsi="David"/>
          <w:b/>
          <w:bCs/>
          <w:rtl/>
        </w:rPr>
        <w:t xml:space="preserve"> 52-48 (כרך ב', תשמ"ז)). על מעשי הכנה כאלה נענשים בחומרה, ואין זה מקרי שעצם הרכישה או ההחזקה של כלי נשק בלא רשות על פי דין להחזקתו גוררת אחריה עונש מרבי של שבע שנות מאסר, כאמור בסעיף 144(א) ל</w:t>
      </w:r>
      <w:hyperlink r:id="rId29" w:history="1">
        <w:r w:rsidR="004C7C09" w:rsidRPr="004C7C09">
          <w:rPr>
            <w:rFonts w:ascii="David" w:hAnsi="David"/>
            <w:b/>
            <w:bCs/>
            <w:color w:val="0000FF"/>
            <w:u w:val="single"/>
            <w:rtl/>
          </w:rPr>
          <w:t>חוק העונשין</w:t>
        </w:r>
      </w:hyperlink>
      <w:r w:rsidRPr="00212CEA">
        <w:rPr>
          <w:rFonts w:ascii="David" w:hAnsi="David"/>
          <w:b/>
          <w:bCs/>
          <w:rtl/>
        </w:rPr>
        <w:t>.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(ראו דברי השופט י' אלרון ב</w:t>
      </w:r>
      <w:hyperlink r:id="rId30" w:history="1">
        <w:r w:rsidR="004C7C09" w:rsidRPr="004C7C09">
          <w:rPr>
            <w:rFonts w:ascii="David" w:hAnsi="David"/>
            <w:b/>
            <w:bCs/>
            <w:color w:val="0000FF"/>
            <w:u w:val="single"/>
            <w:rtl/>
          </w:rPr>
          <w:t>ע"פ 4406/19</w:t>
        </w:r>
      </w:hyperlink>
      <w:r w:rsidRPr="00212CEA">
        <w:rPr>
          <w:rFonts w:ascii="David" w:hAnsi="David"/>
          <w:b/>
          <w:bCs/>
          <w:rtl/>
        </w:rPr>
        <w:t xml:space="preserve"> מדינת ישראל נ' סובח [פורסם בנבו] (5.11.2019) (להלן: עניין סובח))...הטלת עונשים חמורים ומרתיעים על עברייני נשק היא עיקר תרומתם של בתי המשפט למיגור התופעה ולהרחקת העבריין עם האקדח משגרת חייהם של אזרחי מדינה שומרי חוק...". </w:t>
      </w:r>
    </w:p>
    <w:p w14:paraId="41EB8D16" w14:textId="77777777" w:rsidR="0097583E" w:rsidRPr="00212CEA" w:rsidRDefault="0097583E" w:rsidP="0097583E">
      <w:pPr>
        <w:spacing w:line="360" w:lineRule="auto"/>
        <w:ind w:left="567" w:right="567"/>
        <w:jc w:val="both"/>
        <w:rPr>
          <w:rFonts w:ascii="David" w:hAnsi="David"/>
          <w:rtl/>
        </w:rPr>
      </w:pPr>
    </w:p>
    <w:p w14:paraId="04904CC7" w14:textId="77777777" w:rsidR="0097583E" w:rsidRPr="00212CEA" w:rsidRDefault="0097583E" w:rsidP="0097583E">
      <w:pPr>
        <w:spacing w:line="360" w:lineRule="auto"/>
        <w:jc w:val="both"/>
        <w:rPr>
          <w:rFonts w:ascii="David" w:hAnsi="David"/>
          <w:b/>
          <w:bCs/>
        </w:rPr>
      </w:pPr>
      <w:r w:rsidRPr="00212CEA">
        <w:rPr>
          <w:rFonts w:ascii="David" w:hAnsi="David"/>
          <w:rtl/>
        </w:rPr>
        <w:t>מגמת ההחמרה קיבלה ביטוי בפסיקתו של ביהמ"ש העליון ב</w:t>
      </w:r>
      <w:hyperlink r:id="rId31" w:history="1">
        <w:r w:rsidR="004C7C09" w:rsidRPr="004C7C09">
          <w:rPr>
            <w:rFonts w:ascii="David" w:hAnsi="David"/>
            <w:color w:val="0000FF"/>
            <w:u w:val="single"/>
            <w:rtl/>
          </w:rPr>
          <w:t>ע"פ 5602/22</w:t>
        </w:r>
      </w:hyperlink>
      <w:r w:rsidRPr="00212CEA">
        <w:rPr>
          <w:rFonts w:ascii="David" w:hAnsi="David"/>
          <w:rtl/>
        </w:rPr>
        <w:t xml:space="preserve"> מדינת ישראל נ' פלוני (14.09.22) באשר לכל עבירות הנשק לרבות העבירות בהן עסקינן:</w:t>
      </w:r>
    </w:p>
    <w:p w14:paraId="2EDE2238" w14:textId="77777777" w:rsidR="0097583E" w:rsidRPr="00212CEA" w:rsidRDefault="0097583E" w:rsidP="0097583E">
      <w:pPr>
        <w:spacing w:line="360" w:lineRule="auto"/>
        <w:ind w:left="567" w:right="567"/>
        <w:contextualSpacing/>
        <w:jc w:val="both"/>
        <w:rPr>
          <w:rFonts w:ascii="David" w:hAnsi="David"/>
          <w:rtl/>
        </w:rPr>
      </w:pPr>
      <w:r w:rsidRPr="00212CEA">
        <w:rPr>
          <w:rFonts w:ascii="David" w:hAnsi="David"/>
          <w:rtl/>
        </w:rPr>
        <w:t>"</w:t>
      </w:r>
      <w:r w:rsidRPr="00212CEA">
        <w:rPr>
          <w:rFonts w:ascii="David" w:hAnsi="David"/>
          <w:b/>
          <w:bCs/>
          <w:rtl/>
        </w:rPr>
        <w:t>כי הענישה המחמירה והבלתי מתפשרת כאמור צריכה לחול ללא סייגים על כל נאשם בגיר באשר הוא, שכן "בטיפולנו בעבירות [נשק] מסוג זה ובמבצעיהן, להרתעת היחיד והרבים ולהרחקת עברייני הנשק מהחברה על ידי השמתם בין כותלי הכלא לתקופות ממושכות יש מעמד בכורה", ועל כן "ככלל, יעדים עונשיים אלו מוחקים מניה וביה את בקשת העבריין לשיקום [...] גם כאשר מדובר בעבריין צעיר שהסתבך לראשונה בפלילים ובקשתו לשיקום כנה ואף זוכה לתמיכתו של שירות המבחן"... זאת, מסיבה פשוטה: "בימים קשים אלה, השיקום שבראש מעייננו הוא שיקום המרחב הציבורי המדמם כתוצאה מעבירות נשק בלתי פוסקות והשימוש העברייני בנשק חם." (שם). בהקשר זה אוסיף ואציין את המובן מאליו: בית משפט שמקל בעונשו של עבריין נשק מכביד על החברה שנאלצת להגן על עצמה –על כל בניה ובנותיה – מעברייני נשק. במילים פשוטות יותר, בהן השתמשתי בתוארי את מדיניות הענישה הראויה ביחס לעבירות מין, עסקינן במשחק-סכום-אפס: בית משפט שמרחם על העבריין אינו מרחם על הקורבן הבא</w:t>
      </w:r>
      <w:r w:rsidRPr="00212CEA">
        <w:rPr>
          <w:rFonts w:ascii="David" w:hAnsi="David"/>
          <w:rtl/>
        </w:rPr>
        <w:t>"(</w:t>
      </w:r>
      <w:hyperlink r:id="rId32" w:history="1">
        <w:r w:rsidR="004C7C09" w:rsidRPr="004C7C09">
          <w:rPr>
            <w:rFonts w:ascii="David" w:hAnsi="David"/>
            <w:color w:val="0000FF"/>
            <w:u w:val="single"/>
            <w:rtl/>
          </w:rPr>
          <w:t>ע"פ 5602/22</w:t>
        </w:r>
      </w:hyperlink>
      <w:r w:rsidRPr="00212CEA">
        <w:rPr>
          <w:rFonts w:ascii="David" w:hAnsi="David"/>
          <w:rtl/>
        </w:rPr>
        <w:t xml:space="preserve"> </w:t>
      </w:r>
      <w:r w:rsidRPr="00212CEA">
        <w:rPr>
          <w:rFonts w:ascii="David" w:hAnsi="David"/>
          <w:b/>
          <w:bCs/>
          <w:rtl/>
        </w:rPr>
        <w:t>מדינת ישראל נ' פלוני</w:t>
      </w:r>
      <w:r w:rsidRPr="00212CEA">
        <w:rPr>
          <w:rFonts w:ascii="David" w:hAnsi="David"/>
          <w:rtl/>
        </w:rPr>
        <w:t xml:space="preserve">, פסקה 15 (14.9.22); ראו גם </w:t>
      </w:r>
      <w:hyperlink r:id="rId33" w:history="1">
        <w:r w:rsidR="004C7C09" w:rsidRPr="004C7C09">
          <w:rPr>
            <w:rFonts w:ascii="David" w:hAnsi="David"/>
            <w:color w:val="0000FF"/>
            <w:u w:val="single"/>
            <w:rtl/>
          </w:rPr>
          <w:t>ע"פ 4103/22</w:t>
        </w:r>
      </w:hyperlink>
      <w:r w:rsidRPr="00212CEA">
        <w:rPr>
          <w:rFonts w:ascii="David" w:hAnsi="David"/>
          <w:rtl/>
        </w:rPr>
        <w:t xml:space="preserve"> </w:t>
      </w:r>
      <w:r w:rsidRPr="00212CEA">
        <w:rPr>
          <w:rFonts w:ascii="David" w:hAnsi="David"/>
          <w:b/>
          <w:bCs/>
          <w:rtl/>
        </w:rPr>
        <w:t>מדינת ישראל נ' מוחמד אמון</w:t>
      </w:r>
      <w:r w:rsidRPr="00212CEA">
        <w:rPr>
          <w:rFonts w:ascii="David" w:hAnsi="David"/>
          <w:rtl/>
        </w:rPr>
        <w:t>, פסקה 9 (6.11.22).</w:t>
      </w:r>
    </w:p>
    <w:p w14:paraId="1AD39377" w14:textId="77777777" w:rsidR="0097583E" w:rsidRPr="00212CEA" w:rsidRDefault="0097583E" w:rsidP="0097583E">
      <w:pPr>
        <w:spacing w:line="360" w:lineRule="auto"/>
        <w:jc w:val="both"/>
        <w:rPr>
          <w:rFonts w:ascii="David" w:hAnsi="David"/>
          <w:rtl/>
        </w:rPr>
      </w:pPr>
    </w:p>
    <w:p w14:paraId="41CCFCE5" w14:textId="77777777" w:rsidR="0097583E" w:rsidRPr="00212CEA" w:rsidRDefault="0097583E" w:rsidP="0097583E">
      <w:pPr>
        <w:spacing w:line="360" w:lineRule="auto"/>
        <w:jc w:val="both"/>
        <w:rPr>
          <w:rFonts w:ascii="David" w:hAnsi="David"/>
          <w:rtl/>
        </w:rPr>
      </w:pPr>
      <w:r w:rsidRPr="00212CEA">
        <w:rPr>
          <w:rFonts w:ascii="David" w:hAnsi="David"/>
          <w:rtl/>
        </w:rPr>
        <w:t>כאמור, בתי המשפט בכלל ובית המשפט העליון בראשם, קבעו מדיניות ענישה מחמירה ביחס לכל מי שעובר עבירות בנשק. מדיניות מחמירה זו הינה פועל יוצא של ריבוי המקרים שבהם נעשה שימוש בנשק המוחזק שלא כחוק המסכן חיי אדם. כפי שנכתב ב</w:t>
      </w:r>
      <w:hyperlink r:id="rId34" w:history="1">
        <w:r w:rsidR="004C7C09" w:rsidRPr="004C7C09">
          <w:rPr>
            <w:rFonts w:ascii="David" w:hAnsi="David"/>
            <w:color w:val="0000FF"/>
            <w:u w:val="single"/>
            <w:rtl/>
          </w:rPr>
          <w:t>ע"פ 6383/21</w:t>
        </w:r>
      </w:hyperlink>
      <w:r w:rsidRPr="00212CEA">
        <w:rPr>
          <w:rFonts w:ascii="David" w:hAnsi="David"/>
          <w:rtl/>
        </w:rPr>
        <w:t xml:space="preserve"> </w:t>
      </w:r>
      <w:r w:rsidRPr="00212CEA">
        <w:rPr>
          <w:rFonts w:ascii="David" w:hAnsi="David"/>
          <w:b/>
          <w:bCs/>
          <w:rtl/>
        </w:rPr>
        <w:t>קריף נ' מדינת ישראל</w:t>
      </w:r>
      <w:r w:rsidRPr="00212CEA">
        <w:rPr>
          <w:rFonts w:ascii="David" w:hAnsi="David"/>
          <w:rtl/>
        </w:rPr>
        <w:t xml:space="preserve"> [פורסם בנבו] (13.02.22):</w:t>
      </w:r>
    </w:p>
    <w:p w14:paraId="700EADA9" w14:textId="77777777" w:rsidR="0097583E" w:rsidRPr="00212CEA" w:rsidRDefault="0097583E" w:rsidP="0097583E">
      <w:pPr>
        <w:autoSpaceDE w:val="0"/>
        <w:autoSpaceDN w:val="0"/>
        <w:spacing w:line="360" w:lineRule="auto"/>
        <w:ind w:left="567" w:right="567"/>
        <w:jc w:val="both"/>
        <w:rPr>
          <w:rFonts w:ascii="David" w:hAnsi="David"/>
          <w:b/>
          <w:bCs/>
          <w:rtl/>
        </w:rPr>
      </w:pPr>
      <w:r w:rsidRPr="00212CEA">
        <w:rPr>
          <w:rFonts w:ascii="David" w:hAnsi="David"/>
          <w:rtl/>
        </w:rPr>
        <w:t>"</w:t>
      </w:r>
      <w:r w:rsidRPr="00212CEA">
        <w:rPr>
          <w:rFonts w:ascii="David" w:hAnsi="David"/>
          <w:b/>
          <w:bCs/>
          <w:rtl/>
        </w:rPr>
        <w:t xml:space="preserve">לעיתים נכון להחמיר בענישה בגין סוגים מסוימים של עבירות בשל אופיין, ויש שנכון להחמיר בענישה בגין ביצוע עבירות מסוימות הואיל ובתקופה הרלוונטית הן הופכות לנפוצות ושגרתיות יותר, עד כי יש לסווגן כ"מכת מדינה". בענייננו, עבירות הנשק דורשות החמרה בשל שני הנימוקים גם יחד. ממד החומרה שבהן נעוץ בזיקתן לכלי בעל כוח קטלני. ובראי התקופה – הפגיעה באינטרס הציבורי ובבטחון הפרט דורשת ענישה מחמירה, מעבר לזו שהייתה נקוטה בעבר. בפסיקה הובהר שוב ושוב בשנים האחרונות כי הענישה בעבירות נשק צריכה להיות מחמירה. לצערנו מספרן והיקפן של עבירות אלה גדלים בשנים האחרונות. פגיעתו הרעה של הנשק אינה תחומה לסביבה העבריינית. לא פעם נפגעי העבירה נקלעים למקום במקרה, ואינם קשורים למעגל עברייני כלשהו. כל חטאו של נפגע עבירה, לפעמים, הוא בכך שיצא מביתו ובחר להסתובב ברשות הרבים. </w:t>
      </w:r>
    </w:p>
    <w:p w14:paraId="7E292FBE" w14:textId="77777777" w:rsidR="0097583E" w:rsidRPr="00212CEA" w:rsidRDefault="004C7C09" w:rsidP="0097583E">
      <w:pPr>
        <w:autoSpaceDE w:val="0"/>
        <w:autoSpaceDN w:val="0"/>
        <w:spacing w:line="360" w:lineRule="auto"/>
        <w:ind w:left="567" w:right="567"/>
        <w:jc w:val="both"/>
        <w:rPr>
          <w:rFonts w:ascii="David" w:hAnsi="David"/>
          <w:rtl/>
        </w:rPr>
      </w:pPr>
      <w:r>
        <w:rPr>
          <w:rFonts w:ascii="David" w:hAnsi="David"/>
          <w:b/>
          <w:bCs/>
          <w:rtl/>
        </w:rPr>
        <w:t xml:space="preserve">  </w:t>
      </w:r>
      <w:r w:rsidR="0097583E" w:rsidRPr="00212CEA">
        <w:rPr>
          <w:rFonts w:ascii="David" w:hAnsi="David"/>
          <w:b/>
          <w:bCs/>
          <w:rtl/>
        </w:rPr>
        <w:t xml:space="preserve"> הפגיעה אף אינה תחומה רק לנזק הפיזי שנגרם כתוצאה מהשימוש בנשק בלבד. השימוש בנשק עלול ליצור תחושת חשש, ופחד מפני ביצוע פעולה אלמנטרית שעומדת בליבת חופש התנועה. בכך נוצרת "הרתעה" של הנפגע הפוטנציאלי. זהו רובד אחד. רובד נוסף הוא התעצמות הפעילות העבריינית, פועלה ושאיפתה לשלוט בתחומים רחבים ושונים...אקדח שיורה "במערכה השלישית" גורם כמובן לנזק רב, אך גם אקדח שמונח על השולחן "במערכה הראשונה" – אף אם לא נעשה בו כל שימוש אחר בהמשך – עלול לפגוע בשלום הציבור באופן ממשי. יש לקשור אפוא מלחמת חורמה על עבירות הנשק למיניהן, וגם על בית המשפט לתרום את חלקו למלחמה זו באמצעות ענישה הולמת ומרתיעה...אין להפריז במשקל שיש לתת לנתונים כגון סוג האקדח, ולקבוע מעין "מדרגה עונשית" שמתמקדת אך ורק בנתון זה ובתוצאה, ולא בסיכון שנוצר. העיקר נעוץ, כאמור, בכוחו של הנשק לפגוע באדם – ואף להמיתו – ולשבש את חיי השגרה של החברה. כפי שהובהר, חלק מרעתן החולה של עבירות הנשק מצוי לאו דווקא בשימוש הישיר בנשק, אלא בנזקים שנלווים להחזקה ונשיאה של כלי נשק בידי אזרחים באופן בלתי חוקי.</w:t>
      </w:r>
      <w:r w:rsidR="0097583E" w:rsidRPr="00212CEA">
        <w:rPr>
          <w:rFonts w:ascii="David" w:hAnsi="David"/>
          <w:rtl/>
        </w:rPr>
        <w:t xml:space="preserve">" </w:t>
      </w:r>
    </w:p>
    <w:p w14:paraId="0D1975E7" w14:textId="77777777" w:rsidR="0097583E" w:rsidRPr="00212CEA" w:rsidRDefault="0097583E" w:rsidP="0097583E">
      <w:pPr>
        <w:autoSpaceDE w:val="0"/>
        <w:autoSpaceDN w:val="0"/>
        <w:spacing w:line="360" w:lineRule="auto"/>
        <w:ind w:left="567" w:right="567"/>
        <w:jc w:val="both"/>
        <w:rPr>
          <w:rFonts w:ascii="David" w:hAnsi="David"/>
          <w:rtl/>
        </w:rPr>
      </w:pPr>
    </w:p>
    <w:p w14:paraId="24CCC55C" w14:textId="77777777" w:rsidR="0097583E" w:rsidRPr="00212CEA" w:rsidRDefault="0097583E" w:rsidP="0097583E">
      <w:pPr>
        <w:spacing w:line="360" w:lineRule="auto"/>
        <w:jc w:val="both"/>
        <w:rPr>
          <w:rFonts w:ascii="David" w:hAnsi="David"/>
        </w:rPr>
      </w:pPr>
      <w:r w:rsidRPr="00212CEA">
        <w:rPr>
          <w:rFonts w:ascii="David" w:hAnsi="David"/>
          <w:rtl/>
        </w:rPr>
        <w:t>לראיה באשר לקריאות של בתי המשפט בכל הערכאות, להעלות את רף הענישה בעבירות הנשק לסוגיהן ב</w:t>
      </w:r>
      <w:hyperlink r:id="rId35" w:history="1">
        <w:r w:rsidR="004C7C09" w:rsidRPr="004C7C09">
          <w:rPr>
            <w:rFonts w:ascii="David" w:hAnsi="David"/>
            <w:color w:val="0000FF"/>
            <w:u w:val="single"/>
            <w:rtl/>
          </w:rPr>
          <w:t>ע"פ 4406/19</w:t>
        </w:r>
      </w:hyperlink>
      <w:r w:rsidRPr="00212CEA">
        <w:rPr>
          <w:rFonts w:ascii="David" w:hAnsi="David"/>
          <w:rtl/>
        </w:rPr>
        <w:t xml:space="preserve"> </w:t>
      </w:r>
      <w:r w:rsidRPr="00212CEA">
        <w:rPr>
          <w:rFonts w:ascii="David" w:hAnsi="David"/>
          <w:b/>
          <w:bCs/>
          <w:rtl/>
        </w:rPr>
        <w:t>מדינת ישראל נ' יונס סובח</w:t>
      </w:r>
      <w:r w:rsidRPr="00212CEA">
        <w:rPr>
          <w:rFonts w:ascii="David" w:hAnsi="David"/>
          <w:rtl/>
        </w:rPr>
        <w:t xml:space="preserve"> (05.11.19 [פורסם בנבו]) יצאה קריאה ברורה ומפורשת להחמיר בענישה בעבירות נשק:</w:t>
      </w:r>
    </w:p>
    <w:p w14:paraId="5EBC14DD" w14:textId="77777777" w:rsidR="0097583E" w:rsidRPr="00212CEA" w:rsidRDefault="0097583E" w:rsidP="0097583E">
      <w:pPr>
        <w:autoSpaceDE w:val="0"/>
        <w:autoSpaceDN w:val="0"/>
        <w:spacing w:line="360" w:lineRule="auto"/>
        <w:ind w:left="567" w:right="567"/>
        <w:jc w:val="both"/>
        <w:rPr>
          <w:rFonts w:ascii="David" w:hAnsi="David"/>
          <w:b/>
          <w:bCs/>
        </w:rPr>
      </w:pPr>
      <w:r w:rsidRPr="00212CEA">
        <w:rPr>
          <w:rFonts w:ascii="David" w:hAnsi="David"/>
          <w:b/>
          <w:bCs/>
          <w:rtl/>
        </w:rPr>
        <w:t>"המאבק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 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w:t>
      </w:r>
    </w:p>
    <w:p w14:paraId="70795632" w14:textId="77777777" w:rsidR="0097583E" w:rsidRPr="00212CEA" w:rsidRDefault="004C7C09" w:rsidP="0097583E">
      <w:pPr>
        <w:spacing w:line="360" w:lineRule="auto"/>
        <w:jc w:val="both"/>
        <w:rPr>
          <w:rFonts w:ascii="David" w:hAnsi="David"/>
          <w:rtl/>
        </w:rPr>
      </w:pPr>
      <w:r>
        <w:rPr>
          <w:rFonts w:ascii="David" w:hAnsi="David"/>
          <w:rtl/>
        </w:rPr>
        <w:t xml:space="preserve">           </w:t>
      </w:r>
      <w:r w:rsidR="0097583E" w:rsidRPr="00212CEA">
        <w:rPr>
          <w:rFonts w:ascii="David" w:hAnsi="David"/>
          <w:rtl/>
        </w:rPr>
        <w:t xml:space="preserve"> </w:t>
      </w:r>
    </w:p>
    <w:p w14:paraId="79ECBC4A" w14:textId="77777777" w:rsidR="0097583E" w:rsidRPr="00212CEA" w:rsidRDefault="0097583E" w:rsidP="0097583E">
      <w:pPr>
        <w:spacing w:line="360" w:lineRule="auto"/>
        <w:jc w:val="both"/>
        <w:rPr>
          <w:rFonts w:ascii="David" w:hAnsi="David"/>
          <w:rtl/>
        </w:rPr>
      </w:pPr>
      <w:r w:rsidRPr="00212CEA">
        <w:rPr>
          <w:rFonts w:ascii="David" w:hAnsi="David"/>
          <w:rtl/>
        </w:rPr>
        <w:t>כפי שנאמר ב</w:t>
      </w:r>
      <w:hyperlink r:id="rId36" w:history="1">
        <w:r w:rsidR="004C7C09" w:rsidRPr="004C7C09">
          <w:rPr>
            <w:rFonts w:ascii="David" w:hAnsi="David"/>
            <w:color w:val="0000FF"/>
            <w:u w:val="single"/>
            <w:rtl/>
          </w:rPr>
          <w:t>עפ"ג (חי') 23517-02-20</w:t>
        </w:r>
      </w:hyperlink>
      <w:r w:rsidRPr="00212CEA">
        <w:rPr>
          <w:rFonts w:ascii="David" w:hAnsi="David"/>
          <w:rtl/>
        </w:rPr>
        <w:t xml:space="preserve"> </w:t>
      </w:r>
      <w:r w:rsidRPr="00212CEA">
        <w:rPr>
          <w:rFonts w:ascii="David" w:hAnsi="David"/>
          <w:b/>
          <w:bCs/>
          <w:rtl/>
        </w:rPr>
        <w:t>מדינת ישראל נ' אלכילאני</w:t>
      </w:r>
      <w:r w:rsidRPr="00212CEA">
        <w:rPr>
          <w:rFonts w:ascii="David" w:hAnsi="David"/>
          <w:rtl/>
        </w:rPr>
        <w:t xml:space="preserve"> [פורסם בנבו] (28.07.20): "</w:t>
      </w:r>
      <w:r w:rsidRPr="00212CEA">
        <w:rPr>
          <w:rFonts w:ascii="David" w:hAnsi="David"/>
          <w:b/>
          <w:bCs/>
          <w:rtl/>
        </w:rPr>
        <w:t>מגמת</w:t>
      </w:r>
      <w:r w:rsidRPr="00212CEA">
        <w:rPr>
          <w:rFonts w:ascii="David" w:hAnsi="David"/>
          <w:b/>
          <w:bCs/>
        </w:rPr>
        <w:t xml:space="preserve"> </w:t>
      </w:r>
      <w:r w:rsidRPr="00212CEA">
        <w:rPr>
          <w:rFonts w:ascii="David" w:hAnsi="David"/>
          <w:b/>
          <w:bCs/>
          <w:rtl/>
        </w:rPr>
        <w:t>החמרה</w:t>
      </w:r>
      <w:r w:rsidRPr="00212CEA">
        <w:rPr>
          <w:rFonts w:ascii="David" w:hAnsi="David"/>
          <w:b/>
          <w:bCs/>
        </w:rPr>
        <w:t xml:space="preserve"> </w:t>
      </w:r>
      <w:r w:rsidRPr="00212CEA">
        <w:rPr>
          <w:rFonts w:ascii="David" w:hAnsi="David"/>
          <w:b/>
          <w:bCs/>
          <w:rtl/>
        </w:rPr>
        <w:t>זו</w:t>
      </w:r>
      <w:r w:rsidRPr="00212CEA">
        <w:rPr>
          <w:rFonts w:ascii="David" w:hAnsi="David"/>
          <w:b/>
          <w:bCs/>
        </w:rPr>
        <w:t xml:space="preserve"> </w:t>
      </w:r>
      <w:r w:rsidRPr="00212CEA">
        <w:rPr>
          <w:rFonts w:ascii="David" w:hAnsi="David"/>
          <w:b/>
          <w:bCs/>
          <w:rtl/>
        </w:rPr>
        <w:t>ניכרת</w:t>
      </w:r>
      <w:r w:rsidRPr="00212CEA">
        <w:rPr>
          <w:rFonts w:ascii="David" w:hAnsi="David"/>
          <w:b/>
          <w:bCs/>
        </w:rPr>
        <w:t xml:space="preserve"> </w:t>
      </w:r>
      <w:r w:rsidRPr="00212CEA">
        <w:rPr>
          <w:rFonts w:ascii="David" w:hAnsi="David"/>
          <w:b/>
          <w:bCs/>
          <w:rtl/>
        </w:rPr>
        <w:t>במיוחד</w:t>
      </w:r>
      <w:r w:rsidRPr="00212CEA">
        <w:rPr>
          <w:rFonts w:ascii="David" w:hAnsi="David"/>
          <w:b/>
          <w:bCs/>
        </w:rPr>
        <w:t xml:space="preserve"> </w:t>
      </w:r>
      <w:r w:rsidRPr="00212CEA">
        <w:rPr>
          <w:rFonts w:ascii="David" w:hAnsi="David"/>
          <w:b/>
          <w:bCs/>
          <w:rtl/>
        </w:rPr>
        <w:t>בפסיקה</w:t>
      </w:r>
      <w:r w:rsidRPr="00212CEA">
        <w:rPr>
          <w:rFonts w:ascii="David" w:hAnsi="David"/>
          <w:b/>
          <w:bCs/>
        </w:rPr>
        <w:t xml:space="preserve"> </w:t>
      </w:r>
      <w:r w:rsidRPr="00212CEA">
        <w:rPr>
          <w:rFonts w:ascii="David" w:hAnsi="David"/>
          <w:b/>
          <w:bCs/>
          <w:rtl/>
        </w:rPr>
        <w:t>מן</w:t>
      </w:r>
      <w:r w:rsidRPr="00212CEA">
        <w:rPr>
          <w:rFonts w:ascii="David" w:hAnsi="David"/>
          <w:b/>
          <w:bCs/>
        </w:rPr>
        <w:t xml:space="preserve"> </w:t>
      </w:r>
      <w:r w:rsidRPr="00212CEA">
        <w:rPr>
          <w:rFonts w:ascii="David" w:hAnsi="David"/>
          <w:b/>
          <w:bCs/>
          <w:rtl/>
        </w:rPr>
        <w:t>התקופה</w:t>
      </w:r>
      <w:r w:rsidRPr="00212CEA">
        <w:rPr>
          <w:rFonts w:ascii="David" w:hAnsi="David"/>
          <w:b/>
          <w:bCs/>
        </w:rPr>
        <w:t xml:space="preserve"> </w:t>
      </w:r>
      <w:r w:rsidRPr="00212CEA">
        <w:rPr>
          <w:rFonts w:ascii="David" w:hAnsi="David"/>
          <w:b/>
          <w:bCs/>
          <w:u w:val="single"/>
          <w:rtl/>
        </w:rPr>
        <w:t>האחרונה</w:t>
      </w:r>
      <w:r w:rsidRPr="00212CEA">
        <w:rPr>
          <w:rFonts w:ascii="David" w:hAnsi="David"/>
          <w:b/>
          <w:bCs/>
          <w:rtl/>
        </w:rPr>
        <w:t>, החמרה</w:t>
      </w:r>
      <w:r w:rsidRPr="00212CEA">
        <w:rPr>
          <w:rFonts w:ascii="David" w:hAnsi="David"/>
          <w:b/>
          <w:bCs/>
        </w:rPr>
        <w:t xml:space="preserve"> </w:t>
      </w:r>
      <w:r w:rsidRPr="00212CEA">
        <w:rPr>
          <w:rFonts w:ascii="David" w:hAnsi="David"/>
          <w:b/>
          <w:bCs/>
          <w:rtl/>
        </w:rPr>
        <w:t>אשר</w:t>
      </w:r>
      <w:r w:rsidRPr="00212CEA">
        <w:rPr>
          <w:rFonts w:ascii="David" w:hAnsi="David"/>
          <w:b/>
          <w:bCs/>
        </w:rPr>
        <w:t xml:space="preserve"> </w:t>
      </w:r>
      <w:r w:rsidRPr="00212CEA">
        <w:rPr>
          <w:rFonts w:ascii="David" w:hAnsi="David"/>
          <w:b/>
          <w:bCs/>
          <w:rtl/>
        </w:rPr>
        <w:t>באה לידי</w:t>
      </w:r>
      <w:r w:rsidRPr="00212CEA">
        <w:rPr>
          <w:rFonts w:ascii="David" w:hAnsi="David"/>
          <w:b/>
          <w:bCs/>
        </w:rPr>
        <w:t xml:space="preserve"> </w:t>
      </w:r>
      <w:r w:rsidRPr="00212CEA">
        <w:rPr>
          <w:rFonts w:ascii="David" w:hAnsi="David"/>
          <w:b/>
          <w:bCs/>
          <w:rtl/>
        </w:rPr>
        <w:t>ביטוי, בין</w:t>
      </w:r>
      <w:r w:rsidRPr="00212CEA">
        <w:rPr>
          <w:rFonts w:ascii="David" w:hAnsi="David"/>
          <w:b/>
          <w:bCs/>
        </w:rPr>
        <w:t xml:space="preserve"> </w:t>
      </w:r>
      <w:r w:rsidRPr="00212CEA">
        <w:rPr>
          <w:rFonts w:ascii="David" w:hAnsi="David"/>
          <w:b/>
          <w:bCs/>
          <w:rtl/>
        </w:rPr>
        <w:t>היתר, בכך</w:t>
      </w:r>
      <w:r w:rsidRPr="00212CEA">
        <w:rPr>
          <w:rFonts w:ascii="David" w:hAnsi="David"/>
          <w:b/>
          <w:bCs/>
        </w:rPr>
        <w:t xml:space="preserve"> </w:t>
      </w:r>
      <w:r w:rsidRPr="00212CEA">
        <w:rPr>
          <w:rFonts w:ascii="David" w:hAnsi="David"/>
          <w:b/>
          <w:bCs/>
          <w:rtl/>
        </w:rPr>
        <w:t>שהסף</w:t>
      </w:r>
      <w:r w:rsidRPr="00212CEA">
        <w:rPr>
          <w:rFonts w:ascii="David" w:hAnsi="David"/>
          <w:b/>
          <w:bCs/>
        </w:rPr>
        <w:t xml:space="preserve"> </w:t>
      </w:r>
      <w:r w:rsidRPr="00212CEA">
        <w:rPr>
          <w:rFonts w:ascii="David" w:hAnsi="David"/>
          <w:b/>
          <w:bCs/>
          <w:rtl/>
        </w:rPr>
        <w:t>התחתון</w:t>
      </w:r>
      <w:r w:rsidRPr="00212CEA">
        <w:rPr>
          <w:rFonts w:ascii="David" w:hAnsi="David"/>
          <w:b/>
          <w:bCs/>
        </w:rPr>
        <w:t xml:space="preserve"> </w:t>
      </w:r>
      <w:r w:rsidRPr="00212CEA">
        <w:rPr>
          <w:rFonts w:ascii="David" w:hAnsi="David"/>
          <w:b/>
          <w:bCs/>
          <w:rtl/>
        </w:rPr>
        <w:t>של</w:t>
      </w:r>
      <w:r w:rsidRPr="00212CEA">
        <w:rPr>
          <w:rFonts w:ascii="David" w:hAnsi="David"/>
          <w:b/>
          <w:bCs/>
        </w:rPr>
        <w:t xml:space="preserve"> </w:t>
      </w:r>
      <w:r w:rsidRPr="00212CEA">
        <w:rPr>
          <w:rFonts w:ascii="David" w:hAnsi="David"/>
          <w:b/>
          <w:bCs/>
          <w:rtl/>
        </w:rPr>
        <w:t>מתחם</w:t>
      </w:r>
      <w:r w:rsidRPr="00212CEA">
        <w:rPr>
          <w:rFonts w:ascii="David" w:hAnsi="David"/>
          <w:b/>
          <w:bCs/>
        </w:rPr>
        <w:t xml:space="preserve"> </w:t>
      </w:r>
      <w:r w:rsidRPr="00212CEA">
        <w:rPr>
          <w:rFonts w:ascii="David" w:hAnsi="David"/>
          <w:b/>
          <w:bCs/>
          <w:rtl/>
        </w:rPr>
        <w:t>הענישה</w:t>
      </w:r>
      <w:r w:rsidRPr="00212CEA">
        <w:rPr>
          <w:rFonts w:ascii="David" w:hAnsi="David"/>
          <w:b/>
          <w:bCs/>
        </w:rPr>
        <w:t xml:space="preserve"> </w:t>
      </w:r>
      <w:r w:rsidRPr="00212CEA">
        <w:rPr>
          <w:rFonts w:ascii="David" w:hAnsi="David"/>
          <w:b/>
          <w:bCs/>
          <w:rtl/>
        </w:rPr>
        <w:t>בעבירה</w:t>
      </w:r>
      <w:r w:rsidRPr="00212CEA">
        <w:rPr>
          <w:rFonts w:ascii="David" w:hAnsi="David"/>
          <w:b/>
          <w:bCs/>
        </w:rPr>
        <w:t xml:space="preserve"> </w:t>
      </w:r>
      <w:r w:rsidRPr="00212CEA">
        <w:rPr>
          <w:rFonts w:ascii="David" w:hAnsi="David"/>
          <w:b/>
          <w:bCs/>
          <w:rtl/>
        </w:rPr>
        <w:t>של</w:t>
      </w:r>
      <w:r w:rsidRPr="00212CEA">
        <w:rPr>
          <w:rFonts w:ascii="David" w:hAnsi="David"/>
          <w:b/>
          <w:bCs/>
        </w:rPr>
        <w:t xml:space="preserve"> </w:t>
      </w:r>
      <w:r w:rsidRPr="00212CEA">
        <w:rPr>
          <w:rFonts w:ascii="David" w:hAnsi="David"/>
          <w:b/>
          <w:bCs/>
          <w:rtl/>
        </w:rPr>
        <w:t>החזקת נשק</w:t>
      </w:r>
      <w:r w:rsidRPr="00212CEA">
        <w:rPr>
          <w:rFonts w:ascii="David" w:hAnsi="David"/>
          <w:b/>
          <w:bCs/>
        </w:rPr>
        <w:t xml:space="preserve"> </w:t>
      </w:r>
      <w:r w:rsidRPr="00212CEA">
        <w:rPr>
          <w:rFonts w:ascii="David" w:hAnsi="David"/>
          <w:b/>
          <w:bCs/>
          <w:rtl/>
        </w:rPr>
        <w:t>שלא</w:t>
      </w:r>
      <w:r w:rsidRPr="00212CEA">
        <w:rPr>
          <w:rFonts w:ascii="David" w:hAnsi="David"/>
          <w:b/>
          <w:bCs/>
        </w:rPr>
        <w:t xml:space="preserve"> </w:t>
      </w:r>
      <w:r w:rsidRPr="00212CEA">
        <w:rPr>
          <w:rFonts w:ascii="David" w:hAnsi="David"/>
          <w:b/>
          <w:bCs/>
          <w:rtl/>
        </w:rPr>
        <w:t>כדין,</w:t>
      </w:r>
      <w:r w:rsidRPr="00212CEA">
        <w:rPr>
          <w:rFonts w:ascii="David" w:hAnsi="David"/>
          <w:b/>
          <w:bCs/>
        </w:rPr>
        <w:t xml:space="preserve"> </w:t>
      </w:r>
      <w:r w:rsidRPr="00212CEA">
        <w:rPr>
          <w:rFonts w:ascii="David" w:hAnsi="David"/>
          <w:b/>
          <w:bCs/>
          <w:rtl/>
        </w:rPr>
        <w:t>גם</w:t>
      </w:r>
      <w:r w:rsidRPr="00212CEA">
        <w:rPr>
          <w:rFonts w:ascii="David" w:hAnsi="David"/>
          <w:b/>
          <w:bCs/>
        </w:rPr>
        <w:t xml:space="preserve"> </w:t>
      </w:r>
      <w:r w:rsidRPr="00212CEA">
        <w:rPr>
          <w:rFonts w:ascii="David" w:hAnsi="David"/>
          <w:b/>
          <w:bCs/>
          <w:rtl/>
        </w:rPr>
        <w:t>כאשר</w:t>
      </w:r>
      <w:r w:rsidRPr="00212CEA">
        <w:rPr>
          <w:rFonts w:ascii="David" w:hAnsi="David"/>
          <w:b/>
          <w:bCs/>
        </w:rPr>
        <w:t xml:space="preserve"> </w:t>
      </w:r>
      <w:r w:rsidRPr="00212CEA">
        <w:rPr>
          <w:rFonts w:ascii="David" w:hAnsi="David"/>
          <w:b/>
          <w:bCs/>
          <w:rtl/>
        </w:rPr>
        <w:t>הנאשם</w:t>
      </w:r>
      <w:r w:rsidRPr="00212CEA">
        <w:rPr>
          <w:rFonts w:ascii="David" w:hAnsi="David"/>
          <w:b/>
          <w:bCs/>
        </w:rPr>
        <w:t xml:space="preserve"> </w:t>
      </w:r>
      <w:r w:rsidRPr="00212CEA">
        <w:rPr>
          <w:rFonts w:ascii="David" w:hAnsi="David"/>
          <w:b/>
          <w:bCs/>
          <w:rtl/>
        </w:rPr>
        <w:t>נעדר</w:t>
      </w:r>
      <w:r w:rsidRPr="00212CEA">
        <w:rPr>
          <w:rFonts w:ascii="David" w:hAnsi="David"/>
          <w:b/>
          <w:bCs/>
        </w:rPr>
        <w:t xml:space="preserve"> </w:t>
      </w:r>
      <w:r w:rsidRPr="00212CEA">
        <w:rPr>
          <w:rFonts w:ascii="David" w:hAnsi="David"/>
          <w:b/>
          <w:bCs/>
          <w:rtl/>
        </w:rPr>
        <w:t>עבר</w:t>
      </w:r>
      <w:r w:rsidRPr="00212CEA">
        <w:rPr>
          <w:rFonts w:ascii="David" w:hAnsi="David"/>
          <w:b/>
          <w:bCs/>
        </w:rPr>
        <w:t xml:space="preserve"> </w:t>
      </w:r>
      <w:r w:rsidRPr="00212CEA">
        <w:rPr>
          <w:rFonts w:ascii="David" w:hAnsi="David"/>
          <w:b/>
          <w:bCs/>
          <w:rtl/>
        </w:rPr>
        <w:t>פלילי, עולה</w:t>
      </w:r>
      <w:r w:rsidRPr="00212CEA">
        <w:rPr>
          <w:rFonts w:ascii="David" w:hAnsi="David"/>
          <w:b/>
          <w:bCs/>
        </w:rPr>
        <w:t xml:space="preserve"> </w:t>
      </w:r>
      <w:r w:rsidRPr="00212CEA">
        <w:rPr>
          <w:rFonts w:ascii="David" w:hAnsi="David"/>
          <w:b/>
          <w:bCs/>
          <w:rtl/>
        </w:rPr>
        <w:t>על</w:t>
      </w:r>
      <w:r w:rsidRPr="00212CEA">
        <w:rPr>
          <w:rFonts w:ascii="David" w:hAnsi="David"/>
          <w:b/>
          <w:bCs/>
        </w:rPr>
        <w:t xml:space="preserve"> </w:t>
      </w:r>
      <w:r w:rsidRPr="00212CEA">
        <w:rPr>
          <w:rFonts w:ascii="David" w:hAnsi="David"/>
          <w:b/>
          <w:bCs/>
          <w:rtl/>
        </w:rPr>
        <w:t>תשעה</w:t>
      </w:r>
      <w:r w:rsidRPr="00212CEA">
        <w:rPr>
          <w:rFonts w:ascii="David" w:hAnsi="David"/>
          <w:b/>
          <w:bCs/>
        </w:rPr>
        <w:t xml:space="preserve"> </w:t>
      </w:r>
      <w:r w:rsidRPr="00212CEA">
        <w:rPr>
          <w:rFonts w:ascii="David" w:hAnsi="David"/>
          <w:b/>
          <w:bCs/>
          <w:rtl/>
        </w:rPr>
        <w:t>חודשי</w:t>
      </w:r>
      <w:r w:rsidRPr="00212CEA">
        <w:rPr>
          <w:rFonts w:ascii="David" w:hAnsi="David"/>
          <w:b/>
          <w:bCs/>
        </w:rPr>
        <w:t xml:space="preserve"> </w:t>
      </w:r>
      <w:r w:rsidRPr="00212CEA">
        <w:rPr>
          <w:rFonts w:ascii="David" w:hAnsi="David"/>
          <w:b/>
          <w:bCs/>
          <w:rtl/>
        </w:rPr>
        <w:t>מאסר, דהיינו, פרק</w:t>
      </w:r>
      <w:r w:rsidRPr="00212CEA">
        <w:rPr>
          <w:rFonts w:ascii="David" w:hAnsi="David"/>
          <w:b/>
          <w:bCs/>
        </w:rPr>
        <w:t xml:space="preserve"> </w:t>
      </w:r>
      <w:r w:rsidRPr="00212CEA">
        <w:rPr>
          <w:rFonts w:ascii="David" w:hAnsi="David"/>
          <w:b/>
          <w:bCs/>
          <w:rtl/>
        </w:rPr>
        <w:t>זמן</w:t>
      </w:r>
      <w:r w:rsidRPr="00212CEA">
        <w:rPr>
          <w:rFonts w:ascii="David" w:hAnsi="David"/>
          <w:b/>
          <w:bCs/>
        </w:rPr>
        <w:t xml:space="preserve"> </w:t>
      </w:r>
      <w:r w:rsidRPr="00212CEA">
        <w:rPr>
          <w:rFonts w:ascii="David" w:hAnsi="David"/>
          <w:b/>
          <w:bCs/>
          <w:rtl/>
        </w:rPr>
        <w:t>אשר</w:t>
      </w:r>
      <w:r w:rsidRPr="00212CEA">
        <w:rPr>
          <w:rFonts w:ascii="David" w:hAnsi="David"/>
          <w:b/>
          <w:bCs/>
        </w:rPr>
        <w:t xml:space="preserve"> </w:t>
      </w:r>
      <w:r w:rsidRPr="00212CEA">
        <w:rPr>
          <w:rFonts w:ascii="David" w:hAnsi="David"/>
          <w:b/>
          <w:bCs/>
          <w:rtl/>
        </w:rPr>
        <w:t>אינו</w:t>
      </w:r>
      <w:r w:rsidRPr="00212CEA">
        <w:rPr>
          <w:rFonts w:ascii="David" w:hAnsi="David"/>
          <w:b/>
          <w:bCs/>
        </w:rPr>
        <w:t xml:space="preserve"> </w:t>
      </w:r>
      <w:r w:rsidRPr="00212CEA">
        <w:rPr>
          <w:rFonts w:ascii="David" w:hAnsi="David"/>
          <w:b/>
          <w:bCs/>
          <w:rtl/>
        </w:rPr>
        <w:t>מאפשר</w:t>
      </w:r>
      <w:r w:rsidRPr="00212CEA">
        <w:rPr>
          <w:rFonts w:ascii="David" w:hAnsi="David"/>
          <w:b/>
          <w:bCs/>
        </w:rPr>
        <w:t xml:space="preserve"> </w:t>
      </w:r>
      <w:r w:rsidRPr="00212CEA">
        <w:rPr>
          <w:rFonts w:ascii="David" w:hAnsi="David"/>
          <w:b/>
          <w:bCs/>
          <w:rtl/>
        </w:rPr>
        <w:t>ריצוי</w:t>
      </w:r>
      <w:r w:rsidRPr="00212CEA">
        <w:rPr>
          <w:rFonts w:ascii="David" w:hAnsi="David"/>
          <w:b/>
          <w:bCs/>
        </w:rPr>
        <w:t xml:space="preserve"> </w:t>
      </w:r>
      <w:r w:rsidRPr="00212CEA">
        <w:rPr>
          <w:rFonts w:ascii="David" w:hAnsi="David"/>
          <w:b/>
          <w:bCs/>
          <w:rtl/>
        </w:rPr>
        <w:t>עונש</w:t>
      </w:r>
      <w:r w:rsidRPr="00212CEA">
        <w:rPr>
          <w:rFonts w:ascii="David" w:hAnsi="David"/>
          <w:b/>
          <w:bCs/>
        </w:rPr>
        <w:t xml:space="preserve"> </w:t>
      </w:r>
      <w:r w:rsidRPr="00212CEA">
        <w:rPr>
          <w:rFonts w:ascii="David" w:hAnsi="David"/>
          <w:b/>
          <w:bCs/>
          <w:rtl/>
        </w:rPr>
        <w:t>המאסר</w:t>
      </w:r>
      <w:r w:rsidRPr="00212CEA">
        <w:rPr>
          <w:rFonts w:ascii="David" w:hAnsi="David"/>
          <w:b/>
          <w:bCs/>
        </w:rPr>
        <w:t xml:space="preserve"> </w:t>
      </w:r>
      <w:r w:rsidRPr="00212CEA">
        <w:rPr>
          <w:rFonts w:ascii="David" w:hAnsi="David"/>
          <w:b/>
          <w:bCs/>
          <w:rtl/>
        </w:rPr>
        <w:t>על</w:t>
      </w:r>
      <w:r w:rsidRPr="00212CEA">
        <w:rPr>
          <w:rFonts w:ascii="David" w:hAnsi="David"/>
          <w:b/>
          <w:bCs/>
        </w:rPr>
        <w:t xml:space="preserve"> </w:t>
      </w:r>
      <w:r w:rsidRPr="00212CEA">
        <w:rPr>
          <w:rFonts w:ascii="David" w:hAnsi="David"/>
          <w:b/>
          <w:bCs/>
          <w:rtl/>
        </w:rPr>
        <w:t>דרך</w:t>
      </w:r>
      <w:r w:rsidRPr="00212CEA">
        <w:rPr>
          <w:rFonts w:ascii="David" w:hAnsi="David"/>
          <w:b/>
          <w:bCs/>
        </w:rPr>
        <w:t xml:space="preserve"> </w:t>
      </w:r>
      <w:r w:rsidRPr="00212CEA">
        <w:rPr>
          <w:rFonts w:ascii="David" w:hAnsi="David"/>
          <w:b/>
          <w:bCs/>
          <w:rtl/>
        </w:rPr>
        <w:t>של</w:t>
      </w:r>
      <w:r w:rsidRPr="00212CEA">
        <w:rPr>
          <w:rFonts w:ascii="David" w:hAnsi="David"/>
          <w:b/>
          <w:bCs/>
        </w:rPr>
        <w:t xml:space="preserve"> </w:t>
      </w:r>
      <w:r w:rsidRPr="00212CEA">
        <w:rPr>
          <w:rFonts w:ascii="David" w:hAnsi="David"/>
          <w:b/>
          <w:bCs/>
          <w:rtl/>
        </w:rPr>
        <w:t>עבודות</w:t>
      </w:r>
      <w:r w:rsidRPr="00212CEA">
        <w:rPr>
          <w:rFonts w:ascii="David" w:hAnsi="David"/>
          <w:b/>
          <w:bCs/>
        </w:rPr>
        <w:t xml:space="preserve"> </w:t>
      </w:r>
      <w:r w:rsidRPr="00212CEA">
        <w:rPr>
          <w:rFonts w:ascii="David" w:hAnsi="David"/>
          <w:b/>
          <w:bCs/>
          <w:rtl/>
        </w:rPr>
        <w:t>שירות</w:t>
      </w:r>
      <w:r w:rsidRPr="00212CEA">
        <w:rPr>
          <w:rFonts w:ascii="David" w:hAnsi="David"/>
          <w:rtl/>
        </w:rPr>
        <w:t>." וכן בהמשך: "</w:t>
      </w:r>
      <w:r w:rsidRPr="00212CEA">
        <w:rPr>
          <w:rFonts w:ascii="David" w:hAnsi="David"/>
          <w:b/>
          <w:bCs/>
          <w:rtl/>
        </w:rPr>
        <w:t>אם</w:t>
      </w:r>
      <w:r w:rsidRPr="00212CEA">
        <w:rPr>
          <w:rFonts w:ascii="David" w:hAnsi="David"/>
          <w:b/>
          <w:bCs/>
        </w:rPr>
        <w:t xml:space="preserve"> </w:t>
      </w:r>
      <w:r w:rsidRPr="00212CEA">
        <w:rPr>
          <w:rFonts w:ascii="David" w:hAnsi="David"/>
          <w:b/>
          <w:bCs/>
          <w:rtl/>
        </w:rPr>
        <w:t>נסכם</w:t>
      </w:r>
      <w:r w:rsidRPr="00212CEA">
        <w:rPr>
          <w:rFonts w:ascii="David" w:hAnsi="David"/>
          <w:b/>
          <w:bCs/>
        </w:rPr>
        <w:t xml:space="preserve"> </w:t>
      </w:r>
      <w:r w:rsidRPr="00212CEA">
        <w:rPr>
          <w:rFonts w:ascii="David" w:hAnsi="David"/>
          <w:b/>
          <w:bCs/>
          <w:rtl/>
        </w:rPr>
        <w:t>את</w:t>
      </w:r>
      <w:r w:rsidRPr="00212CEA">
        <w:rPr>
          <w:rFonts w:ascii="David" w:hAnsi="David"/>
          <w:b/>
          <w:bCs/>
        </w:rPr>
        <w:t xml:space="preserve"> </w:t>
      </w:r>
      <w:r w:rsidRPr="00212CEA">
        <w:rPr>
          <w:rFonts w:ascii="David" w:hAnsi="David"/>
          <w:b/>
          <w:bCs/>
          <w:rtl/>
        </w:rPr>
        <w:t>הדברים: גזר</w:t>
      </w:r>
      <w:r w:rsidRPr="00212CEA">
        <w:rPr>
          <w:rFonts w:ascii="David" w:hAnsi="David"/>
          <w:b/>
          <w:bCs/>
        </w:rPr>
        <w:t>-</w:t>
      </w:r>
      <w:r w:rsidRPr="00212CEA">
        <w:rPr>
          <w:rFonts w:ascii="David" w:hAnsi="David"/>
          <w:b/>
          <w:bCs/>
          <w:rtl/>
        </w:rPr>
        <w:t>דינו</w:t>
      </w:r>
      <w:r w:rsidRPr="00212CEA">
        <w:rPr>
          <w:rFonts w:ascii="David" w:hAnsi="David"/>
          <w:b/>
          <w:bCs/>
        </w:rPr>
        <w:t xml:space="preserve"> </w:t>
      </w:r>
      <w:r w:rsidRPr="00212CEA">
        <w:rPr>
          <w:rFonts w:ascii="David" w:hAnsi="David"/>
          <w:b/>
          <w:bCs/>
          <w:rtl/>
        </w:rPr>
        <w:t>של</w:t>
      </w:r>
      <w:r w:rsidRPr="00212CEA">
        <w:rPr>
          <w:rFonts w:ascii="David" w:hAnsi="David"/>
          <w:b/>
          <w:bCs/>
        </w:rPr>
        <w:t xml:space="preserve"> </w:t>
      </w:r>
      <w:r w:rsidRPr="00212CEA">
        <w:rPr>
          <w:rFonts w:ascii="David" w:hAnsi="David"/>
          <w:b/>
          <w:bCs/>
          <w:rtl/>
        </w:rPr>
        <w:t>בית</w:t>
      </w:r>
      <w:r w:rsidRPr="00212CEA">
        <w:rPr>
          <w:rFonts w:ascii="David" w:hAnsi="David"/>
          <w:b/>
          <w:bCs/>
        </w:rPr>
        <w:t>-</w:t>
      </w:r>
      <w:r w:rsidRPr="00212CEA">
        <w:rPr>
          <w:rFonts w:ascii="David" w:hAnsi="David"/>
          <w:b/>
          <w:bCs/>
          <w:rtl/>
        </w:rPr>
        <w:t>משפט</w:t>
      </w:r>
      <w:r w:rsidRPr="00212CEA">
        <w:rPr>
          <w:rFonts w:ascii="David" w:hAnsi="David"/>
          <w:b/>
          <w:bCs/>
        </w:rPr>
        <w:t xml:space="preserve"> </w:t>
      </w:r>
      <w:r w:rsidRPr="00212CEA">
        <w:rPr>
          <w:rFonts w:ascii="David" w:hAnsi="David"/>
          <w:b/>
          <w:bCs/>
          <w:rtl/>
        </w:rPr>
        <w:t>השלום, שהסתפק</w:t>
      </w:r>
      <w:r w:rsidRPr="00212CEA">
        <w:rPr>
          <w:rFonts w:ascii="David" w:hAnsi="David"/>
          <w:b/>
          <w:bCs/>
        </w:rPr>
        <w:t xml:space="preserve"> </w:t>
      </w:r>
      <w:r w:rsidRPr="00212CEA">
        <w:rPr>
          <w:rFonts w:ascii="David" w:hAnsi="David"/>
          <w:b/>
          <w:bCs/>
          <w:rtl/>
        </w:rPr>
        <w:t>בהטלת</w:t>
      </w:r>
      <w:r w:rsidRPr="00212CEA">
        <w:rPr>
          <w:rFonts w:ascii="David" w:hAnsi="David"/>
          <w:b/>
          <w:bCs/>
        </w:rPr>
        <w:t xml:space="preserve"> </w:t>
      </w:r>
      <w:r w:rsidRPr="00212CEA">
        <w:rPr>
          <w:rFonts w:ascii="David" w:hAnsi="David"/>
          <w:b/>
          <w:bCs/>
          <w:rtl/>
        </w:rPr>
        <w:t>ענישה</w:t>
      </w:r>
      <w:r w:rsidRPr="00212CEA">
        <w:rPr>
          <w:rFonts w:ascii="David" w:hAnsi="David"/>
          <w:b/>
          <w:bCs/>
        </w:rPr>
        <w:t xml:space="preserve"> </w:t>
      </w:r>
      <w:r w:rsidRPr="00212CEA">
        <w:rPr>
          <w:rFonts w:ascii="David" w:hAnsi="David"/>
          <w:b/>
          <w:bCs/>
          <w:rtl/>
        </w:rPr>
        <w:t>של</w:t>
      </w:r>
      <w:r w:rsidRPr="00212CEA">
        <w:rPr>
          <w:rFonts w:ascii="David" w:hAnsi="David"/>
          <w:b/>
          <w:bCs/>
        </w:rPr>
        <w:t xml:space="preserve"> </w:t>
      </w:r>
      <w:r w:rsidRPr="00212CEA">
        <w:rPr>
          <w:rFonts w:ascii="David" w:hAnsi="David"/>
          <w:b/>
          <w:bCs/>
          <w:rtl/>
        </w:rPr>
        <w:t>שמונה</w:t>
      </w:r>
      <w:r w:rsidRPr="00212CEA">
        <w:rPr>
          <w:rFonts w:ascii="David" w:hAnsi="David"/>
          <w:b/>
          <w:bCs/>
        </w:rPr>
        <w:t xml:space="preserve"> </w:t>
      </w:r>
      <w:r w:rsidRPr="00212CEA">
        <w:rPr>
          <w:rFonts w:ascii="David" w:hAnsi="David"/>
          <w:b/>
          <w:bCs/>
          <w:rtl/>
        </w:rPr>
        <w:t>חודשי</w:t>
      </w:r>
      <w:r w:rsidRPr="00212CEA">
        <w:rPr>
          <w:rFonts w:ascii="David" w:hAnsi="David"/>
          <w:b/>
          <w:bCs/>
        </w:rPr>
        <w:t xml:space="preserve"> </w:t>
      </w:r>
      <w:r w:rsidRPr="00212CEA">
        <w:rPr>
          <w:rFonts w:ascii="David" w:hAnsi="David"/>
          <w:b/>
          <w:bCs/>
          <w:rtl/>
        </w:rPr>
        <w:t>מאסר</w:t>
      </w:r>
      <w:r w:rsidRPr="00212CEA">
        <w:rPr>
          <w:rFonts w:ascii="David" w:hAnsi="David"/>
          <w:b/>
          <w:bCs/>
        </w:rPr>
        <w:t xml:space="preserve"> </w:t>
      </w:r>
      <w:r w:rsidRPr="00212CEA">
        <w:rPr>
          <w:rFonts w:ascii="David" w:hAnsi="David"/>
          <w:b/>
          <w:bCs/>
          <w:rtl/>
        </w:rPr>
        <w:t>לריצוי</w:t>
      </w:r>
      <w:r w:rsidRPr="00212CEA">
        <w:rPr>
          <w:rFonts w:ascii="David" w:hAnsi="David"/>
          <w:b/>
          <w:bCs/>
        </w:rPr>
        <w:t xml:space="preserve"> </w:t>
      </w:r>
      <w:r w:rsidRPr="00212CEA">
        <w:rPr>
          <w:rFonts w:ascii="David" w:hAnsi="David"/>
          <w:b/>
          <w:bCs/>
          <w:rtl/>
        </w:rPr>
        <w:t>בעבודות</w:t>
      </w:r>
      <w:r w:rsidRPr="00212CEA">
        <w:rPr>
          <w:rFonts w:ascii="David" w:hAnsi="David"/>
          <w:b/>
          <w:bCs/>
        </w:rPr>
        <w:t xml:space="preserve"> </w:t>
      </w:r>
      <w:r w:rsidRPr="00212CEA">
        <w:rPr>
          <w:rFonts w:ascii="David" w:hAnsi="David"/>
          <w:b/>
          <w:bCs/>
          <w:rtl/>
        </w:rPr>
        <w:t>שירות, אינו</w:t>
      </w:r>
      <w:r w:rsidRPr="00212CEA">
        <w:rPr>
          <w:rFonts w:ascii="David" w:hAnsi="David"/>
          <w:b/>
          <w:bCs/>
        </w:rPr>
        <w:t xml:space="preserve"> </w:t>
      </w:r>
      <w:r w:rsidRPr="00212CEA">
        <w:rPr>
          <w:rFonts w:ascii="David" w:hAnsi="David"/>
          <w:b/>
          <w:bCs/>
          <w:rtl/>
        </w:rPr>
        <w:t>יכול</w:t>
      </w:r>
      <w:r w:rsidRPr="00212CEA">
        <w:rPr>
          <w:rFonts w:ascii="David" w:hAnsi="David"/>
          <w:b/>
          <w:bCs/>
        </w:rPr>
        <w:t xml:space="preserve"> </w:t>
      </w:r>
      <w:r w:rsidRPr="00212CEA">
        <w:rPr>
          <w:rFonts w:ascii="David" w:hAnsi="David"/>
          <w:b/>
          <w:bCs/>
          <w:rtl/>
        </w:rPr>
        <w:t>לעמוד, וזאת</w:t>
      </w:r>
      <w:r w:rsidRPr="00212CEA">
        <w:rPr>
          <w:rFonts w:ascii="David" w:hAnsi="David"/>
          <w:b/>
          <w:bCs/>
        </w:rPr>
        <w:t xml:space="preserve"> </w:t>
      </w:r>
      <w:r w:rsidRPr="00212CEA">
        <w:rPr>
          <w:rFonts w:ascii="David" w:hAnsi="David"/>
          <w:b/>
          <w:bCs/>
          <w:rtl/>
        </w:rPr>
        <w:t>בשים</w:t>
      </w:r>
      <w:r w:rsidRPr="00212CEA">
        <w:rPr>
          <w:rFonts w:ascii="David" w:hAnsi="David"/>
          <w:b/>
          <w:bCs/>
        </w:rPr>
        <w:t xml:space="preserve"> </w:t>
      </w:r>
      <w:r w:rsidRPr="00212CEA">
        <w:rPr>
          <w:rFonts w:ascii="David" w:hAnsi="David"/>
          <w:b/>
          <w:bCs/>
          <w:rtl/>
        </w:rPr>
        <w:t>לב</w:t>
      </w:r>
      <w:r w:rsidRPr="00212CEA">
        <w:rPr>
          <w:rFonts w:ascii="David" w:hAnsi="David"/>
          <w:b/>
          <w:bCs/>
        </w:rPr>
        <w:t xml:space="preserve"> </w:t>
      </w:r>
      <w:r w:rsidRPr="00212CEA">
        <w:rPr>
          <w:rFonts w:ascii="David" w:hAnsi="David"/>
          <w:b/>
          <w:bCs/>
          <w:rtl/>
        </w:rPr>
        <w:t>לחומרת</w:t>
      </w:r>
      <w:r w:rsidRPr="00212CEA">
        <w:rPr>
          <w:rFonts w:ascii="David" w:hAnsi="David"/>
          <w:b/>
          <w:bCs/>
        </w:rPr>
        <w:t xml:space="preserve"> </w:t>
      </w:r>
      <w:r w:rsidRPr="00212CEA">
        <w:rPr>
          <w:rFonts w:ascii="David" w:hAnsi="David"/>
          <w:b/>
          <w:bCs/>
          <w:rtl/>
        </w:rPr>
        <w:t>העבירה</w:t>
      </w:r>
      <w:r w:rsidRPr="00212CEA">
        <w:rPr>
          <w:rFonts w:ascii="David" w:hAnsi="David"/>
          <w:b/>
          <w:bCs/>
        </w:rPr>
        <w:t xml:space="preserve"> </w:t>
      </w:r>
      <w:r w:rsidRPr="00212CEA">
        <w:rPr>
          <w:rFonts w:ascii="David" w:hAnsi="David"/>
          <w:b/>
          <w:bCs/>
          <w:rtl/>
        </w:rPr>
        <w:t>של</w:t>
      </w:r>
      <w:r w:rsidRPr="00212CEA">
        <w:rPr>
          <w:rFonts w:ascii="David" w:hAnsi="David"/>
          <w:b/>
          <w:bCs/>
        </w:rPr>
        <w:t xml:space="preserve"> </w:t>
      </w:r>
      <w:r w:rsidRPr="00212CEA">
        <w:rPr>
          <w:rFonts w:ascii="David" w:hAnsi="David"/>
          <w:b/>
          <w:bCs/>
          <w:rtl/>
        </w:rPr>
        <w:t>החזקת</w:t>
      </w:r>
      <w:r w:rsidRPr="00212CEA">
        <w:rPr>
          <w:rFonts w:ascii="David" w:hAnsi="David"/>
          <w:b/>
          <w:bCs/>
        </w:rPr>
        <w:t xml:space="preserve"> </w:t>
      </w:r>
      <w:r w:rsidRPr="00212CEA">
        <w:rPr>
          <w:rFonts w:ascii="David" w:hAnsi="David"/>
          <w:b/>
          <w:bCs/>
          <w:rtl/>
        </w:rPr>
        <w:t>נשק</w:t>
      </w:r>
      <w:r w:rsidRPr="00212CEA">
        <w:rPr>
          <w:rFonts w:ascii="David" w:hAnsi="David"/>
          <w:b/>
          <w:bCs/>
        </w:rPr>
        <w:t xml:space="preserve"> </w:t>
      </w:r>
      <w:r w:rsidRPr="00212CEA">
        <w:rPr>
          <w:rFonts w:ascii="David" w:hAnsi="David"/>
          <w:b/>
          <w:bCs/>
          <w:rtl/>
        </w:rPr>
        <w:t>שלא</w:t>
      </w:r>
      <w:r w:rsidRPr="00212CEA">
        <w:rPr>
          <w:rFonts w:ascii="David" w:hAnsi="David"/>
          <w:b/>
          <w:bCs/>
        </w:rPr>
        <w:t xml:space="preserve"> </w:t>
      </w:r>
      <w:r w:rsidRPr="00212CEA">
        <w:rPr>
          <w:rFonts w:ascii="David" w:hAnsi="David"/>
          <w:b/>
          <w:bCs/>
          <w:rtl/>
        </w:rPr>
        <w:t>כדין, ופוטנציאל</w:t>
      </w:r>
      <w:r w:rsidRPr="00212CEA">
        <w:rPr>
          <w:rFonts w:ascii="David" w:hAnsi="David"/>
          <w:b/>
          <w:bCs/>
        </w:rPr>
        <w:t xml:space="preserve"> </w:t>
      </w:r>
      <w:r w:rsidRPr="00212CEA">
        <w:rPr>
          <w:rFonts w:ascii="David" w:hAnsi="David"/>
          <w:b/>
          <w:bCs/>
          <w:rtl/>
        </w:rPr>
        <w:t>הסיכון</w:t>
      </w:r>
      <w:r w:rsidRPr="00212CEA">
        <w:rPr>
          <w:rFonts w:ascii="David" w:hAnsi="David"/>
          <w:b/>
          <w:bCs/>
        </w:rPr>
        <w:t xml:space="preserve"> </w:t>
      </w:r>
      <w:r w:rsidRPr="00212CEA">
        <w:rPr>
          <w:rFonts w:ascii="David" w:hAnsi="David"/>
          <w:b/>
          <w:bCs/>
          <w:rtl/>
        </w:rPr>
        <w:t>הטמון</w:t>
      </w:r>
      <w:r w:rsidRPr="00212CEA">
        <w:rPr>
          <w:rFonts w:ascii="David" w:hAnsi="David"/>
          <w:b/>
          <w:bCs/>
        </w:rPr>
        <w:t xml:space="preserve"> </w:t>
      </w:r>
      <w:r w:rsidRPr="00212CEA">
        <w:rPr>
          <w:rFonts w:ascii="David" w:hAnsi="David"/>
          <w:b/>
          <w:bCs/>
          <w:rtl/>
        </w:rPr>
        <w:t>בהחזקת</w:t>
      </w:r>
      <w:r w:rsidRPr="00212CEA">
        <w:rPr>
          <w:rFonts w:ascii="David" w:hAnsi="David"/>
          <w:b/>
          <w:bCs/>
        </w:rPr>
        <w:t xml:space="preserve"> </w:t>
      </w:r>
      <w:r w:rsidRPr="00212CEA">
        <w:rPr>
          <w:rFonts w:ascii="David" w:hAnsi="David"/>
          <w:b/>
          <w:bCs/>
          <w:rtl/>
        </w:rPr>
        <w:t>הנשק</w:t>
      </w:r>
      <w:r w:rsidRPr="00212CEA">
        <w:rPr>
          <w:rFonts w:ascii="David" w:hAnsi="David"/>
          <w:b/>
          <w:bCs/>
        </w:rPr>
        <w:t xml:space="preserve"> </w:t>
      </w:r>
      <w:r w:rsidRPr="00212CEA">
        <w:rPr>
          <w:rFonts w:ascii="David" w:hAnsi="David"/>
          <w:b/>
          <w:bCs/>
          <w:rtl/>
        </w:rPr>
        <w:t>ללא</w:t>
      </w:r>
      <w:r w:rsidRPr="00212CEA">
        <w:rPr>
          <w:rFonts w:ascii="David" w:hAnsi="David"/>
          <w:b/>
          <w:bCs/>
        </w:rPr>
        <w:t xml:space="preserve"> </w:t>
      </w:r>
      <w:r w:rsidRPr="00212CEA">
        <w:rPr>
          <w:rFonts w:ascii="David" w:hAnsi="David"/>
          <w:b/>
          <w:bCs/>
          <w:rtl/>
        </w:rPr>
        <w:t>היתר, עבירה</w:t>
      </w:r>
      <w:r w:rsidRPr="00212CEA">
        <w:rPr>
          <w:rFonts w:ascii="David" w:hAnsi="David"/>
          <w:b/>
          <w:bCs/>
        </w:rPr>
        <w:t xml:space="preserve"> </w:t>
      </w:r>
      <w:r w:rsidRPr="00212CEA">
        <w:rPr>
          <w:rFonts w:ascii="David" w:hAnsi="David"/>
          <w:b/>
          <w:bCs/>
          <w:rtl/>
        </w:rPr>
        <w:t>שהפכה</w:t>
      </w:r>
      <w:r w:rsidRPr="00212CEA">
        <w:rPr>
          <w:rFonts w:ascii="David" w:hAnsi="David"/>
          <w:b/>
          <w:bCs/>
        </w:rPr>
        <w:t xml:space="preserve"> </w:t>
      </w:r>
      <w:r w:rsidRPr="00212CEA">
        <w:rPr>
          <w:rFonts w:ascii="David" w:hAnsi="David"/>
          <w:b/>
          <w:bCs/>
          <w:rtl/>
        </w:rPr>
        <w:t>ל</w:t>
      </w:r>
      <w:r w:rsidRPr="00212CEA">
        <w:rPr>
          <w:rFonts w:ascii="David" w:hAnsi="David"/>
          <w:b/>
          <w:bCs/>
        </w:rPr>
        <w:t>"</w:t>
      </w:r>
      <w:r w:rsidRPr="00212CEA">
        <w:rPr>
          <w:rFonts w:ascii="David" w:hAnsi="David"/>
          <w:b/>
          <w:bCs/>
          <w:rtl/>
        </w:rPr>
        <w:t>מכת</w:t>
      </w:r>
      <w:r w:rsidRPr="00212CEA">
        <w:rPr>
          <w:rFonts w:ascii="David" w:hAnsi="David"/>
          <w:b/>
          <w:bCs/>
        </w:rPr>
        <w:t xml:space="preserve"> </w:t>
      </w:r>
      <w:r w:rsidRPr="00212CEA">
        <w:rPr>
          <w:rFonts w:ascii="David" w:hAnsi="David"/>
          <w:b/>
          <w:bCs/>
          <w:rtl/>
        </w:rPr>
        <w:t>מדינה", והביאה</w:t>
      </w:r>
      <w:r w:rsidRPr="00212CEA">
        <w:rPr>
          <w:rFonts w:ascii="David" w:hAnsi="David"/>
          <w:b/>
          <w:bCs/>
        </w:rPr>
        <w:t xml:space="preserve"> </w:t>
      </w:r>
      <w:r w:rsidRPr="00212CEA">
        <w:rPr>
          <w:rFonts w:ascii="David" w:hAnsi="David"/>
          <w:b/>
          <w:bCs/>
          <w:rtl/>
        </w:rPr>
        <w:t>למגמת</w:t>
      </w:r>
      <w:r w:rsidRPr="00212CEA">
        <w:rPr>
          <w:rFonts w:ascii="David" w:hAnsi="David"/>
          <w:b/>
          <w:bCs/>
        </w:rPr>
        <w:t xml:space="preserve"> </w:t>
      </w:r>
      <w:r w:rsidRPr="00212CEA">
        <w:rPr>
          <w:rFonts w:ascii="David" w:hAnsi="David"/>
          <w:b/>
          <w:bCs/>
          <w:rtl/>
        </w:rPr>
        <w:t>החמרה</w:t>
      </w:r>
      <w:r w:rsidRPr="00212CEA">
        <w:rPr>
          <w:rFonts w:ascii="David" w:hAnsi="David"/>
          <w:b/>
          <w:bCs/>
        </w:rPr>
        <w:t xml:space="preserve"> </w:t>
      </w:r>
      <w:r w:rsidRPr="00212CEA">
        <w:rPr>
          <w:rFonts w:ascii="David" w:hAnsi="David"/>
          <w:b/>
          <w:bCs/>
          <w:rtl/>
        </w:rPr>
        <w:t>בפסיקה</w:t>
      </w:r>
      <w:r w:rsidRPr="00212CEA">
        <w:rPr>
          <w:rFonts w:ascii="David" w:hAnsi="David"/>
          <w:b/>
          <w:bCs/>
        </w:rPr>
        <w:t xml:space="preserve"> </w:t>
      </w:r>
      <w:r w:rsidRPr="00212CEA">
        <w:rPr>
          <w:rFonts w:ascii="David" w:hAnsi="David"/>
          <w:b/>
          <w:bCs/>
          <w:rtl/>
        </w:rPr>
        <w:t>כשבית</w:t>
      </w:r>
      <w:r w:rsidRPr="00212CEA">
        <w:rPr>
          <w:rFonts w:ascii="David" w:hAnsi="David"/>
          <w:b/>
          <w:bCs/>
        </w:rPr>
        <w:t xml:space="preserve"> </w:t>
      </w:r>
      <w:r w:rsidRPr="00212CEA">
        <w:rPr>
          <w:rFonts w:ascii="David" w:hAnsi="David"/>
          <w:b/>
          <w:bCs/>
          <w:rtl/>
        </w:rPr>
        <w:t>המשפט</w:t>
      </w:r>
      <w:r w:rsidRPr="00212CEA">
        <w:rPr>
          <w:rFonts w:ascii="David" w:hAnsi="David"/>
          <w:b/>
          <w:bCs/>
        </w:rPr>
        <w:t xml:space="preserve"> </w:t>
      </w:r>
      <w:r w:rsidRPr="00212CEA">
        <w:rPr>
          <w:rFonts w:ascii="David" w:hAnsi="David"/>
          <w:b/>
          <w:bCs/>
          <w:rtl/>
        </w:rPr>
        <w:t>נקרא</w:t>
      </w:r>
      <w:r w:rsidRPr="00212CEA">
        <w:rPr>
          <w:rFonts w:ascii="David" w:hAnsi="David"/>
          <w:b/>
          <w:bCs/>
        </w:rPr>
        <w:t xml:space="preserve"> </w:t>
      </w:r>
      <w:r w:rsidRPr="00212CEA">
        <w:rPr>
          <w:rFonts w:ascii="David" w:hAnsi="David"/>
          <w:b/>
          <w:bCs/>
          <w:rtl/>
        </w:rPr>
        <w:t>להירתם</w:t>
      </w:r>
      <w:r w:rsidRPr="00212CEA">
        <w:rPr>
          <w:rFonts w:ascii="David" w:hAnsi="David"/>
          <w:b/>
          <w:bCs/>
        </w:rPr>
        <w:t xml:space="preserve"> </w:t>
      </w:r>
      <w:r w:rsidRPr="00212CEA">
        <w:rPr>
          <w:rFonts w:ascii="David" w:hAnsi="David"/>
          <w:b/>
          <w:bCs/>
          <w:rtl/>
        </w:rPr>
        <w:t>למאבק</w:t>
      </w:r>
      <w:r w:rsidRPr="00212CEA">
        <w:rPr>
          <w:rFonts w:ascii="David" w:hAnsi="David"/>
          <w:b/>
          <w:bCs/>
        </w:rPr>
        <w:t xml:space="preserve"> </w:t>
      </w:r>
      <w:r w:rsidRPr="00212CEA">
        <w:rPr>
          <w:rFonts w:ascii="David" w:hAnsi="David"/>
          <w:b/>
          <w:bCs/>
          <w:rtl/>
        </w:rPr>
        <w:t>בעבירה</w:t>
      </w:r>
      <w:r w:rsidRPr="00212CEA">
        <w:rPr>
          <w:rFonts w:ascii="David" w:hAnsi="David"/>
          <w:b/>
          <w:bCs/>
        </w:rPr>
        <w:t xml:space="preserve"> </w:t>
      </w:r>
      <w:r w:rsidRPr="00212CEA">
        <w:rPr>
          <w:rFonts w:ascii="David" w:hAnsi="David"/>
          <w:b/>
          <w:bCs/>
          <w:rtl/>
        </w:rPr>
        <w:t>זו."</w:t>
      </w:r>
    </w:p>
    <w:p w14:paraId="0A00541A" w14:textId="77777777" w:rsidR="0097583E" w:rsidRPr="00212CEA" w:rsidRDefault="0097583E" w:rsidP="0097583E">
      <w:pPr>
        <w:overflowPunct w:val="0"/>
        <w:autoSpaceDE w:val="0"/>
        <w:autoSpaceDN w:val="0"/>
        <w:ind w:left="1642" w:right="1282"/>
        <w:jc w:val="both"/>
        <w:rPr>
          <w:rFonts w:ascii="David" w:hAnsi="David"/>
          <w:spacing w:val="10"/>
          <w:rtl/>
        </w:rPr>
      </w:pPr>
    </w:p>
    <w:p w14:paraId="49A72E9B" w14:textId="77777777" w:rsidR="0097583E" w:rsidRPr="00212CEA" w:rsidRDefault="0097583E" w:rsidP="0097583E">
      <w:pPr>
        <w:overflowPunct w:val="0"/>
        <w:autoSpaceDE w:val="0"/>
        <w:autoSpaceDN w:val="0"/>
        <w:spacing w:line="360" w:lineRule="auto"/>
        <w:jc w:val="both"/>
        <w:rPr>
          <w:rFonts w:ascii="David" w:hAnsi="David"/>
          <w:b/>
          <w:bCs/>
          <w:rtl/>
        </w:rPr>
      </w:pPr>
      <w:r w:rsidRPr="00212CEA">
        <w:rPr>
          <w:rFonts w:ascii="David" w:hAnsi="David"/>
          <w:rtl/>
        </w:rPr>
        <w:t>לאחרונה נקבע ב</w:t>
      </w:r>
      <w:hyperlink r:id="rId37" w:history="1">
        <w:r w:rsidR="004C7C09" w:rsidRPr="004C7C09">
          <w:rPr>
            <w:rFonts w:ascii="David" w:hAnsi="David"/>
            <w:color w:val="0000FF"/>
            <w:u w:val="single"/>
            <w:rtl/>
          </w:rPr>
          <w:t>ערעור פלילי 2165/23</w:t>
        </w:r>
      </w:hyperlink>
      <w:r w:rsidRPr="00212CEA">
        <w:rPr>
          <w:rFonts w:ascii="David" w:hAnsi="David"/>
          <w:rtl/>
        </w:rPr>
        <w:t xml:space="preserve"> מדינת ישראל נ' פלח בלאל, ע"י כב' השופט אלרון כדלהלן:...</w:t>
      </w:r>
      <w:r w:rsidRPr="00212CEA">
        <w:rPr>
          <w:rFonts w:ascii="David" w:hAnsi="David"/>
          <w:b/>
          <w:bCs/>
          <w:rtl/>
        </w:rPr>
        <w:t xml:space="preserve">" הודגש לא אחת כי יש לנקוט במדיניות ענישה ממשית ומשמעותית, בה ניתן מעמד בכורה מבין שיקולי הענישה לשיקולי הרתעת היחיד והרבים, שמשמעותה הרחקת עברייני הנשק מהחברה לפרק זמן משמעותי, ע"י השמתם מאחורי סורג ובריח". </w:t>
      </w:r>
    </w:p>
    <w:p w14:paraId="2DB3BCE3" w14:textId="77777777" w:rsidR="0097583E" w:rsidRPr="00212CEA" w:rsidRDefault="0097583E" w:rsidP="0097583E">
      <w:pPr>
        <w:overflowPunct w:val="0"/>
        <w:autoSpaceDE w:val="0"/>
        <w:autoSpaceDN w:val="0"/>
        <w:spacing w:line="360" w:lineRule="auto"/>
        <w:jc w:val="both"/>
        <w:rPr>
          <w:rFonts w:ascii="David" w:hAnsi="David"/>
          <w:rtl/>
        </w:rPr>
      </w:pPr>
    </w:p>
    <w:p w14:paraId="63621C5E" w14:textId="77777777" w:rsidR="0097583E" w:rsidRPr="00212CEA" w:rsidRDefault="0097583E" w:rsidP="0097583E">
      <w:pPr>
        <w:overflowPunct w:val="0"/>
        <w:autoSpaceDE w:val="0"/>
        <w:autoSpaceDN w:val="0"/>
        <w:spacing w:line="360" w:lineRule="auto"/>
        <w:jc w:val="both"/>
        <w:rPr>
          <w:rFonts w:ascii="David" w:hAnsi="David"/>
          <w:b/>
          <w:bCs/>
          <w:rtl/>
        </w:rPr>
      </w:pPr>
      <w:r w:rsidRPr="00212CEA">
        <w:rPr>
          <w:rFonts w:ascii="David" w:hAnsi="David"/>
          <w:rtl/>
        </w:rPr>
        <w:t>ובהמשך, נאמר כדלהלן:</w:t>
      </w:r>
      <w:r w:rsidRPr="00212CEA">
        <w:rPr>
          <w:rFonts w:ascii="David" w:hAnsi="David"/>
          <w:b/>
          <w:bCs/>
          <w:rtl/>
        </w:rPr>
        <w:t xml:space="preserve"> "מדיניות הענישה המחמירה חלה על "כל חולית השרשרת העבריינית" בעבירות הנשק, החל ממי שסוחר בנשק לא חוקי או רכיביו, ועד למי שנוטל אותו ועושה בו שימוש לא חוקי". </w:t>
      </w:r>
    </w:p>
    <w:p w14:paraId="45E71C10" w14:textId="77777777" w:rsidR="0097583E" w:rsidRPr="00212CEA" w:rsidRDefault="0097583E" w:rsidP="0097583E">
      <w:pPr>
        <w:overflowPunct w:val="0"/>
        <w:autoSpaceDE w:val="0"/>
        <w:autoSpaceDN w:val="0"/>
        <w:spacing w:line="360" w:lineRule="auto"/>
        <w:jc w:val="both"/>
        <w:rPr>
          <w:rFonts w:ascii="David" w:hAnsi="David"/>
          <w:rtl/>
        </w:rPr>
      </w:pPr>
    </w:p>
    <w:p w14:paraId="4E2C6A74" w14:textId="77777777" w:rsidR="0097583E" w:rsidRPr="00212CEA" w:rsidRDefault="0097583E" w:rsidP="0097583E">
      <w:pPr>
        <w:overflowPunct w:val="0"/>
        <w:autoSpaceDE w:val="0"/>
        <w:autoSpaceDN w:val="0"/>
        <w:spacing w:line="360" w:lineRule="auto"/>
        <w:jc w:val="both"/>
        <w:rPr>
          <w:rFonts w:ascii="David" w:hAnsi="David"/>
          <w:rtl/>
        </w:rPr>
      </w:pPr>
      <w:r w:rsidRPr="00212CEA">
        <w:rPr>
          <w:rFonts w:ascii="David" w:hAnsi="David"/>
          <w:rtl/>
        </w:rPr>
        <w:t xml:space="preserve">סקירת מדיניות הענישה הנהוגה בעבירת החזקת נשק מלמדת על טווח ענישה רחב התלוי לרוב בנסיבותיו של כל מקרה ומקרה. </w:t>
      </w:r>
    </w:p>
    <w:p w14:paraId="18FCB969" w14:textId="77777777" w:rsidR="0097583E" w:rsidRPr="00212CEA" w:rsidRDefault="0097583E" w:rsidP="0097583E">
      <w:pPr>
        <w:overflowPunct w:val="0"/>
        <w:autoSpaceDE w:val="0"/>
        <w:autoSpaceDN w:val="0"/>
        <w:spacing w:line="360" w:lineRule="auto"/>
        <w:jc w:val="both"/>
        <w:rPr>
          <w:rFonts w:ascii="David" w:hAnsi="David"/>
          <w:rtl/>
        </w:rPr>
      </w:pPr>
    </w:p>
    <w:p w14:paraId="3261BFBF" w14:textId="77777777" w:rsidR="0097583E" w:rsidRPr="00212CEA" w:rsidRDefault="0097583E" w:rsidP="0097583E">
      <w:pPr>
        <w:overflowPunct w:val="0"/>
        <w:autoSpaceDE w:val="0"/>
        <w:autoSpaceDN w:val="0"/>
        <w:spacing w:line="360" w:lineRule="auto"/>
        <w:jc w:val="both"/>
        <w:rPr>
          <w:rFonts w:ascii="David" w:hAnsi="David"/>
          <w:rtl/>
        </w:rPr>
      </w:pPr>
      <w:r w:rsidRPr="00212CEA">
        <w:rPr>
          <w:rFonts w:ascii="David" w:hAnsi="David"/>
          <w:rtl/>
        </w:rPr>
        <w:t>ב</w:t>
      </w:r>
      <w:hyperlink r:id="rId38" w:history="1">
        <w:r w:rsidR="004C7C09" w:rsidRPr="004C7C09">
          <w:rPr>
            <w:rFonts w:ascii="David" w:hAnsi="David"/>
            <w:color w:val="0000FF"/>
            <w:u w:val="single"/>
            <w:rtl/>
          </w:rPr>
          <w:t>ע"פ 545/20</w:t>
        </w:r>
      </w:hyperlink>
      <w:r w:rsidRPr="00212CEA">
        <w:rPr>
          <w:rFonts w:ascii="David" w:hAnsi="David"/>
          <w:rtl/>
        </w:rPr>
        <w:t xml:space="preserve"> </w:t>
      </w:r>
      <w:r w:rsidRPr="00212CEA">
        <w:rPr>
          <w:rFonts w:ascii="David" w:hAnsi="David"/>
          <w:b/>
          <w:bCs/>
          <w:rtl/>
        </w:rPr>
        <w:t>פלוני נ' מדינת ישראל</w:t>
      </w:r>
      <w:r w:rsidRPr="00212CEA">
        <w:rPr>
          <w:rFonts w:ascii="David" w:hAnsi="David"/>
          <w:rtl/>
        </w:rPr>
        <w:t xml:space="preserve"> (3.5.21) נדחה ערעור על חומרת העונש שנגזר – 12 חודשי מאסר בפועל לאחר שהמערער, בעל עבר נקי, הורשע באחזקת ונשיאת אקדח, מחסנית תואמת ו-50 כדורים.</w:t>
      </w:r>
    </w:p>
    <w:p w14:paraId="6B05CA9E" w14:textId="77777777" w:rsidR="0097583E" w:rsidRPr="00212CEA" w:rsidRDefault="0097583E" w:rsidP="0097583E">
      <w:pPr>
        <w:overflowPunct w:val="0"/>
        <w:autoSpaceDE w:val="0"/>
        <w:autoSpaceDN w:val="0"/>
        <w:spacing w:line="360" w:lineRule="auto"/>
        <w:jc w:val="both"/>
        <w:rPr>
          <w:rFonts w:ascii="David" w:hAnsi="David"/>
          <w:rtl/>
        </w:rPr>
      </w:pPr>
    </w:p>
    <w:p w14:paraId="583AED22" w14:textId="77777777" w:rsidR="0097583E" w:rsidRPr="00212CEA" w:rsidRDefault="0097583E" w:rsidP="0097583E">
      <w:pPr>
        <w:overflowPunct w:val="0"/>
        <w:autoSpaceDE w:val="0"/>
        <w:autoSpaceDN w:val="0"/>
        <w:spacing w:line="360" w:lineRule="auto"/>
        <w:jc w:val="both"/>
        <w:rPr>
          <w:rFonts w:ascii="David" w:hAnsi="David"/>
          <w:b/>
          <w:bCs/>
          <w:rtl/>
        </w:rPr>
      </w:pPr>
      <w:r w:rsidRPr="00212CEA">
        <w:rPr>
          <w:rFonts w:ascii="David" w:hAnsi="David"/>
          <w:rtl/>
        </w:rPr>
        <w:t>ב</w:t>
      </w:r>
      <w:hyperlink r:id="rId39" w:history="1">
        <w:r w:rsidR="004C7C09" w:rsidRPr="004C7C09">
          <w:rPr>
            <w:rFonts w:ascii="David" w:hAnsi="David"/>
            <w:color w:val="0000FF"/>
            <w:u w:val="single"/>
            <w:rtl/>
          </w:rPr>
          <w:t>ע"פ 5765/20</w:t>
        </w:r>
      </w:hyperlink>
      <w:r w:rsidRPr="00212CEA">
        <w:rPr>
          <w:rFonts w:ascii="David" w:hAnsi="David"/>
          <w:rtl/>
        </w:rPr>
        <w:t xml:space="preserve"> </w:t>
      </w:r>
      <w:r w:rsidRPr="00212CEA">
        <w:rPr>
          <w:rFonts w:ascii="David" w:hAnsi="David"/>
          <w:b/>
          <w:bCs/>
          <w:rtl/>
        </w:rPr>
        <w:t>אבו בכר נ' מדינת ישראל</w:t>
      </w:r>
      <w:r w:rsidRPr="00212CEA">
        <w:rPr>
          <w:rFonts w:ascii="David" w:hAnsi="David"/>
          <w:rtl/>
        </w:rPr>
        <w:t xml:space="preserve"> (22.3.21) נדחה ערעור על חומרת העונש שנגזר – 18 חודשי מאסר בפועל לאחר שהמערערים, בעל עבר נקי, הורשעו בהובלת ונשיאת 2 אקדחים, טעונים כל אחד במחסנית מלאה ונאמר:</w:t>
      </w:r>
      <w:r w:rsidRPr="00212CEA">
        <w:rPr>
          <w:rFonts w:ascii="David" w:hAnsi="David"/>
          <w:b/>
          <w:bCs/>
          <w:rtl/>
        </w:rPr>
        <w:t xml:space="preserve"> "יש להצר על כך שהמערערים, שאין להם עבר פלילי ולא הסתבכו בעבירות נוספות מאז האירוע נשוא כתב האישום, הסתבכו בעבירות כגון דא. ברם, מדיניות הענישה בעבירות נשק ידועה. המדובר ב"מכת מדינה", שאת פירות הבאושים שלה אנו חווים, לצערנו, כמעט מידי יום, ומכאן מדיניות ההחמרה בעבירות כגון דא."</w:t>
      </w:r>
    </w:p>
    <w:p w14:paraId="67A8142E" w14:textId="77777777" w:rsidR="0097583E" w:rsidRPr="00212CEA" w:rsidRDefault="0097583E" w:rsidP="0097583E">
      <w:pPr>
        <w:overflowPunct w:val="0"/>
        <w:autoSpaceDE w:val="0"/>
        <w:autoSpaceDN w:val="0"/>
        <w:spacing w:line="360" w:lineRule="auto"/>
        <w:jc w:val="both"/>
        <w:rPr>
          <w:rFonts w:ascii="David" w:hAnsi="David"/>
          <w:spacing w:val="10"/>
          <w:rtl/>
        </w:rPr>
      </w:pPr>
    </w:p>
    <w:p w14:paraId="361B18F4" w14:textId="77777777" w:rsidR="0097583E" w:rsidRPr="00212CEA" w:rsidRDefault="0097583E" w:rsidP="0097583E">
      <w:pPr>
        <w:overflowPunct w:val="0"/>
        <w:autoSpaceDE w:val="0"/>
        <w:autoSpaceDN w:val="0"/>
        <w:spacing w:line="360" w:lineRule="auto"/>
        <w:jc w:val="both"/>
        <w:rPr>
          <w:rFonts w:ascii="David" w:hAnsi="David"/>
          <w:rtl/>
        </w:rPr>
      </w:pPr>
      <w:r w:rsidRPr="00212CEA">
        <w:rPr>
          <w:rFonts w:ascii="David" w:hAnsi="David"/>
          <w:rtl/>
        </w:rPr>
        <w:t>ב</w:t>
      </w:r>
      <w:hyperlink r:id="rId40" w:history="1">
        <w:r w:rsidR="004C7C09" w:rsidRPr="004C7C09">
          <w:rPr>
            <w:rFonts w:ascii="David" w:hAnsi="David"/>
            <w:color w:val="0000FF"/>
            <w:u w:val="single"/>
            <w:rtl/>
          </w:rPr>
          <w:t>רע"פ 4079/21</w:t>
        </w:r>
      </w:hyperlink>
      <w:r w:rsidRPr="00212CEA">
        <w:rPr>
          <w:rFonts w:ascii="David" w:hAnsi="David"/>
          <w:rtl/>
        </w:rPr>
        <w:t xml:space="preserve"> </w:t>
      </w:r>
      <w:r w:rsidRPr="00212CEA">
        <w:rPr>
          <w:rFonts w:ascii="David" w:hAnsi="David"/>
          <w:b/>
          <w:bCs/>
          <w:rtl/>
        </w:rPr>
        <w:t>פלוני נ' מדינת ישראל</w:t>
      </w:r>
      <w:r w:rsidRPr="00212CEA">
        <w:rPr>
          <w:rFonts w:ascii="David" w:hAnsi="David"/>
          <w:rtl/>
        </w:rPr>
        <w:t xml:space="preserve"> (20.6.21) נדחה ערעור על חומרת העונש שנגזר – 6 חודשי מאסר בפועל שהוטל תוך חריגה ממתחם הענישה בשל שיקולי שיקום ונקבע: </w:t>
      </w:r>
      <w:r w:rsidRPr="00212CEA">
        <w:rPr>
          <w:rFonts w:ascii="David" w:hAnsi="David"/>
          <w:b/>
          <w:bCs/>
          <w:rtl/>
        </w:rPr>
        <w:t>"כפי שהדגשתי פעם אחר פעם, הסיכון הכרוך בעבירות של החזקת נשק שלא כדין נובע מהנזק הפוטנציאלי אשר עלול להיגרם ממנו – אף אם הנשק נתפס בטרם נזק זה התממש. בפרט, קיים סיכון, כפי שאנחנו נוכחים לדעת לא אחת, כי הנשק עלול להגיע לידיים עברייניות וייעשה בו שימוש אשר יוביל בסופו של יום לגביית מחירים כבדים בנפש."</w:t>
      </w:r>
    </w:p>
    <w:p w14:paraId="4899263A" w14:textId="77777777" w:rsidR="0097583E" w:rsidRPr="00212CEA" w:rsidRDefault="0097583E" w:rsidP="0097583E">
      <w:pPr>
        <w:overflowPunct w:val="0"/>
        <w:autoSpaceDE w:val="0"/>
        <w:autoSpaceDN w:val="0"/>
        <w:ind w:right="1282"/>
        <w:jc w:val="both"/>
        <w:rPr>
          <w:rFonts w:ascii="David" w:hAnsi="David"/>
          <w:rtl/>
        </w:rPr>
      </w:pPr>
    </w:p>
    <w:p w14:paraId="365C53E4" w14:textId="77777777" w:rsidR="0097583E" w:rsidRPr="00212CEA" w:rsidRDefault="0097583E" w:rsidP="0097583E">
      <w:pPr>
        <w:overflowPunct w:val="0"/>
        <w:autoSpaceDE w:val="0"/>
        <w:autoSpaceDN w:val="0"/>
        <w:spacing w:line="360" w:lineRule="auto"/>
        <w:jc w:val="both"/>
        <w:rPr>
          <w:rFonts w:ascii="David" w:hAnsi="David"/>
          <w:b/>
          <w:bCs/>
          <w:rtl/>
        </w:rPr>
      </w:pPr>
      <w:r w:rsidRPr="00212CEA">
        <w:rPr>
          <w:rFonts w:ascii="David" w:hAnsi="David"/>
          <w:rtl/>
        </w:rPr>
        <w:t>ב</w:t>
      </w:r>
      <w:hyperlink r:id="rId41" w:history="1">
        <w:r w:rsidR="004C7C09" w:rsidRPr="004C7C09">
          <w:rPr>
            <w:rFonts w:ascii="David" w:hAnsi="David"/>
            <w:color w:val="0000FF"/>
            <w:u w:val="single"/>
            <w:rtl/>
          </w:rPr>
          <w:t>רע"פ 3619/21</w:t>
        </w:r>
      </w:hyperlink>
      <w:r w:rsidRPr="00212CEA">
        <w:rPr>
          <w:rFonts w:ascii="David" w:hAnsi="David"/>
          <w:rtl/>
        </w:rPr>
        <w:t xml:space="preserve"> </w:t>
      </w:r>
      <w:r w:rsidRPr="00212CEA">
        <w:rPr>
          <w:rFonts w:ascii="David" w:hAnsi="David"/>
          <w:b/>
          <w:bCs/>
          <w:rtl/>
        </w:rPr>
        <w:t>אבו הלאל נ' מדינת ישראל</w:t>
      </w:r>
      <w:r w:rsidRPr="00212CEA">
        <w:rPr>
          <w:rFonts w:ascii="David" w:hAnsi="David"/>
          <w:rtl/>
        </w:rPr>
        <w:t xml:space="preserve"> (26.5.21) נדחה ערעור על חומרת העונש שנגזר – 10 חודשי מאסר בפועל ונאמר: </w:t>
      </w:r>
      <w:r w:rsidRPr="00212CEA">
        <w:rPr>
          <w:rFonts w:ascii="David" w:hAnsi="David"/>
          <w:b/>
          <w:bCs/>
          <w:rtl/>
        </w:rPr>
        <w:t>"אנו עדים פעם אחר פעם לשכיחותם של עבירות הנשק בקרב אוכלוסיות שונות בחברה הישראלית. החזקת נשק חם בידי מי שאינו מורשה לכך עלול להוביל לתוצאות הרות אסון, אשר יגבו מחירים כבדים בנפש ולפיכך הסיכון הפוטנציאלי הגלום בעבירת החזקת נשק הוא רב. על כן, העובדה כי לא נגרמה פגיעה בחיי אדם, אין בה כשלעצמה כדי להמעיט מהחומרה הטמונה בהחזקת נשק שלא כדין ומהסיכון שנוצר לביטחון הציבור. משכך, ראוי להטיל ענישה מוחשית אשר יש בה כדי להרתיע עבריינים פוטנציאליים (</w:t>
      </w:r>
      <w:hyperlink r:id="rId42" w:history="1">
        <w:r w:rsidR="004C7C09" w:rsidRPr="004C7C09">
          <w:rPr>
            <w:rFonts w:ascii="David" w:hAnsi="David"/>
            <w:b/>
            <w:bCs/>
            <w:color w:val="0000FF"/>
            <w:u w:val="single"/>
            <w:rtl/>
          </w:rPr>
          <w:t>רע"פ 5613/20</w:t>
        </w:r>
      </w:hyperlink>
      <w:r w:rsidRPr="00212CEA">
        <w:rPr>
          <w:rFonts w:ascii="David" w:hAnsi="David"/>
          <w:b/>
          <w:bCs/>
          <w:rtl/>
        </w:rPr>
        <w:t xml:space="preserve"> אלהוזייל נ' מדינת ישראל [פורסם בנבו] (25.8.2020); </w:t>
      </w:r>
      <w:hyperlink r:id="rId43" w:history="1">
        <w:r w:rsidR="004C7C09" w:rsidRPr="004C7C09">
          <w:rPr>
            <w:rFonts w:ascii="David" w:hAnsi="David"/>
            <w:b/>
            <w:bCs/>
            <w:color w:val="0000FF"/>
            <w:u w:val="single"/>
            <w:rtl/>
          </w:rPr>
          <w:t>רע"פ 4065/18</w:t>
        </w:r>
      </w:hyperlink>
      <w:r w:rsidRPr="00212CEA">
        <w:rPr>
          <w:rFonts w:ascii="David" w:hAnsi="David"/>
          <w:b/>
          <w:bCs/>
          <w:rtl/>
        </w:rPr>
        <w:t xml:space="preserve"> איאסו נ' מדינת ישראל [פורסם בנבו] (30.8.2018)). </w:t>
      </w:r>
    </w:p>
    <w:p w14:paraId="0F0B1CFC" w14:textId="77777777" w:rsidR="0097583E" w:rsidRPr="00212CEA" w:rsidRDefault="0097583E" w:rsidP="0097583E">
      <w:pPr>
        <w:overflowPunct w:val="0"/>
        <w:autoSpaceDE w:val="0"/>
        <w:autoSpaceDN w:val="0"/>
        <w:spacing w:line="360" w:lineRule="auto"/>
        <w:jc w:val="both"/>
        <w:rPr>
          <w:rFonts w:ascii="David" w:hAnsi="David"/>
          <w:b/>
          <w:bCs/>
          <w:rtl/>
        </w:rPr>
      </w:pPr>
      <w:r w:rsidRPr="00212CEA">
        <w:rPr>
          <w:rFonts w:ascii="David" w:hAnsi="David"/>
          <w:b/>
          <w:bCs/>
          <w:rtl/>
        </w:rPr>
        <w:t>במכלול הנסיבות, אני סבור כי העונש שהושת על המבקשים אף מקל עמם ואין בו כדי לבטא את החומרה שיש בהחזקת כלי הנשק המאולתרים."</w:t>
      </w:r>
    </w:p>
    <w:p w14:paraId="3863AA24" w14:textId="77777777" w:rsidR="0097583E" w:rsidRPr="00212CEA" w:rsidRDefault="0097583E" w:rsidP="0097583E">
      <w:pPr>
        <w:spacing w:line="360" w:lineRule="auto"/>
        <w:jc w:val="both"/>
        <w:rPr>
          <w:rFonts w:ascii="David" w:hAnsi="David"/>
          <w:rtl/>
        </w:rPr>
      </w:pPr>
    </w:p>
    <w:p w14:paraId="62830290" w14:textId="77777777" w:rsidR="0097583E" w:rsidRPr="00212CEA" w:rsidRDefault="0097583E" w:rsidP="0097583E">
      <w:pPr>
        <w:spacing w:line="360" w:lineRule="auto"/>
        <w:jc w:val="both"/>
        <w:rPr>
          <w:rFonts w:ascii="David" w:hAnsi="David"/>
          <w:rtl/>
        </w:rPr>
      </w:pPr>
      <w:r w:rsidRPr="00212CEA">
        <w:rPr>
          <w:rFonts w:ascii="David" w:hAnsi="David"/>
          <w:rtl/>
        </w:rPr>
        <w:t>ב</w:t>
      </w:r>
      <w:hyperlink r:id="rId44" w:history="1">
        <w:r w:rsidR="004C7C09" w:rsidRPr="004C7C09">
          <w:rPr>
            <w:rFonts w:ascii="David" w:hAnsi="David"/>
            <w:color w:val="0000FF"/>
            <w:u w:val="single"/>
            <w:rtl/>
          </w:rPr>
          <w:t>עפ"ג 12888-03-22</w:t>
        </w:r>
      </w:hyperlink>
      <w:r w:rsidRPr="00212CEA">
        <w:rPr>
          <w:rFonts w:ascii="David" w:hAnsi="David"/>
          <w:rtl/>
        </w:rPr>
        <w:t xml:space="preserve"> </w:t>
      </w:r>
      <w:r w:rsidRPr="00212CEA">
        <w:rPr>
          <w:rFonts w:ascii="David" w:hAnsi="David"/>
          <w:b/>
          <w:bCs/>
          <w:rtl/>
        </w:rPr>
        <w:t>מדינת ישראל נ' אגבריה</w:t>
      </w:r>
      <w:r w:rsidRPr="00212CEA">
        <w:rPr>
          <w:rFonts w:ascii="David" w:hAnsi="David"/>
          <w:rtl/>
        </w:rPr>
        <w:t xml:space="preserve"> (07.11.22) קיבל בית המשפט המחוזי בחיפה את ערעור המדינה על קולת העונש שהוטל על הנאשם שהורשע בהחזקת אקדח, מחסנית ותחמושת והחמיר עונשו מ-7 חודשי עבודות שירות ל-12 חודשי מאסר בפועל. הנאשם שם היה מבוגר בעל משפחה במצב כלכלי ירוד, נעדר עבר פלילי הסובל ממגבלות בריאותיות.</w:t>
      </w:r>
    </w:p>
    <w:p w14:paraId="57064632" w14:textId="77777777" w:rsidR="0097583E" w:rsidRPr="00212CEA" w:rsidRDefault="0097583E" w:rsidP="0097583E">
      <w:pPr>
        <w:spacing w:line="360" w:lineRule="auto"/>
        <w:jc w:val="both"/>
        <w:rPr>
          <w:rFonts w:ascii="David" w:hAnsi="David"/>
          <w:rtl/>
        </w:rPr>
      </w:pPr>
    </w:p>
    <w:p w14:paraId="26BFDDFB" w14:textId="77777777" w:rsidR="0097583E" w:rsidRPr="00212CEA" w:rsidRDefault="0097583E" w:rsidP="0097583E">
      <w:pPr>
        <w:autoSpaceDE w:val="0"/>
        <w:autoSpaceDN w:val="0"/>
        <w:spacing w:line="360" w:lineRule="auto"/>
        <w:jc w:val="both"/>
        <w:rPr>
          <w:rFonts w:ascii="David" w:hAnsi="David"/>
          <w:rtl/>
        </w:rPr>
      </w:pPr>
      <w:r w:rsidRPr="00212CEA">
        <w:rPr>
          <w:rFonts w:ascii="David" w:hAnsi="David"/>
          <w:rtl/>
        </w:rPr>
        <w:t>באשר לבקשת הסנגור לקביעת מתחם ענישה חמור פחות מזה שאליו הפנתה המאשימה מצאתי לנכון להפנות לדברים נוספים שנכתבו בעניין סובח, שלדאבון הלב, רלוונטיים מתמיד בימים טרופים אלה כאשר אנו מתבשרים חדשות לבקרים על שימוש לא חוקי בנשק בסביבה אזרחית:</w:t>
      </w:r>
    </w:p>
    <w:p w14:paraId="29B3BCA7" w14:textId="77777777" w:rsidR="0097583E" w:rsidRPr="00212CEA" w:rsidRDefault="0097583E" w:rsidP="0097583E">
      <w:pPr>
        <w:autoSpaceDE w:val="0"/>
        <w:autoSpaceDN w:val="0"/>
        <w:spacing w:line="360" w:lineRule="auto"/>
        <w:ind w:left="567" w:right="567"/>
        <w:jc w:val="both"/>
        <w:rPr>
          <w:rFonts w:ascii="David" w:hAnsi="David"/>
          <w:b/>
          <w:bCs/>
          <w:rtl/>
        </w:rPr>
      </w:pPr>
      <w:r w:rsidRPr="00212CEA">
        <w:rPr>
          <w:rFonts w:ascii="David" w:hAnsi="David"/>
          <w:b/>
          <w:bCs/>
          <w:rtl/>
        </w:rPr>
        <w:t>"..לעיתים</w:t>
      </w:r>
      <w:r w:rsidRPr="00212CEA">
        <w:rPr>
          <w:rFonts w:ascii="David" w:hAnsi="David"/>
          <w:b/>
          <w:bCs/>
        </w:rPr>
        <w:t xml:space="preserve"> </w:t>
      </w:r>
      <w:r w:rsidRPr="00212CEA">
        <w:rPr>
          <w:rFonts w:ascii="David" w:hAnsi="David"/>
          <w:b/>
          <w:bCs/>
          <w:rtl/>
        </w:rPr>
        <w:t>מדיניות</w:t>
      </w:r>
      <w:r w:rsidRPr="00212CEA">
        <w:rPr>
          <w:rFonts w:ascii="David" w:hAnsi="David"/>
          <w:b/>
          <w:bCs/>
        </w:rPr>
        <w:t xml:space="preserve"> </w:t>
      </w:r>
      <w:r w:rsidRPr="00212CEA">
        <w:rPr>
          <w:rFonts w:ascii="David" w:hAnsi="David"/>
          <w:b/>
          <w:bCs/>
          <w:rtl/>
        </w:rPr>
        <w:t>הענישה</w:t>
      </w:r>
      <w:r w:rsidRPr="00212CEA">
        <w:rPr>
          <w:rFonts w:ascii="David" w:hAnsi="David"/>
          <w:b/>
          <w:bCs/>
        </w:rPr>
        <w:t xml:space="preserve"> </w:t>
      </w:r>
      <w:r w:rsidRPr="00212CEA">
        <w:rPr>
          <w:rFonts w:ascii="David" w:hAnsi="David"/>
          <w:b/>
          <w:bCs/>
          <w:rtl/>
        </w:rPr>
        <w:t>הנוהגת</w:t>
      </w:r>
      <w:r w:rsidRPr="00212CEA">
        <w:rPr>
          <w:rFonts w:ascii="David" w:hAnsi="David"/>
          <w:b/>
          <w:bCs/>
        </w:rPr>
        <w:t xml:space="preserve"> </w:t>
      </w:r>
      <w:r w:rsidRPr="00212CEA">
        <w:rPr>
          <w:rFonts w:ascii="David" w:hAnsi="David"/>
          <w:b/>
          <w:bCs/>
          <w:rtl/>
        </w:rPr>
        <w:t>ביחס</w:t>
      </w:r>
      <w:r w:rsidRPr="00212CEA">
        <w:rPr>
          <w:rFonts w:ascii="David" w:hAnsi="David"/>
          <w:b/>
          <w:bCs/>
        </w:rPr>
        <w:t xml:space="preserve"> </w:t>
      </w:r>
      <w:r w:rsidRPr="00212CEA">
        <w:rPr>
          <w:rFonts w:ascii="David" w:hAnsi="David"/>
          <w:b/>
          <w:bCs/>
          <w:rtl/>
        </w:rPr>
        <w:t>לעבירה</w:t>
      </w:r>
      <w:r w:rsidRPr="00212CEA">
        <w:rPr>
          <w:rFonts w:ascii="David" w:hAnsi="David"/>
          <w:b/>
          <w:bCs/>
        </w:rPr>
        <w:t xml:space="preserve"> </w:t>
      </w:r>
      <w:r w:rsidRPr="00212CEA">
        <w:rPr>
          <w:rFonts w:ascii="David" w:hAnsi="David"/>
          <w:b/>
          <w:bCs/>
          <w:rtl/>
        </w:rPr>
        <w:t>מסוימת</w:t>
      </w:r>
      <w:r w:rsidRPr="00212CEA">
        <w:rPr>
          <w:rFonts w:ascii="David" w:hAnsi="David"/>
          <w:b/>
          <w:bCs/>
        </w:rPr>
        <w:t xml:space="preserve"> </w:t>
      </w:r>
      <w:r w:rsidRPr="00212CEA">
        <w:rPr>
          <w:rFonts w:ascii="David" w:hAnsi="David"/>
          <w:b/>
          <w:bCs/>
          <w:rtl/>
        </w:rPr>
        <w:t>אינה</w:t>
      </w:r>
      <w:r w:rsidRPr="00212CEA">
        <w:rPr>
          <w:rFonts w:ascii="David" w:hAnsi="David"/>
          <w:b/>
          <w:bCs/>
        </w:rPr>
        <w:t xml:space="preserve"> </w:t>
      </w:r>
      <w:r w:rsidRPr="00212CEA">
        <w:rPr>
          <w:rFonts w:ascii="David" w:hAnsi="David"/>
          <w:b/>
          <w:bCs/>
          <w:rtl/>
        </w:rPr>
        <w:t>מספקת, ועל</w:t>
      </w:r>
      <w:r w:rsidRPr="00212CEA">
        <w:rPr>
          <w:rFonts w:ascii="David" w:hAnsi="David"/>
          <w:b/>
          <w:bCs/>
        </w:rPr>
        <w:t xml:space="preserve"> </w:t>
      </w:r>
      <w:r w:rsidRPr="00212CEA">
        <w:rPr>
          <w:rFonts w:ascii="David" w:hAnsi="David"/>
          <w:b/>
          <w:bCs/>
          <w:rtl/>
        </w:rPr>
        <w:t>בית</w:t>
      </w:r>
      <w:r w:rsidRPr="00212CEA">
        <w:rPr>
          <w:rFonts w:ascii="David" w:hAnsi="David"/>
          <w:b/>
          <w:bCs/>
        </w:rPr>
        <w:t xml:space="preserve"> </w:t>
      </w:r>
      <w:r w:rsidRPr="00212CEA">
        <w:rPr>
          <w:rFonts w:ascii="David" w:hAnsi="David"/>
          <w:b/>
          <w:bCs/>
          <w:rtl/>
        </w:rPr>
        <w:t>המשפט</w:t>
      </w:r>
      <w:r w:rsidRPr="00212CEA">
        <w:rPr>
          <w:rFonts w:ascii="David" w:hAnsi="David"/>
          <w:b/>
          <w:bCs/>
        </w:rPr>
        <w:t xml:space="preserve"> </w:t>
      </w:r>
      <w:r w:rsidRPr="00212CEA">
        <w:rPr>
          <w:rFonts w:ascii="David" w:hAnsi="David"/>
          <w:b/>
          <w:bCs/>
          <w:rtl/>
        </w:rPr>
        <w:t>להורות</w:t>
      </w:r>
      <w:r w:rsidRPr="00212CEA">
        <w:rPr>
          <w:rFonts w:ascii="David" w:hAnsi="David"/>
          <w:b/>
          <w:bCs/>
        </w:rPr>
        <w:t xml:space="preserve"> </w:t>
      </w:r>
      <w:r w:rsidRPr="00212CEA">
        <w:rPr>
          <w:rFonts w:ascii="David" w:hAnsi="David"/>
          <w:b/>
          <w:bCs/>
          <w:rtl/>
        </w:rPr>
        <w:t>על</w:t>
      </w:r>
      <w:r w:rsidRPr="00212CEA">
        <w:rPr>
          <w:rFonts w:ascii="David" w:hAnsi="David"/>
          <w:b/>
          <w:bCs/>
        </w:rPr>
        <w:t xml:space="preserve"> </w:t>
      </w:r>
      <w:r w:rsidRPr="00212CEA">
        <w:rPr>
          <w:rFonts w:ascii="David" w:hAnsi="David"/>
          <w:b/>
          <w:bCs/>
          <w:rtl/>
        </w:rPr>
        <w:t>החמרה</w:t>
      </w:r>
      <w:r w:rsidRPr="00212CEA">
        <w:rPr>
          <w:rFonts w:ascii="David" w:hAnsi="David"/>
          <w:b/>
          <w:bCs/>
        </w:rPr>
        <w:t xml:space="preserve"> </w:t>
      </w:r>
      <w:r w:rsidRPr="00212CEA">
        <w:rPr>
          <w:rFonts w:ascii="David" w:hAnsi="David"/>
          <w:b/>
          <w:bCs/>
          <w:rtl/>
        </w:rPr>
        <w:t>בענישה</w:t>
      </w:r>
      <w:r w:rsidRPr="00212CEA">
        <w:rPr>
          <w:rFonts w:ascii="David" w:hAnsi="David"/>
          <w:b/>
          <w:bCs/>
        </w:rPr>
        <w:t xml:space="preserve"> </w:t>
      </w:r>
      <w:r w:rsidRPr="00212CEA">
        <w:rPr>
          <w:rFonts w:ascii="David" w:hAnsi="David"/>
          <w:b/>
          <w:bCs/>
          <w:rtl/>
        </w:rPr>
        <w:t>על</w:t>
      </w:r>
      <w:r w:rsidRPr="00212CEA">
        <w:rPr>
          <w:rFonts w:ascii="David" w:hAnsi="David"/>
          <w:b/>
          <w:bCs/>
        </w:rPr>
        <w:t xml:space="preserve"> </w:t>
      </w:r>
      <w:r w:rsidRPr="00212CEA">
        <w:rPr>
          <w:rFonts w:ascii="David" w:hAnsi="David"/>
          <w:b/>
          <w:bCs/>
          <w:rtl/>
        </w:rPr>
        <w:t>מנת</w:t>
      </w:r>
      <w:r w:rsidRPr="00212CEA">
        <w:rPr>
          <w:rFonts w:ascii="David" w:hAnsi="David"/>
          <w:b/>
          <w:bCs/>
        </w:rPr>
        <w:t xml:space="preserve"> </w:t>
      </w:r>
      <w:r w:rsidRPr="00212CEA">
        <w:rPr>
          <w:rFonts w:ascii="David" w:hAnsi="David"/>
          <w:b/>
          <w:bCs/>
          <w:rtl/>
        </w:rPr>
        <w:t>לקדם</w:t>
      </w:r>
      <w:r w:rsidRPr="00212CEA">
        <w:rPr>
          <w:rFonts w:ascii="David" w:hAnsi="David"/>
          <w:b/>
          <w:bCs/>
        </w:rPr>
        <w:t xml:space="preserve"> </w:t>
      </w:r>
      <w:r w:rsidRPr="00212CEA">
        <w:rPr>
          <w:rFonts w:ascii="David" w:hAnsi="David"/>
          <w:b/>
          <w:bCs/>
          <w:rtl/>
        </w:rPr>
        <w:t>ולהגן</w:t>
      </w:r>
      <w:r w:rsidRPr="00212CEA">
        <w:rPr>
          <w:rFonts w:ascii="David" w:hAnsi="David"/>
          <w:b/>
          <w:bCs/>
        </w:rPr>
        <w:t xml:space="preserve"> </w:t>
      </w:r>
      <w:r w:rsidRPr="00212CEA">
        <w:rPr>
          <w:rFonts w:ascii="David" w:hAnsi="David"/>
          <w:b/>
          <w:bCs/>
          <w:rtl/>
        </w:rPr>
        <w:t>על</w:t>
      </w:r>
      <w:r w:rsidRPr="00212CEA">
        <w:rPr>
          <w:rFonts w:ascii="David" w:hAnsi="David"/>
          <w:b/>
          <w:bCs/>
        </w:rPr>
        <w:t xml:space="preserve"> </w:t>
      </w:r>
      <w:r w:rsidRPr="00212CEA">
        <w:rPr>
          <w:rFonts w:ascii="David" w:hAnsi="David"/>
          <w:b/>
          <w:bCs/>
          <w:rtl/>
        </w:rPr>
        <w:t>הערכים</w:t>
      </w:r>
      <w:r w:rsidRPr="00212CEA">
        <w:rPr>
          <w:rFonts w:ascii="David" w:hAnsi="David"/>
          <w:b/>
          <w:bCs/>
        </w:rPr>
        <w:t xml:space="preserve"> </w:t>
      </w:r>
      <w:r w:rsidRPr="00212CEA">
        <w:rPr>
          <w:rFonts w:ascii="David" w:hAnsi="David"/>
          <w:b/>
          <w:bCs/>
          <w:rtl/>
        </w:rPr>
        <w:t>אשר</w:t>
      </w:r>
      <w:r w:rsidRPr="00212CEA">
        <w:rPr>
          <w:rFonts w:ascii="David" w:hAnsi="David"/>
          <w:b/>
          <w:bCs/>
        </w:rPr>
        <w:t xml:space="preserve"> </w:t>
      </w:r>
      <w:r w:rsidRPr="00212CEA">
        <w:rPr>
          <w:rFonts w:ascii="David" w:hAnsi="David"/>
          <w:b/>
          <w:bCs/>
          <w:rtl/>
        </w:rPr>
        <w:t>ביסודה, ובכך</w:t>
      </w:r>
      <w:r w:rsidRPr="00212CEA">
        <w:rPr>
          <w:rFonts w:ascii="David" w:hAnsi="David"/>
          <w:b/>
          <w:bCs/>
        </w:rPr>
        <w:t xml:space="preserve"> </w:t>
      </w:r>
      <w:r w:rsidRPr="00212CEA">
        <w:rPr>
          <w:rFonts w:ascii="David" w:hAnsi="David"/>
          <w:b/>
          <w:bCs/>
          <w:rtl/>
        </w:rPr>
        <w:t>לבלום</w:t>
      </w:r>
      <w:r w:rsidRPr="00212CEA">
        <w:rPr>
          <w:rFonts w:ascii="David" w:hAnsi="David"/>
          <w:b/>
          <w:bCs/>
        </w:rPr>
        <w:t xml:space="preserve"> </w:t>
      </w:r>
      <w:r w:rsidRPr="00212CEA">
        <w:rPr>
          <w:rFonts w:ascii="David" w:hAnsi="David"/>
          <w:b/>
          <w:bCs/>
          <w:rtl/>
        </w:rPr>
        <w:t>את</w:t>
      </w:r>
      <w:r w:rsidRPr="00212CEA">
        <w:rPr>
          <w:rFonts w:ascii="David" w:hAnsi="David"/>
          <w:b/>
          <w:bCs/>
        </w:rPr>
        <w:t xml:space="preserve"> </w:t>
      </w:r>
      <w:r w:rsidRPr="00212CEA">
        <w:rPr>
          <w:rFonts w:ascii="David" w:hAnsi="David"/>
          <w:b/>
          <w:bCs/>
          <w:rtl/>
        </w:rPr>
        <w:t>נפיצותן</w:t>
      </w:r>
      <w:r w:rsidRPr="00212CEA">
        <w:rPr>
          <w:rFonts w:ascii="David" w:hAnsi="David"/>
          <w:b/>
          <w:bCs/>
        </w:rPr>
        <w:t xml:space="preserve"> </w:t>
      </w:r>
      <w:r w:rsidRPr="00212CEA">
        <w:rPr>
          <w:rFonts w:ascii="David" w:hAnsi="David"/>
          <w:b/>
          <w:bCs/>
          <w:rtl/>
        </w:rPr>
        <w:t>של</w:t>
      </w:r>
      <w:r w:rsidRPr="00212CEA">
        <w:rPr>
          <w:rFonts w:ascii="David" w:hAnsi="David"/>
          <w:b/>
          <w:bCs/>
        </w:rPr>
        <w:t xml:space="preserve"> </w:t>
      </w:r>
      <w:r w:rsidRPr="00212CEA">
        <w:rPr>
          <w:rFonts w:ascii="David" w:hAnsi="David"/>
          <w:b/>
          <w:bCs/>
          <w:rtl/>
        </w:rPr>
        <w:t>עבירות</w:t>
      </w:r>
      <w:r w:rsidRPr="00212CEA">
        <w:rPr>
          <w:rFonts w:ascii="David" w:hAnsi="David"/>
          <w:b/>
          <w:bCs/>
        </w:rPr>
        <w:t xml:space="preserve"> </w:t>
      </w:r>
      <w:r w:rsidRPr="00212CEA">
        <w:rPr>
          <w:rFonts w:ascii="David" w:hAnsi="David"/>
          <w:b/>
          <w:bCs/>
          <w:rtl/>
        </w:rPr>
        <w:t>מסוימות</w:t>
      </w:r>
      <w:r w:rsidRPr="00212CEA">
        <w:rPr>
          <w:rFonts w:ascii="David" w:hAnsi="David"/>
          <w:b/>
          <w:bCs/>
        </w:rPr>
        <w:t xml:space="preserve"> </w:t>
      </w:r>
      <w:r w:rsidRPr="00212CEA">
        <w:rPr>
          <w:rFonts w:ascii="David" w:hAnsi="David"/>
          <w:b/>
          <w:bCs/>
          <w:rtl/>
        </w:rPr>
        <w:t>ההופכות</w:t>
      </w:r>
      <w:r w:rsidRPr="00212CEA">
        <w:rPr>
          <w:rFonts w:ascii="David" w:hAnsi="David"/>
          <w:b/>
          <w:bCs/>
        </w:rPr>
        <w:t xml:space="preserve"> </w:t>
      </w:r>
      <w:r w:rsidRPr="00212CEA">
        <w:rPr>
          <w:rFonts w:ascii="David" w:hAnsi="David"/>
          <w:b/>
          <w:bCs/>
          <w:rtl/>
        </w:rPr>
        <w:t>ל'מכת</w:t>
      </w:r>
      <w:r w:rsidRPr="00212CEA">
        <w:rPr>
          <w:rFonts w:ascii="David" w:hAnsi="David"/>
          <w:b/>
          <w:bCs/>
        </w:rPr>
        <w:t xml:space="preserve"> </w:t>
      </w:r>
      <w:r w:rsidRPr="00212CEA">
        <w:rPr>
          <w:rFonts w:ascii="David" w:hAnsi="David"/>
          <w:b/>
          <w:bCs/>
          <w:rtl/>
        </w:rPr>
        <w:t>מדינה', ולתת</w:t>
      </w:r>
      <w:r w:rsidRPr="00212CEA">
        <w:rPr>
          <w:rFonts w:ascii="David" w:hAnsi="David"/>
          <w:b/>
          <w:bCs/>
        </w:rPr>
        <w:t xml:space="preserve"> </w:t>
      </w:r>
      <w:r w:rsidRPr="00212CEA">
        <w:rPr>
          <w:rFonts w:ascii="David" w:hAnsi="David"/>
          <w:b/>
          <w:bCs/>
          <w:rtl/>
        </w:rPr>
        <w:t>ביטוי</w:t>
      </w:r>
      <w:r w:rsidRPr="00212CEA">
        <w:rPr>
          <w:rFonts w:ascii="David" w:hAnsi="David"/>
          <w:b/>
          <w:bCs/>
        </w:rPr>
        <w:t xml:space="preserve"> </w:t>
      </w:r>
      <w:r w:rsidRPr="00212CEA">
        <w:rPr>
          <w:rFonts w:ascii="David" w:hAnsi="David"/>
          <w:b/>
          <w:bCs/>
          <w:rtl/>
        </w:rPr>
        <w:t>לחומרה</w:t>
      </w:r>
      <w:r w:rsidRPr="00212CEA">
        <w:rPr>
          <w:rFonts w:ascii="David" w:hAnsi="David"/>
          <w:b/>
          <w:bCs/>
        </w:rPr>
        <w:t xml:space="preserve"> </w:t>
      </w:r>
      <w:r w:rsidRPr="00212CEA">
        <w:rPr>
          <w:rFonts w:ascii="David" w:hAnsi="David"/>
          <w:b/>
          <w:bCs/>
          <w:rtl/>
        </w:rPr>
        <w:t>שיש</w:t>
      </w:r>
      <w:r w:rsidRPr="00212CEA">
        <w:rPr>
          <w:rFonts w:ascii="David" w:hAnsi="David"/>
          <w:b/>
          <w:bCs/>
        </w:rPr>
        <w:t xml:space="preserve"> </w:t>
      </w:r>
      <w:r w:rsidRPr="00212CEA">
        <w:rPr>
          <w:rFonts w:ascii="David" w:hAnsi="David"/>
          <w:b/>
          <w:bCs/>
          <w:rtl/>
        </w:rPr>
        <w:t>לייחס</w:t>
      </w:r>
      <w:r w:rsidRPr="00212CEA">
        <w:rPr>
          <w:rFonts w:ascii="David" w:hAnsi="David"/>
          <w:b/>
          <w:bCs/>
        </w:rPr>
        <w:t xml:space="preserve"> </w:t>
      </w:r>
      <w:r w:rsidRPr="00212CEA">
        <w:rPr>
          <w:rFonts w:ascii="David" w:hAnsi="David"/>
          <w:b/>
          <w:bCs/>
          <w:rtl/>
        </w:rPr>
        <w:t>להן...השימוש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w:t>
      </w:r>
    </w:p>
    <w:p w14:paraId="6F591DAB" w14:textId="77777777" w:rsidR="0097583E" w:rsidRPr="00212CEA" w:rsidRDefault="0097583E" w:rsidP="0097583E">
      <w:pPr>
        <w:autoSpaceDE w:val="0"/>
        <w:autoSpaceDN w:val="0"/>
        <w:spacing w:line="360" w:lineRule="auto"/>
        <w:ind w:left="567" w:right="567"/>
        <w:jc w:val="both"/>
        <w:rPr>
          <w:rFonts w:ascii="David" w:hAnsi="David"/>
          <w:b/>
          <w:bCs/>
          <w:rtl/>
        </w:rPr>
      </w:pPr>
      <w:r w:rsidRPr="00212CEA">
        <w:rPr>
          <w:rFonts w:ascii="David" w:hAnsi="David"/>
          <w:b/>
          <w:bCs/>
          <w:rtl/>
        </w:rPr>
        <w:t xml:space="preserve">על רקע המציאות אותה אנו חווים למרבה הצער מדי יום, אנו עדים לקריאה ציבורית נרגשת להגברת האכיפה כלפי עבירות נשק – ולהחמרה במדיניות הענישה הנוהגת" </w:t>
      </w:r>
    </w:p>
    <w:p w14:paraId="48D42281" w14:textId="77777777" w:rsidR="0097583E" w:rsidRPr="00212CEA" w:rsidRDefault="004C7C09" w:rsidP="0097583E">
      <w:pPr>
        <w:spacing w:line="360" w:lineRule="auto"/>
        <w:jc w:val="both"/>
        <w:rPr>
          <w:rFonts w:ascii="David" w:hAnsi="David"/>
          <w:rtl/>
        </w:rPr>
      </w:pPr>
      <w:r>
        <w:rPr>
          <w:rFonts w:ascii="David" w:hAnsi="David"/>
          <w:rtl/>
        </w:rPr>
        <w:t xml:space="preserve">           </w:t>
      </w:r>
      <w:r w:rsidR="0097583E" w:rsidRPr="00212CEA">
        <w:rPr>
          <w:rFonts w:ascii="David" w:hAnsi="David"/>
          <w:rtl/>
        </w:rPr>
        <w:t xml:space="preserve"> </w:t>
      </w:r>
    </w:p>
    <w:p w14:paraId="0D3C9299" w14:textId="77777777" w:rsidR="0097583E" w:rsidRPr="00212CEA" w:rsidRDefault="0097583E" w:rsidP="0097583E">
      <w:pPr>
        <w:spacing w:line="360" w:lineRule="auto"/>
        <w:jc w:val="both"/>
        <w:rPr>
          <w:rFonts w:ascii="David" w:hAnsi="David"/>
          <w:rtl/>
        </w:rPr>
      </w:pPr>
      <w:r w:rsidRPr="00212CEA">
        <w:rPr>
          <w:rFonts w:ascii="David" w:hAnsi="David"/>
          <w:rtl/>
        </w:rPr>
        <w:t xml:space="preserve">הנאשם כאמור, החזיק בתוך חדר בקומה הראשונה בביתו, מוסלק בארון אחסון ובו סירים, אקדח חצי אוטומטי המצויד במחסנית ריקה. </w:t>
      </w:r>
    </w:p>
    <w:p w14:paraId="67D0A1FD" w14:textId="77777777" w:rsidR="0097583E" w:rsidRPr="00212CEA" w:rsidRDefault="0097583E" w:rsidP="0097583E">
      <w:pPr>
        <w:spacing w:line="360" w:lineRule="auto"/>
        <w:jc w:val="both"/>
        <w:rPr>
          <w:rFonts w:ascii="David" w:hAnsi="David"/>
          <w:rtl/>
        </w:rPr>
      </w:pPr>
    </w:p>
    <w:p w14:paraId="49E35FC5" w14:textId="77777777" w:rsidR="0097583E" w:rsidRPr="00212CEA" w:rsidRDefault="0097583E" w:rsidP="0097583E">
      <w:pPr>
        <w:spacing w:line="360" w:lineRule="auto"/>
        <w:jc w:val="both"/>
        <w:rPr>
          <w:rFonts w:ascii="David" w:hAnsi="David"/>
          <w:rtl/>
        </w:rPr>
      </w:pPr>
      <w:r w:rsidRPr="00212CEA">
        <w:rPr>
          <w:rFonts w:ascii="David" w:hAnsi="David"/>
          <w:rtl/>
        </w:rPr>
        <w:t xml:space="preserve">אמנם, בסופו של יום לא נעשה שימוש בנשק, עם זאת אין בכך כדי להפחית מחומרת הנסיבות הקשורות בביצוע המעשים ולהתעלם מהנזק ומהפגיעות הפוטנציאליות שהיו עלולים להתרחש. </w:t>
      </w:r>
    </w:p>
    <w:p w14:paraId="32DDE1E2" w14:textId="77777777" w:rsidR="0097583E" w:rsidRPr="00212CEA" w:rsidRDefault="0097583E" w:rsidP="0097583E">
      <w:pPr>
        <w:spacing w:line="360" w:lineRule="auto"/>
        <w:jc w:val="both"/>
        <w:rPr>
          <w:rFonts w:ascii="David" w:hAnsi="David"/>
          <w:rtl/>
        </w:rPr>
      </w:pPr>
    </w:p>
    <w:p w14:paraId="052F625D" w14:textId="77777777" w:rsidR="0097583E" w:rsidRPr="00212CEA" w:rsidRDefault="0097583E" w:rsidP="0097583E">
      <w:pPr>
        <w:spacing w:line="360" w:lineRule="auto"/>
        <w:jc w:val="both"/>
        <w:rPr>
          <w:rFonts w:ascii="David" w:hAnsi="David"/>
          <w:b/>
          <w:bCs/>
          <w:rtl/>
        </w:rPr>
      </w:pPr>
      <w:r w:rsidRPr="00212CEA">
        <w:rPr>
          <w:rFonts w:ascii="David" w:hAnsi="David"/>
          <w:rtl/>
        </w:rPr>
        <w:t>בהתחשב בעובדות ונסיבות חמורות אלה ובמגמת ההחמרה ההדרגתית של בית המשפט העליון בעבירות נשק, מצאתי כי מתחם העונש ההולם בעניינו של הנאשם</w:t>
      </w:r>
      <w:r w:rsidRPr="00212CEA">
        <w:rPr>
          <w:rFonts w:ascii="David" w:hAnsi="David"/>
          <w:b/>
          <w:bCs/>
          <w:rtl/>
        </w:rPr>
        <w:t xml:space="preserve"> נע בין 13</w:t>
      </w:r>
      <w:r w:rsidR="004C7C09">
        <w:rPr>
          <w:rFonts w:ascii="David" w:hAnsi="David"/>
          <w:b/>
          <w:bCs/>
          <w:rtl/>
        </w:rPr>
        <w:t xml:space="preserve"> </w:t>
      </w:r>
      <w:r w:rsidRPr="00212CEA">
        <w:rPr>
          <w:rFonts w:ascii="David" w:hAnsi="David"/>
          <w:b/>
          <w:bCs/>
          <w:rtl/>
        </w:rPr>
        <w:t xml:space="preserve"> ל- 36 חודשי מאסר בפועל. </w:t>
      </w:r>
    </w:p>
    <w:p w14:paraId="05DD334D" w14:textId="77777777" w:rsidR="0097583E" w:rsidRPr="00212CEA" w:rsidRDefault="0097583E" w:rsidP="0097583E">
      <w:pPr>
        <w:spacing w:line="360" w:lineRule="auto"/>
        <w:jc w:val="both"/>
        <w:rPr>
          <w:rFonts w:ascii="David" w:hAnsi="David"/>
          <w:rtl/>
        </w:rPr>
      </w:pPr>
    </w:p>
    <w:p w14:paraId="1205B637" w14:textId="77777777" w:rsidR="0097583E" w:rsidRPr="00212CEA" w:rsidRDefault="0097583E" w:rsidP="0097583E">
      <w:pPr>
        <w:spacing w:line="360" w:lineRule="auto"/>
        <w:jc w:val="both"/>
        <w:rPr>
          <w:rFonts w:ascii="David" w:hAnsi="David"/>
          <w:b/>
          <w:bCs/>
          <w:u w:val="single"/>
          <w:rtl/>
        </w:rPr>
      </w:pPr>
      <w:r w:rsidRPr="00212CEA">
        <w:rPr>
          <w:rFonts w:ascii="David" w:hAnsi="David"/>
          <w:b/>
          <w:bCs/>
          <w:u w:val="single"/>
          <w:rtl/>
        </w:rPr>
        <w:t>קביעת העונש ההולם</w:t>
      </w:r>
    </w:p>
    <w:p w14:paraId="002C1A06" w14:textId="77777777" w:rsidR="0097583E" w:rsidRPr="00212CEA" w:rsidRDefault="0097583E" w:rsidP="0097583E">
      <w:pPr>
        <w:spacing w:line="360" w:lineRule="auto"/>
        <w:jc w:val="both"/>
        <w:rPr>
          <w:rFonts w:ascii="David" w:hAnsi="David"/>
          <w:rtl/>
        </w:rPr>
      </w:pPr>
      <w:r w:rsidRPr="00212CEA">
        <w:rPr>
          <w:rFonts w:ascii="David" w:hAnsi="David"/>
          <w:rtl/>
        </w:rPr>
        <w:t xml:space="preserve">אין כל חולק כי עונש מאסר בפועל יפגע בנאשם, שזוהי הסתבכותו הראשונה ומעולם לא נשא בעונש מאסר כך גם עמדה עונשית זו כלומר מאסר מאחורי סורג ובריח אף תואמת את עמדת שירות המבחן. </w:t>
      </w:r>
    </w:p>
    <w:p w14:paraId="36EF1AF1" w14:textId="77777777" w:rsidR="0097583E" w:rsidRPr="00212CEA" w:rsidRDefault="0097583E" w:rsidP="0097583E">
      <w:pPr>
        <w:spacing w:line="360" w:lineRule="auto"/>
        <w:jc w:val="both"/>
        <w:rPr>
          <w:rFonts w:ascii="David" w:hAnsi="David"/>
          <w:rtl/>
        </w:rPr>
      </w:pPr>
    </w:p>
    <w:p w14:paraId="0DE96353" w14:textId="77777777" w:rsidR="0097583E" w:rsidRPr="00212CEA" w:rsidRDefault="0097583E" w:rsidP="0097583E">
      <w:pPr>
        <w:spacing w:line="360" w:lineRule="auto"/>
        <w:jc w:val="both"/>
        <w:rPr>
          <w:rFonts w:ascii="David" w:hAnsi="David"/>
          <w:rtl/>
        </w:rPr>
      </w:pPr>
      <w:r w:rsidRPr="00212CEA">
        <w:rPr>
          <w:rFonts w:ascii="David" w:hAnsi="David"/>
          <w:rtl/>
        </w:rPr>
        <w:t>עם זאת, לקחתי בחשבון את העובדה כי הנאשם נעדר עבר פלילי, זוהי אכן הסתבכותו הראשונה, הנאשם לקח אחריות על מעשיו, הודה בהזדמנות הראשונה וחסך זמן שיפוטי יקר.</w:t>
      </w:r>
    </w:p>
    <w:p w14:paraId="4D942BDC" w14:textId="77777777" w:rsidR="0097583E" w:rsidRPr="00212CEA" w:rsidRDefault="0097583E" w:rsidP="0097583E">
      <w:pPr>
        <w:spacing w:line="360" w:lineRule="auto"/>
        <w:jc w:val="both"/>
        <w:rPr>
          <w:rFonts w:ascii="David" w:hAnsi="David"/>
          <w:rtl/>
        </w:rPr>
      </w:pPr>
    </w:p>
    <w:p w14:paraId="4863866A" w14:textId="77777777" w:rsidR="0097583E" w:rsidRPr="00212CEA" w:rsidRDefault="0097583E" w:rsidP="0097583E">
      <w:pPr>
        <w:spacing w:line="360" w:lineRule="auto"/>
        <w:jc w:val="both"/>
        <w:rPr>
          <w:rFonts w:ascii="David" w:hAnsi="David"/>
          <w:rtl/>
        </w:rPr>
      </w:pPr>
      <w:r w:rsidRPr="00212CEA">
        <w:rPr>
          <w:rFonts w:ascii="David" w:hAnsi="David"/>
          <w:rtl/>
        </w:rPr>
        <w:t>שיקולי הענישה בענייננו, מופנים במיוחד ואולי אף בעיקר להרתעת הפרט והרבים, שכן העבירות בהן הורשע הנאשם הוכרו זה מכבר כמכת מדינה ובתי המשפט מחויבים לנקוט במגמת ענישה מחמירה, כך שלכל מעורב פוטנציאלי יהיה ברור שהחזקת הנשק, השימוש בו, רכישתו, הובלתו, או סחר בו, יוביל בהכרח להטלת ענישה בדמות מאסר בפועל לתקופה ממושכת ומשמעותית שכן רק בדרך זו יהיה ברור לאותם מעורבים פוטנציאליים שמעורבות בעבירות שכאלה היא אינה כדאית.</w:t>
      </w:r>
    </w:p>
    <w:p w14:paraId="2D287523" w14:textId="77777777" w:rsidR="0097583E" w:rsidRPr="00212CEA" w:rsidRDefault="0097583E" w:rsidP="0097583E">
      <w:pPr>
        <w:spacing w:line="360" w:lineRule="auto"/>
        <w:jc w:val="both"/>
        <w:rPr>
          <w:rFonts w:ascii="David" w:hAnsi="David"/>
          <w:rtl/>
        </w:rPr>
      </w:pPr>
    </w:p>
    <w:p w14:paraId="04229763" w14:textId="77777777" w:rsidR="0097583E" w:rsidRPr="00212CEA" w:rsidRDefault="0097583E" w:rsidP="0097583E">
      <w:pPr>
        <w:spacing w:line="360" w:lineRule="auto"/>
        <w:jc w:val="both"/>
        <w:rPr>
          <w:rFonts w:ascii="David" w:hAnsi="David"/>
          <w:rtl/>
        </w:rPr>
      </w:pPr>
      <w:r w:rsidRPr="00212CEA">
        <w:rPr>
          <w:rFonts w:ascii="David" w:hAnsi="David"/>
          <w:rtl/>
        </w:rPr>
        <w:t>מחד עומד בפני בית המשפט הצורך בהרתעת הרבים דוגמת הנאשם ובשמירה על אינטרס הציבור, מאידך עומדות נסיבותיו האישיות של הנאשם הספציפי. איזון שיקולים מתחייב זה, אל לו להתפרש כצעד המחייב את בית המשפט להעדיף את נסיבותיו האישיות של הנאשם, על פני האינטרס הציבורי הדורש הרחקתו של העבריין מהחברה (</w:t>
      </w:r>
      <w:hyperlink r:id="rId45" w:history="1">
        <w:r w:rsidR="004C7C09" w:rsidRPr="004C7C09">
          <w:rPr>
            <w:rFonts w:ascii="David" w:hAnsi="David"/>
            <w:color w:val="0000FF"/>
            <w:u w:val="single"/>
            <w:rtl/>
          </w:rPr>
          <w:t>ע"פ 5330/20</w:t>
        </w:r>
      </w:hyperlink>
      <w:r w:rsidRPr="00212CEA">
        <w:rPr>
          <w:rFonts w:ascii="David" w:hAnsi="David"/>
          <w:rtl/>
        </w:rPr>
        <w:t xml:space="preserve"> </w:t>
      </w:r>
      <w:r w:rsidRPr="00212CEA">
        <w:rPr>
          <w:rFonts w:ascii="David" w:hAnsi="David"/>
          <w:b/>
          <w:bCs/>
          <w:rtl/>
        </w:rPr>
        <w:t>ענבתאוי נ' מדינת ישראל</w:t>
      </w:r>
      <w:r w:rsidRPr="00212CEA">
        <w:rPr>
          <w:rFonts w:ascii="David" w:hAnsi="David"/>
          <w:rtl/>
        </w:rPr>
        <w:t>, (22.11.20)) וכאמור המחוקק כבר הביע דעתו בעניין זה בעת תיקון 140 ל</w:t>
      </w:r>
      <w:hyperlink r:id="rId46" w:history="1">
        <w:r w:rsidR="004C7C09" w:rsidRPr="004C7C09">
          <w:rPr>
            <w:rFonts w:ascii="David" w:hAnsi="David"/>
            <w:color w:val="0000FF"/>
            <w:u w:val="single"/>
            <w:rtl/>
          </w:rPr>
          <w:t>חוק העונשין</w:t>
        </w:r>
      </w:hyperlink>
      <w:r w:rsidRPr="00212CEA">
        <w:rPr>
          <w:rFonts w:ascii="David" w:hAnsi="David"/>
          <w:rtl/>
        </w:rPr>
        <w:t>.</w:t>
      </w:r>
    </w:p>
    <w:p w14:paraId="3E165202" w14:textId="77777777" w:rsidR="0097583E" w:rsidRPr="00212CEA" w:rsidRDefault="0097583E" w:rsidP="0097583E">
      <w:pPr>
        <w:spacing w:line="360" w:lineRule="auto"/>
        <w:jc w:val="both"/>
        <w:rPr>
          <w:rFonts w:ascii="David" w:hAnsi="David"/>
          <w:rtl/>
        </w:rPr>
      </w:pPr>
    </w:p>
    <w:p w14:paraId="7954F489" w14:textId="77777777" w:rsidR="0097583E" w:rsidRPr="00212CEA" w:rsidRDefault="0097583E" w:rsidP="0097583E">
      <w:pPr>
        <w:spacing w:line="360" w:lineRule="auto"/>
        <w:jc w:val="both"/>
        <w:rPr>
          <w:rFonts w:ascii="David" w:hAnsi="David"/>
          <w:rtl/>
        </w:rPr>
      </w:pPr>
      <w:r w:rsidRPr="00212CEA">
        <w:rPr>
          <w:rFonts w:ascii="David" w:hAnsi="David"/>
          <w:rtl/>
        </w:rPr>
        <w:t xml:space="preserve">משנאמר כל זאת, בהתחשב בחומרת המעשים, בנסיבותיהם, במידת הפגיעה בערך החברתי ובמדיניות הענישה הנוהגת, בהודאתו של הנאשם ובנסיבות חייו, תוך עריכת איזון בין רכיבי הענישה השונים, אני מטיל על הנאשם את העונשים הבאים: </w:t>
      </w:r>
    </w:p>
    <w:p w14:paraId="4B36157E" w14:textId="77777777" w:rsidR="0097583E" w:rsidRPr="00212CEA" w:rsidRDefault="004C7C09" w:rsidP="0097583E">
      <w:pPr>
        <w:spacing w:line="360" w:lineRule="auto"/>
        <w:jc w:val="both"/>
        <w:rPr>
          <w:rFonts w:ascii="David" w:hAnsi="David"/>
          <w:rtl/>
        </w:rPr>
      </w:pPr>
      <w:r>
        <w:rPr>
          <w:rFonts w:ascii="David" w:hAnsi="David"/>
          <w:rtl/>
        </w:rPr>
        <w:t xml:space="preserve"> </w:t>
      </w:r>
    </w:p>
    <w:p w14:paraId="74E36800" w14:textId="77777777" w:rsidR="0097583E" w:rsidRPr="00212CEA" w:rsidRDefault="0097583E" w:rsidP="0097583E">
      <w:pPr>
        <w:numPr>
          <w:ilvl w:val="0"/>
          <w:numId w:val="1"/>
        </w:numPr>
        <w:spacing w:line="360" w:lineRule="auto"/>
        <w:contextualSpacing/>
        <w:jc w:val="both"/>
        <w:rPr>
          <w:rFonts w:ascii="David" w:hAnsi="David"/>
          <w:rtl/>
        </w:rPr>
      </w:pPr>
      <w:r w:rsidRPr="00212CEA">
        <w:rPr>
          <w:rFonts w:ascii="David" w:hAnsi="David"/>
          <w:rtl/>
        </w:rPr>
        <w:t xml:space="preserve">מאסר בפועל למשך 15 חודשים אשר יחושב מיום מעצרו 3/1/23. </w:t>
      </w:r>
    </w:p>
    <w:p w14:paraId="5319B10C" w14:textId="77777777" w:rsidR="0097583E" w:rsidRPr="00212CEA" w:rsidRDefault="0097583E" w:rsidP="0097583E">
      <w:pPr>
        <w:spacing w:line="360" w:lineRule="auto"/>
        <w:jc w:val="both"/>
        <w:rPr>
          <w:rFonts w:ascii="David" w:hAnsi="David"/>
          <w:rtl/>
        </w:rPr>
      </w:pPr>
    </w:p>
    <w:p w14:paraId="1BAA0CAD" w14:textId="77777777" w:rsidR="0097583E" w:rsidRPr="00212CEA" w:rsidRDefault="0097583E" w:rsidP="0097583E">
      <w:pPr>
        <w:numPr>
          <w:ilvl w:val="0"/>
          <w:numId w:val="1"/>
        </w:numPr>
        <w:spacing w:line="360" w:lineRule="auto"/>
        <w:contextualSpacing/>
        <w:jc w:val="both"/>
        <w:rPr>
          <w:rFonts w:ascii="David" w:hAnsi="David"/>
          <w:rtl/>
        </w:rPr>
      </w:pPr>
      <w:r w:rsidRPr="00212CEA">
        <w:rPr>
          <w:rFonts w:ascii="David" w:hAnsi="David"/>
          <w:rtl/>
        </w:rPr>
        <w:t xml:space="preserve">מאסר על תנאי לתקופה של 10 חודשים למשך 3 שנים </w:t>
      </w:r>
      <w:r>
        <w:rPr>
          <w:rFonts w:ascii="David" w:hAnsi="David" w:hint="cs"/>
          <w:rtl/>
        </w:rPr>
        <w:t xml:space="preserve"> והתנאי הוא שהנאשם לא יעבור בפרק זמן זה, לאחר שחרורו מריצוי תום מאסרו בגין תיק זה,</w:t>
      </w:r>
      <w:r w:rsidRPr="00212CEA">
        <w:rPr>
          <w:rFonts w:ascii="David" w:hAnsi="David"/>
          <w:rtl/>
        </w:rPr>
        <w:t xml:space="preserve"> על אחת העבירות בהן הורשע או כל עבירת נשק מסוג פשע. </w:t>
      </w:r>
    </w:p>
    <w:p w14:paraId="65B5113A" w14:textId="77777777" w:rsidR="0097583E" w:rsidRPr="00212CEA" w:rsidRDefault="0097583E" w:rsidP="0097583E">
      <w:pPr>
        <w:spacing w:line="360" w:lineRule="auto"/>
        <w:jc w:val="both"/>
        <w:rPr>
          <w:rFonts w:ascii="David" w:hAnsi="David"/>
          <w:rtl/>
        </w:rPr>
      </w:pPr>
    </w:p>
    <w:p w14:paraId="6E62C9BD" w14:textId="77777777" w:rsidR="0097583E" w:rsidRPr="00212CEA" w:rsidRDefault="0097583E" w:rsidP="0097583E">
      <w:pPr>
        <w:numPr>
          <w:ilvl w:val="0"/>
          <w:numId w:val="1"/>
        </w:numPr>
        <w:spacing w:line="360" w:lineRule="auto"/>
        <w:contextualSpacing/>
        <w:jc w:val="both"/>
        <w:rPr>
          <w:rFonts w:ascii="David" w:hAnsi="David"/>
        </w:rPr>
      </w:pPr>
      <w:r w:rsidRPr="00212CEA">
        <w:rPr>
          <w:rFonts w:ascii="David" w:hAnsi="David"/>
          <w:rtl/>
        </w:rPr>
        <w:t xml:space="preserve">קנס בסך של 7,500 ₪. </w:t>
      </w:r>
    </w:p>
    <w:p w14:paraId="5EE25889" w14:textId="77777777" w:rsidR="0097583E" w:rsidRPr="00212CEA" w:rsidRDefault="0097583E" w:rsidP="0097583E">
      <w:pPr>
        <w:rPr>
          <w:rFonts w:ascii="David" w:hAnsi="David"/>
          <w:rtl/>
        </w:rPr>
      </w:pPr>
    </w:p>
    <w:p w14:paraId="2C6B69CB" w14:textId="77777777" w:rsidR="0097583E" w:rsidRPr="00212CEA" w:rsidRDefault="0097583E" w:rsidP="0097583E">
      <w:pPr>
        <w:spacing w:line="360" w:lineRule="auto"/>
        <w:ind w:left="720"/>
        <w:contextualSpacing/>
        <w:rPr>
          <w:rFonts w:ascii="David" w:hAnsi="David"/>
          <w:rtl/>
        </w:rPr>
      </w:pPr>
      <w:r w:rsidRPr="00212CEA">
        <w:rPr>
          <w:rFonts w:ascii="David" w:hAnsi="David"/>
          <w:rtl/>
        </w:rPr>
        <w:t xml:space="preserve">יש לשלם את הקנס לחשבון המרכז לגביית קנסות, אגרות והוצאות ברשות האכיפה והגבייה, החל מחלוף 3 ימים מרגע מתן גזר הדין ועד ליום </w:t>
      </w:r>
      <w:r>
        <w:rPr>
          <w:rFonts w:ascii="David" w:hAnsi="David" w:hint="cs"/>
          <w:rtl/>
        </w:rPr>
        <w:t>15</w:t>
      </w:r>
      <w:r w:rsidRPr="00212CEA">
        <w:rPr>
          <w:rFonts w:ascii="David" w:hAnsi="David"/>
          <w:rtl/>
        </w:rPr>
        <w:t>/</w:t>
      </w:r>
      <w:r>
        <w:rPr>
          <w:rFonts w:ascii="David" w:hAnsi="David" w:hint="cs"/>
          <w:rtl/>
        </w:rPr>
        <w:t>11</w:t>
      </w:r>
      <w:r w:rsidRPr="00212CEA">
        <w:rPr>
          <w:rFonts w:ascii="David" w:hAnsi="David"/>
          <w:rtl/>
        </w:rPr>
        <w:t>/</w:t>
      </w:r>
      <w:r>
        <w:rPr>
          <w:rFonts w:ascii="David" w:hAnsi="David" w:hint="cs"/>
          <w:rtl/>
        </w:rPr>
        <w:t>23</w:t>
      </w:r>
      <w:r w:rsidRPr="00212CEA">
        <w:rPr>
          <w:rFonts w:ascii="David" w:hAnsi="David"/>
          <w:rtl/>
        </w:rPr>
        <w:t xml:space="preserve"> וזאת באחת מהדרכים הבאות:</w:t>
      </w:r>
    </w:p>
    <w:p w14:paraId="2FC66B69" w14:textId="77777777" w:rsidR="0097583E" w:rsidRPr="00212CEA" w:rsidRDefault="0097583E" w:rsidP="0097583E">
      <w:pPr>
        <w:numPr>
          <w:ilvl w:val="0"/>
          <w:numId w:val="2"/>
        </w:numPr>
        <w:spacing w:line="360" w:lineRule="auto"/>
        <w:contextualSpacing/>
        <w:rPr>
          <w:rFonts w:ascii="David" w:hAnsi="David"/>
        </w:rPr>
      </w:pPr>
      <w:r w:rsidRPr="00212CEA">
        <w:rPr>
          <w:rFonts w:ascii="David" w:hAnsi="David"/>
          <w:b/>
          <w:bCs/>
          <w:rtl/>
        </w:rPr>
        <w:t>בכרטיס אשראי</w:t>
      </w:r>
      <w:r w:rsidRPr="00212CEA">
        <w:rPr>
          <w:rFonts w:ascii="David" w:hAnsi="David"/>
          <w:rtl/>
        </w:rPr>
        <w:t xml:space="preserve"> – באתר המקוון של רשות האכיפה והגבייה, </w:t>
      </w:r>
      <w:hyperlink r:id="rId47" w:history="1">
        <w:r w:rsidRPr="0097583E">
          <w:rPr>
            <w:rFonts w:ascii="Arial" w:hAnsi="Arial" w:cs="Arial"/>
            <w:color w:val="0563C1"/>
            <w:u w:val="single"/>
          </w:rPr>
          <w:t>www.eca.gov.il</w:t>
        </w:r>
      </w:hyperlink>
      <w:r w:rsidRPr="00212CEA">
        <w:rPr>
          <w:rFonts w:ascii="Arial" w:hAnsi="Arial" w:cs="Arial"/>
        </w:rPr>
        <w:t xml:space="preserve"> </w:t>
      </w:r>
      <w:r w:rsidR="004C7C09">
        <w:rPr>
          <w:rFonts w:ascii="David" w:hAnsi="David"/>
          <w:rtl/>
        </w:rPr>
        <w:t xml:space="preserve"> </w:t>
      </w:r>
      <w:r w:rsidRPr="00212CEA">
        <w:rPr>
          <w:rFonts w:ascii="David" w:hAnsi="David"/>
          <w:rtl/>
        </w:rPr>
        <w:t>(ניתן לשלם בפריסה של עד 18 תשלומים בהסדר קרדיט) או חפש בגוגל " תשלום גביית קנסות".</w:t>
      </w:r>
    </w:p>
    <w:p w14:paraId="6A136CBD" w14:textId="77777777" w:rsidR="0097583E" w:rsidRPr="00212CEA" w:rsidRDefault="0097583E" w:rsidP="0097583E">
      <w:pPr>
        <w:numPr>
          <w:ilvl w:val="0"/>
          <w:numId w:val="2"/>
        </w:numPr>
        <w:spacing w:line="360" w:lineRule="auto"/>
        <w:contextualSpacing/>
        <w:rPr>
          <w:rFonts w:ascii="Arial" w:hAnsi="Arial" w:cs="Arial"/>
          <w:b/>
          <w:bCs/>
        </w:rPr>
      </w:pPr>
      <w:r w:rsidRPr="00212CEA">
        <w:rPr>
          <w:rFonts w:ascii="David" w:hAnsi="David"/>
          <w:b/>
          <w:bCs/>
          <w:rtl/>
        </w:rPr>
        <w:t>מוקד שירות טלפוני בשרות עצמי (מרכז גבייה)</w:t>
      </w:r>
      <w:r w:rsidR="004C7C09">
        <w:rPr>
          <w:rFonts w:ascii="David" w:hAnsi="David"/>
          <w:b/>
          <w:bCs/>
          <w:rtl/>
        </w:rPr>
        <w:t xml:space="preserve"> </w:t>
      </w:r>
      <w:r w:rsidRPr="00212CEA">
        <w:rPr>
          <w:rFonts w:ascii="David" w:hAnsi="David"/>
          <w:b/>
          <w:bCs/>
          <w:rtl/>
        </w:rPr>
        <w:t xml:space="preserve"> – בטלפון 35592* או בטלפון 073-2055000 (ניתן לפנות לנציגים לקבלת מידע במספרים הללו).</w:t>
      </w:r>
    </w:p>
    <w:p w14:paraId="063F8773" w14:textId="77777777" w:rsidR="0097583E" w:rsidRPr="00212CEA" w:rsidRDefault="0097583E" w:rsidP="0097583E">
      <w:pPr>
        <w:numPr>
          <w:ilvl w:val="0"/>
          <w:numId w:val="2"/>
        </w:numPr>
        <w:spacing w:line="360" w:lineRule="auto"/>
        <w:contextualSpacing/>
        <w:rPr>
          <w:rFonts w:ascii="David" w:hAnsi="David"/>
          <w:b/>
          <w:bCs/>
          <w:rtl/>
        </w:rPr>
      </w:pPr>
      <w:r w:rsidRPr="00212CEA">
        <w:rPr>
          <w:rFonts w:ascii="David" w:hAnsi="David"/>
          <w:b/>
          <w:bCs/>
          <w:rtl/>
        </w:rPr>
        <w:t>במזומן בכל סניף של בנק הדואר</w:t>
      </w:r>
      <w:r w:rsidRPr="00212CEA">
        <w:rPr>
          <w:rFonts w:ascii="David" w:hAnsi="David"/>
          <w:rtl/>
        </w:rPr>
        <w:t xml:space="preserve"> – בהצגת תעודת זהות בלבד (אין צורך בשוברי תשלום).</w:t>
      </w:r>
    </w:p>
    <w:p w14:paraId="4E3BF2C2" w14:textId="77777777" w:rsidR="0097583E" w:rsidRDefault="0097583E" w:rsidP="0097583E">
      <w:pPr>
        <w:spacing w:line="360" w:lineRule="auto"/>
        <w:rPr>
          <w:rFonts w:ascii="David" w:hAnsi="David"/>
          <w:b/>
          <w:bCs/>
          <w:rtl/>
        </w:rPr>
      </w:pPr>
    </w:p>
    <w:p w14:paraId="6CDCEE37" w14:textId="77777777" w:rsidR="0097583E" w:rsidRDefault="0097583E" w:rsidP="0097583E">
      <w:pPr>
        <w:spacing w:line="360" w:lineRule="auto"/>
        <w:rPr>
          <w:rFonts w:ascii="David" w:hAnsi="David"/>
          <w:b/>
          <w:bCs/>
          <w:rtl/>
        </w:rPr>
      </w:pPr>
      <w:r>
        <w:rPr>
          <w:rFonts w:ascii="David" w:hAnsi="David" w:hint="cs"/>
          <w:b/>
          <w:bCs/>
          <w:rtl/>
        </w:rPr>
        <w:t xml:space="preserve">ניתן בזאת צו להשמדת מוצגים. </w:t>
      </w:r>
    </w:p>
    <w:p w14:paraId="72ABA9D7" w14:textId="77777777" w:rsidR="0097583E" w:rsidRPr="00212CEA" w:rsidRDefault="0097583E" w:rsidP="0097583E">
      <w:pPr>
        <w:spacing w:line="360" w:lineRule="auto"/>
        <w:rPr>
          <w:rFonts w:ascii="David" w:hAnsi="David"/>
          <w:b/>
          <w:bCs/>
          <w:rtl/>
        </w:rPr>
      </w:pPr>
    </w:p>
    <w:p w14:paraId="3E9F92AB" w14:textId="77777777" w:rsidR="0097583E" w:rsidRPr="00212CEA" w:rsidRDefault="0097583E" w:rsidP="0097583E">
      <w:pPr>
        <w:spacing w:line="360" w:lineRule="auto"/>
        <w:rPr>
          <w:rFonts w:ascii="David" w:hAnsi="David"/>
          <w:b/>
          <w:bCs/>
          <w:rtl/>
        </w:rPr>
      </w:pPr>
      <w:r w:rsidRPr="00212CEA">
        <w:rPr>
          <w:rFonts w:ascii="David" w:hAnsi="David"/>
          <w:b/>
          <w:bCs/>
          <w:rtl/>
        </w:rPr>
        <w:t xml:space="preserve">גזר דין זה מהווה פקודת מאסר. </w:t>
      </w:r>
    </w:p>
    <w:p w14:paraId="0ACA83D0" w14:textId="77777777" w:rsidR="0097583E" w:rsidRPr="00212CEA" w:rsidRDefault="0097583E" w:rsidP="0097583E">
      <w:pPr>
        <w:spacing w:line="360" w:lineRule="auto"/>
        <w:rPr>
          <w:rFonts w:ascii="David" w:hAnsi="David"/>
          <w:b/>
          <w:bCs/>
          <w:rtl/>
        </w:rPr>
      </w:pPr>
    </w:p>
    <w:p w14:paraId="162F864D" w14:textId="77777777" w:rsidR="0097583E" w:rsidRPr="00212CEA" w:rsidRDefault="0097583E" w:rsidP="0097583E">
      <w:pPr>
        <w:spacing w:line="360" w:lineRule="auto"/>
        <w:jc w:val="both"/>
      </w:pPr>
      <w:r w:rsidRPr="00212CEA">
        <w:rPr>
          <w:b/>
          <w:bCs/>
          <w:rtl/>
        </w:rPr>
        <w:t xml:space="preserve">זכות ערעור לבית המשפט המחוזי בחיפה  תוך 45 ימים מהיום. </w:t>
      </w:r>
    </w:p>
    <w:p w14:paraId="383FF33E" w14:textId="77777777" w:rsidR="0097583E" w:rsidRPr="004C7C09" w:rsidRDefault="004C7C09" w:rsidP="0097583E">
      <w:pPr>
        <w:rPr>
          <w:color w:val="FFFFFF"/>
          <w:sz w:val="2"/>
          <w:szCs w:val="2"/>
        </w:rPr>
      </w:pPr>
      <w:r w:rsidRPr="004C7C09">
        <w:rPr>
          <w:color w:val="FFFFFF"/>
          <w:sz w:val="2"/>
          <w:szCs w:val="2"/>
          <w:rtl/>
        </w:rPr>
        <w:t>5129371</w:t>
      </w:r>
    </w:p>
    <w:p w14:paraId="08635F01" w14:textId="77777777" w:rsidR="0097583E" w:rsidRPr="004C7C09" w:rsidRDefault="004C7C09" w:rsidP="0097583E">
      <w:pPr>
        <w:rPr>
          <w:rFonts w:ascii="Arial" w:hAnsi="Arial"/>
          <w:b/>
          <w:bCs/>
          <w:color w:val="FFFFFF"/>
          <w:sz w:val="2"/>
          <w:szCs w:val="2"/>
          <w:rtl/>
        </w:rPr>
      </w:pPr>
      <w:r w:rsidRPr="004C7C09">
        <w:rPr>
          <w:rFonts w:ascii="Arial" w:hAnsi="Arial"/>
          <w:b/>
          <w:bCs/>
          <w:color w:val="FFFFFF"/>
          <w:sz w:val="2"/>
          <w:szCs w:val="2"/>
          <w:rtl/>
        </w:rPr>
        <w:t>54678313</w:t>
      </w:r>
    </w:p>
    <w:p w14:paraId="674055CB" w14:textId="77777777" w:rsidR="0097583E" w:rsidRPr="00212CEA" w:rsidRDefault="004C7C09" w:rsidP="0097583E">
      <w:pPr>
        <w:spacing w:line="360" w:lineRule="auto"/>
        <w:jc w:val="both"/>
        <w:rPr>
          <w:rFonts w:ascii="Arial" w:hAnsi="Arial"/>
          <w:b/>
          <w:bCs/>
          <w:sz w:val="26"/>
          <w:szCs w:val="26"/>
          <w:rtl/>
        </w:rPr>
      </w:pPr>
      <w:bookmarkStart w:id="10" w:name="Nitan"/>
      <w:r>
        <w:rPr>
          <w:rFonts w:ascii="Arial" w:hAnsi="Arial"/>
          <w:b/>
          <w:bCs/>
          <w:sz w:val="26"/>
          <w:szCs w:val="26"/>
          <w:rtl/>
        </w:rPr>
        <w:t xml:space="preserve">ניתן היום,  י"א סיוון תשפ"ג, 31 מאי 2023, בהעדר הצדדים. </w:t>
      </w:r>
      <w:bookmarkEnd w:id="10"/>
      <w:r w:rsidR="0097583E" w:rsidRPr="00212CEA">
        <w:rPr>
          <w:rFonts w:ascii="Arial" w:hAnsi="Arial"/>
          <w:b/>
          <w:bCs/>
          <w:sz w:val="26"/>
          <w:szCs w:val="26"/>
          <w:rtl/>
        </w:rPr>
        <w:tab/>
      </w:r>
      <w:r w:rsidR="0097583E" w:rsidRPr="00212CEA">
        <w:rPr>
          <w:rFonts w:ascii="Arial" w:hAnsi="Arial"/>
          <w:b/>
          <w:bCs/>
          <w:sz w:val="26"/>
          <w:szCs w:val="26"/>
          <w:rtl/>
        </w:rPr>
        <w:tab/>
      </w:r>
      <w:r w:rsidR="0097583E" w:rsidRPr="00212CEA">
        <w:rPr>
          <w:rFonts w:ascii="Arial" w:hAnsi="Arial"/>
          <w:b/>
          <w:bCs/>
          <w:sz w:val="26"/>
          <w:szCs w:val="26"/>
          <w:rtl/>
        </w:rPr>
        <w:tab/>
      </w:r>
      <w:r w:rsidR="0097583E" w:rsidRPr="00212CEA">
        <w:rPr>
          <w:rFonts w:ascii="Arial" w:hAnsi="Arial"/>
          <w:b/>
          <w:bCs/>
          <w:sz w:val="26"/>
          <w:szCs w:val="26"/>
          <w:rtl/>
        </w:rPr>
        <w:tab/>
      </w:r>
      <w:r w:rsidR="0097583E" w:rsidRPr="00212CEA">
        <w:rPr>
          <w:rFonts w:ascii="Arial" w:hAnsi="Arial"/>
          <w:b/>
          <w:bCs/>
          <w:sz w:val="26"/>
          <w:szCs w:val="26"/>
          <w:rtl/>
        </w:rPr>
        <w:tab/>
      </w:r>
      <w:r w:rsidR="0097583E" w:rsidRPr="00212CEA">
        <w:rPr>
          <w:rFonts w:ascii="Arial" w:hAnsi="Arial"/>
          <w:b/>
          <w:bCs/>
          <w:sz w:val="26"/>
          <w:szCs w:val="26"/>
          <w:rtl/>
        </w:rPr>
        <w:tab/>
      </w:r>
      <w:r w:rsidR="0097583E" w:rsidRPr="00212CEA">
        <w:rPr>
          <w:rFonts w:ascii="Arial" w:hAnsi="Arial"/>
          <w:b/>
          <w:bCs/>
          <w:sz w:val="26"/>
          <w:szCs w:val="26"/>
          <w:rtl/>
        </w:rPr>
        <w:tab/>
        <w:t xml:space="preserve">         </w:t>
      </w:r>
    </w:p>
    <w:p w14:paraId="2A2841F0" w14:textId="77777777" w:rsidR="0097583E" w:rsidRPr="000F2247" w:rsidRDefault="0097583E" w:rsidP="0097583E">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65764AF5" w14:textId="77777777" w:rsidR="0097583E" w:rsidRPr="000F2247" w:rsidRDefault="0097583E" w:rsidP="004C7C09">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62690BE" w14:textId="77777777" w:rsidR="0097583E" w:rsidRPr="00C308B0" w:rsidRDefault="00C308B0" w:rsidP="0097583E">
      <w:pPr>
        <w:jc w:val="center"/>
        <w:rPr>
          <w:rFonts w:ascii="Arial" w:hAnsi="Arial"/>
          <w:b/>
          <w:bCs/>
          <w:color w:val="FFFFFF"/>
          <w:sz w:val="2"/>
          <w:szCs w:val="2"/>
          <w:rtl/>
        </w:rPr>
      </w:pPr>
      <w:r w:rsidRPr="00C308B0">
        <w:rPr>
          <w:rFonts w:ascii="Arial" w:hAnsi="Arial"/>
          <w:b/>
          <w:bCs/>
          <w:color w:val="FFFFFF"/>
          <w:sz w:val="2"/>
          <w:szCs w:val="2"/>
          <w:rtl/>
        </w:rPr>
        <w:t>5129371</w:t>
      </w:r>
    </w:p>
    <w:p w14:paraId="108B868B" w14:textId="77777777" w:rsidR="004C7C09" w:rsidRDefault="00C308B0" w:rsidP="004C7C09">
      <w:r w:rsidRPr="00C308B0">
        <w:rPr>
          <w:rFonts w:ascii="David" w:hAnsi="David"/>
          <w:color w:val="FFFFFF"/>
          <w:sz w:val="2"/>
          <w:szCs w:val="2"/>
          <w:rtl/>
        </w:rPr>
        <w:t>54678313</w:t>
      </w:r>
    </w:p>
    <w:p w14:paraId="53B53AD7" w14:textId="77777777" w:rsidR="004C7C09" w:rsidRDefault="004C7C09" w:rsidP="004C7C09">
      <w:pPr>
        <w:rPr>
          <w:rtl/>
        </w:rPr>
      </w:pPr>
    </w:p>
    <w:p w14:paraId="6A9F3AB8" w14:textId="77777777" w:rsidR="004C7C09" w:rsidRDefault="004C7C09" w:rsidP="004C7C09">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p w14:paraId="799CA545" w14:textId="77777777" w:rsidR="00C308B0" w:rsidRPr="00C308B0" w:rsidRDefault="00C308B0" w:rsidP="00C308B0">
      <w:pPr>
        <w:keepNext/>
        <w:rPr>
          <w:rFonts w:ascii="David" w:hAnsi="David"/>
          <w:color w:val="000000"/>
          <w:sz w:val="22"/>
          <w:szCs w:val="22"/>
          <w:rtl/>
        </w:rPr>
      </w:pPr>
    </w:p>
    <w:p w14:paraId="097D2EA6" w14:textId="77777777" w:rsidR="00C308B0" w:rsidRPr="00C308B0" w:rsidRDefault="00C308B0" w:rsidP="00C308B0">
      <w:pPr>
        <w:keepNext/>
        <w:rPr>
          <w:rFonts w:ascii="David" w:hAnsi="David"/>
          <w:color w:val="000000"/>
          <w:sz w:val="22"/>
          <w:szCs w:val="22"/>
          <w:rtl/>
        </w:rPr>
      </w:pPr>
      <w:r w:rsidRPr="00C308B0">
        <w:rPr>
          <w:rFonts w:ascii="David" w:hAnsi="David"/>
          <w:color w:val="000000"/>
          <w:sz w:val="22"/>
          <w:szCs w:val="22"/>
          <w:rtl/>
        </w:rPr>
        <w:t>אלכס אחטר 54678313-/</w:t>
      </w:r>
    </w:p>
    <w:p w14:paraId="22733D0B" w14:textId="77777777" w:rsidR="004C7C09" w:rsidRPr="004C7C09" w:rsidRDefault="00C308B0" w:rsidP="00C308B0">
      <w:pPr>
        <w:rPr>
          <w:color w:val="0000FF"/>
          <w:u w:val="single"/>
        </w:rPr>
      </w:pPr>
      <w:r w:rsidRPr="00C308B0">
        <w:rPr>
          <w:color w:val="000000"/>
          <w:u w:val="single"/>
          <w:rtl/>
        </w:rPr>
        <w:t>נוסח מסמך זה כפוף לשינויי ניסוח ועריכה</w:t>
      </w:r>
    </w:p>
    <w:sectPr w:rsidR="004C7C09" w:rsidRPr="004C7C09" w:rsidSect="00C308B0">
      <w:headerReference w:type="even" r:id="rId49"/>
      <w:headerReference w:type="default" r:id="rId50"/>
      <w:footerReference w:type="even" r:id="rId51"/>
      <w:footerReference w:type="default" r:id="rId5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282285" w14:textId="77777777" w:rsidR="00DE696F" w:rsidRDefault="00DE696F" w:rsidP="003E4F90">
      <w:r>
        <w:separator/>
      </w:r>
    </w:p>
  </w:endnote>
  <w:endnote w:type="continuationSeparator" w:id="0">
    <w:p w14:paraId="0FA45194" w14:textId="77777777" w:rsidR="00DE696F" w:rsidRDefault="00DE696F" w:rsidP="003E4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4D212" w14:textId="77777777" w:rsidR="00C308B0" w:rsidRDefault="00C308B0" w:rsidP="00C308B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B8BD51A" w14:textId="77777777" w:rsidR="00D9732C" w:rsidRPr="00C308B0" w:rsidRDefault="00C308B0" w:rsidP="00C308B0">
    <w:pPr>
      <w:pStyle w:val="a5"/>
      <w:pBdr>
        <w:top w:val="single" w:sz="4" w:space="1" w:color="auto"/>
        <w:between w:val="single" w:sz="4" w:space="0" w:color="auto"/>
      </w:pBdr>
      <w:spacing w:after="60"/>
      <w:jc w:val="center"/>
      <w:rPr>
        <w:rFonts w:ascii="FrankRuehl" w:hAnsi="FrankRuehl" w:cs="FrankRuehl"/>
        <w:color w:val="000000"/>
      </w:rPr>
    </w:pPr>
    <w:r w:rsidRPr="00C308B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773F8" w14:textId="77777777" w:rsidR="00C308B0" w:rsidRDefault="00C308B0" w:rsidP="00C308B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C562F">
      <w:rPr>
        <w:rFonts w:ascii="FrankRuehl" w:hAnsi="FrankRuehl" w:cs="FrankRuehl"/>
        <w:noProof/>
        <w:rtl/>
      </w:rPr>
      <w:t>1</w:t>
    </w:r>
    <w:r>
      <w:rPr>
        <w:rFonts w:ascii="FrankRuehl" w:hAnsi="FrankRuehl" w:cs="FrankRuehl"/>
        <w:rtl/>
      </w:rPr>
      <w:fldChar w:fldCharType="end"/>
    </w:r>
  </w:p>
  <w:p w14:paraId="0548BFEC" w14:textId="77777777" w:rsidR="00D9732C" w:rsidRPr="00C308B0" w:rsidRDefault="00C308B0" w:rsidP="00C308B0">
    <w:pPr>
      <w:pStyle w:val="a5"/>
      <w:pBdr>
        <w:top w:val="single" w:sz="4" w:space="1" w:color="auto"/>
        <w:between w:val="single" w:sz="4" w:space="0" w:color="auto"/>
      </w:pBdr>
      <w:spacing w:after="60"/>
      <w:jc w:val="center"/>
      <w:rPr>
        <w:rFonts w:ascii="FrankRuehl" w:hAnsi="FrankRuehl" w:cs="FrankRuehl"/>
        <w:color w:val="000000"/>
      </w:rPr>
    </w:pPr>
    <w:r w:rsidRPr="00C308B0">
      <w:rPr>
        <w:rFonts w:ascii="FrankRuehl" w:hAnsi="FrankRuehl" w:cs="FrankRuehl"/>
        <w:color w:val="000000"/>
      </w:rPr>
      <w:pict w14:anchorId="614EDC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47D17E" w14:textId="77777777" w:rsidR="00DE696F" w:rsidRDefault="00DE696F" w:rsidP="003E4F90">
      <w:r>
        <w:separator/>
      </w:r>
    </w:p>
  </w:footnote>
  <w:footnote w:type="continuationSeparator" w:id="0">
    <w:p w14:paraId="1953FE41" w14:textId="77777777" w:rsidR="00DE696F" w:rsidRDefault="00DE696F" w:rsidP="003E4F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C4AD3" w14:textId="77777777" w:rsidR="004C7C09" w:rsidRPr="00C308B0" w:rsidRDefault="00C308B0" w:rsidP="00C308B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(חד') 29620-01-23</w:t>
    </w:r>
    <w:r>
      <w:rPr>
        <w:rFonts w:ascii="David" w:hAnsi="David"/>
        <w:color w:val="000000"/>
        <w:sz w:val="22"/>
        <w:szCs w:val="22"/>
        <w:rtl/>
      </w:rPr>
      <w:tab/>
      <w:t xml:space="preserve"> מדינת ישראל נ' אחמד מחאמיד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90E5E" w14:textId="77777777" w:rsidR="004C7C09" w:rsidRPr="00C308B0" w:rsidRDefault="00C308B0" w:rsidP="00C308B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(חד') 29620-01-23</w:t>
    </w:r>
    <w:r>
      <w:rPr>
        <w:rFonts w:ascii="David" w:hAnsi="David"/>
        <w:color w:val="000000"/>
        <w:sz w:val="22"/>
        <w:szCs w:val="22"/>
        <w:rtl/>
      </w:rPr>
      <w:tab/>
      <w:t xml:space="preserve"> מדינת ישראל נ' אחמד מחאמיד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720" w:hanging="360"/>
      </w:pPr>
      <w:rPr>
        <w:rFonts w:ascii="Symbol" w:hAnsi="Symbol" w:hint="default"/>
      </w:rPr>
    </w:lvl>
    <w:lvl w:ilvl="1" w:tplc="D0AE272C">
      <w:start w:val="1"/>
      <w:numFmt w:val="bullet"/>
      <w:lvlText w:val="o"/>
      <w:lvlJc w:val="left"/>
      <w:pPr>
        <w:ind w:left="1440" w:hanging="360"/>
      </w:pPr>
      <w:rPr>
        <w:rFonts w:ascii="Courier New" w:hAnsi="Courier New" w:cs="Courier New" w:hint="default"/>
      </w:rPr>
    </w:lvl>
    <w:lvl w:ilvl="2" w:tplc="4CE8AFEC">
      <w:start w:val="1"/>
      <w:numFmt w:val="bullet"/>
      <w:lvlText w:val=""/>
      <w:lvlJc w:val="left"/>
      <w:pPr>
        <w:ind w:left="2160" w:hanging="360"/>
      </w:pPr>
      <w:rPr>
        <w:rFonts w:ascii="Wingdings" w:hAnsi="Wingdings" w:hint="default"/>
      </w:rPr>
    </w:lvl>
    <w:lvl w:ilvl="3" w:tplc="66DC63D4">
      <w:start w:val="1"/>
      <w:numFmt w:val="bullet"/>
      <w:lvlText w:val=""/>
      <w:lvlJc w:val="left"/>
      <w:pPr>
        <w:ind w:left="2880" w:hanging="360"/>
      </w:pPr>
      <w:rPr>
        <w:rFonts w:ascii="Symbol" w:hAnsi="Symbol" w:hint="default"/>
      </w:rPr>
    </w:lvl>
    <w:lvl w:ilvl="4" w:tplc="39E8D01E">
      <w:start w:val="1"/>
      <w:numFmt w:val="bullet"/>
      <w:lvlText w:val="o"/>
      <w:lvlJc w:val="left"/>
      <w:pPr>
        <w:ind w:left="3600" w:hanging="360"/>
      </w:pPr>
      <w:rPr>
        <w:rFonts w:ascii="Courier New" w:hAnsi="Courier New" w:cs="Courier New" w:hint="default"/>
      </w:rPr>
    </w:lvl>
    <w:lvl w:ilvl="5" w:tplc="A17A33F8">
      <w:start w:val="1"/>
      <w:numFmt w:val="bullet"/>
      <w:lvlText w:val=""/>
      <w:lvlJc w:val="left"/>
      <w:pPr>
        <w:ind w:left="4320" w:hanging="360"/>
      </w:pPr>
      <w:rPr>
        <w:rFonts w:ascii="Wingdings" w:hAnsi="Wingdings" w:hint="default"/>
      </w:rPr>
    </w:lvl>
    <w:lvl w:ilvl="6" w:tplc="32B25C30">
      <w:start w:val="1"/>
      <w:numFmt w:val="bullet"/>
      <w:lvlText w:val=""/>
      <w:lvlJc w:val="left"/>
      <w:pPr>
        <w:ind w:left="5040" w:hanging="360"/>
      </w:pPr>
      <w:rPr>
        <w:rFonts w:ascii="Symbol" w:hAnsi="Symbol" w:hint="default"/>
      </w:rPr>
    </w:lvl>
    <w:lvl w:ilvl="7" w:tplc="117C14FE">
      <w:start w:val="1"/>
      <w:numFmt w:val="bullet"/>
      <w:lvlText w:val="o"/>
      <w:lvlJc w:val="left"/>
      <w:pPr>
        <w:ind w:left="5760" w:hanging="360"/>
      </w:pPr>
      <w:rPr>
        <w:rFonts w:ascii="Courier New" w:hAnsi="Courier New" w:cs="Courier New" w:hint="default"/>
      </w:rPr>
    </w:lvl>
    <w:lvl w:ilvl="8" w:tplc="A12A52C8">
      <w:start w:val="1"/>
      <w:numFmt w:val="bullet"/>
      <w:lvlText w:val=""/>
      <w:lvlJc w:val="left"/>
      <w:pPr>
        <w:ind w:left="6480" w:hanging="360"/>
      </w:pPr>
      <w:rPr>
        <w:rFonts w:ascii="Wingdings" w:hAnsi="Wingdings" w:hint="default"/>
      </w:rPr>
    </w:lvl>
  </w:abstractNum>
  <w:abstractNum w:abstractNumId="1" w15:restartNumberingAfterBreak="0">
    <w:nsid w:val="25F142EC"/>
    <w:multiLevelType w:val="hybridMultilevel"/>
    <w:tmpl w:val="1F7E8BAE"/>
    <w:lvl w:ilvl="0" w:tplc="AF140C6C">
      <w:start w:val="1"/>
      <w:numFmt w:val="decimal"/>
      <w:lvlText w:val="%1."/>
      <w:lvlJc w:val="left"/>
      <w:pPr>
        <w:ind w:left="1080" w:hanging="720"/>
      </w:pPr>
      <w:rPr>
        <w:rFonts w:cs="Times New Roman"/>
      </w:rPr>
    </w:lvl>
    <w:lvl w:ilvl="1" w:tplc="FD7666A2">
      <w:start w:val="1"/>
      <w:numFmt w:val="lowerLetter"/>
      <w:lvlText w:val="%2."/>
      <w:lvlJc w:val="left"/>
      <w:pPr>
        <w:ind w:left="1440" w:hanging="360"/>
      </w:pPr>
      <w:rPr>
        <w:rFonts w:cs="Times New Roman"/>
      </w:rPr>
    </w:lvl>
    <w:lvl w:ilvl="2" w:tplc="D16C9D6A">
      <w:start w:val="1"/>
      <w:numFmt w:val="lowerRoman"/>
      <w:lvlText w:val="%3."/>
      <w:lvlJc w:val="right"/>
      <w:pPr>
        <w:ind w:left="2160" w:hanging="180"/>
      </w:pPr>
      <w:rPr>
        <w:rFonts w:cs="Times New Roman"/>
      </w:rPr>
    </w:lvl>
    <w:lvl w:ilvl="3" w:tplc="6A304C82">
      <w:start w:val="1"/>
      <w:numFmt w:val="decimal"/>
      <w:lvlText w:val="%4."/>
      <w:lvlJc w:val="left"/>
      <w:pPr>
        <w:ind w:left="2880" w:hanging="360"/>
      </w:pPr>
      <w:rPr>
        <w:rFonts w:cs="Times New Roman"/>
      </w:rPr>
    </w:lvl>
    <w:lvl w:ilvl="4" w:tplc="A4C6F1B0">
      <w:start w:val="1"/>
      <w:numFmt w:val="lowerLetter"/>
      <w:lvlText w:val="%5."/>
      <w:lvlJc w:val="left"/>
      <w:pPr>
        <w:ind w:left="3600" w:hanging="360"/>
      </w:pPr>
      <w:rPr>
        <w:rFonts w:cs="Times New Roman"/>
      </w:rPr>
    </w:lvl>
    <w:lvl w:ilvl="5" w:tplc="AA7A97A8">
      <w:start w:val="1"/>
      <w:numFmt w:val="lowerRoman"/>
      <w:lvlText w:val="%6."/>
      <w:lvlJc w:val="right"/>
      <w:pPr>
        <w:ind w:left="4320" w:hanging="180"/>
      </w:pPr>
      <w:rPr>
        <w:rFonts w:cs="Times New Roman"/>
      </w:rPr>
    </w:lvl>
    <w:lvl w:ilvl="6" w:tplc="B4BAB1C4">
      <w:start w:val="1"/>
      <w:numFmt w:val="decimal"/>
      <w:lvlText w:val="%7."/>
      <w:lvlJc w:val="left"/>
      <w:pPr>
        <w:ind w:left="5040" w:hanging="360"/>
      </w:pPr>
      <w:rPr>
        <w:rFonts w:cs="Times New Roman"/>
      </w:rPr>
    </w:lvl>
    <w:lvl w:ilvl="7" w:tplc="5E5A3302">
      <w:start w:val="1"/>
      <w:numFmt w:val="lowerLetter"/>
      <w:lvlText w:val="%8."/>
      <w:lvlJc w:val="left"/>
      <w:pPr>
        <w:ind w:left="5760" w:hanging="360"/>
      </w:pPr>
      <w:rPr>
        <w:rFonts w:cs="Times New Roman"/>
      </w:rPr>
    </w:lvl>
    <w:lvl w:ilvl="8" w:tplc="4B6849C4">
      <w:start w:val="1"/>
      <w:numFmt w:val="lowerRoman"/>
      <w:lvlText w:val="%9."/>
      <w:lvlJc w:val="right"/>
      <w:pPr>
        <w:ind w:left="6480" w:hanging="180"/>
      </w:pPr>
      <w:rPr>
        <w:rFonts w:cs="Times New Roman"/>
      </w:rPr>
    </w:lvl>
  </w:abstractNum>
  <w:num w:numId="1" w16cid:durableId="14405629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5716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7583E"/>
    <w:rsid w:val="00020349"/>
    <w:rsid w:val="00270F87"/>
    <w:rsid w:val="003E4F90"/>
    <w:rsid w:val="004C7C09"/>
    <w:rsid w:val="00676A8F"/>
    <w:rsid w:val="006C5673"/>
    <w:rsid w:val="0097583E"/>
    <w:rsid w:val="009A4E4C"/>
    <w:rsid w:val="00BC562F"/>
    <w:rsid w:val="00C308B0"/>
    <w:rsid w:val="00C837D3"/>
    <w:rsid w:val="00CE4761"/>
    <w:rsid w:val="00D9732C"/>
    <w:rsid w:val="00DE696F"/>
    <w:rsid w:val="00F438FA"/>
    <w:rsid w:val="00FA22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83CCE4"/>
  <w15:chartTrackingRefBased/>
  <w15:docId w15:val="{7488DE48-FCA0-434F-B04A-888A8225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7583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7583E"/>
    <w:pPr>
      <w:tabs>
        <w:tab w:val="center" w:pos="4153"/>
        <w:tab w:val="right" w:pos="8306"/>
      </w:tabs>
    </w:pPr>
  </w:style>
  <w:style w:type="character" w:customStyle="1" w:styleId="a4">
    <w:name w:val="כותרת עליונה תו"/>
    <w:link w:val="a3"/>
    <w:rsid w:val="0097583E"/>
    <w:rPr>
      <w:rFonts w:ascii="Times New Roman" w:eastAsia="Times New Roman" w:hAnsi="Times New Roman" w:cs="David"/>
      <w:sz w:val="24"/>
      <w:szCs w:val="24"/>
    </w:rPr>
  </w:style>
  <w:style w:type="paragraph" w:styleId="a5">
    <w:name w:val="footer"/>
    <w:basedOn w:val="a"/>
    <w:link w:val="a6"/>
    <w:rsid w:val="0097583E"/>
    <w:pPr>
      <w:tabs>
        <w:tab w:val="center" w:pos="4153"/>
        <w:tab w:val="right" w:pos="8306"/>
      </w:tabs>
    </w:pPr>
  </w:style>
  <w:style w:type="character" w:customStyle="1" w:styleId="a6">
    <w:name w:val="כותרת תחתונה תו"/>
    <w:link w:val="a5"/>
    <w:rsid w:val="0097583E"/>
    <w:rPr>
      <w:rFonts w:ascii="Times New Roman" w:eastAsia="Times New Roman" w:hAnsi="Times New Roman" w:cs="David"/>
      <w:sz w:val="24"/>
      <w:szCs w:val="24"/>
    </w:rPr>
  </w:style>
  <w:style w:type="table" w:styleId="a7">
    <w:name w:val="Table Grid"/>
    <w:basedOn w:val="a1"/>
    <w:rsid w:val="0097583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7583E"/>
  </w:style>
  <w:style w:type="table" w:customStyle="1" w:styleId="1">
    <w:name w:val="רשת טבלה1"/>
    <w:basedOn w:val="a1"/>
    <w:next w:val="a7"/>
    <w:rsid w:val="0097583E"/>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C7C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26931111" TargetMode="External"/><Relationship Id="rId21" Type="http://schemas.openxmlformats.org/officeDocument/2006/relationships/hyperlink" Target="http://www.nevo.co.il/law/70301/40e" TargetMode="External"/><Relationship Id="rId34" Type="http://schemas.openxmlformats.org/officeDocument/2006/relationships/hyperlink" Target="http://www.nevo.co.il/case/27925239" TargetMode="External"/><Relationship Id="rId42" Type="http://schemas.openxmlformats.org/officeDocument/2006/relationships/hyperlink" Target="http://www.nevo.co.il/case/26913995" TargetMode="External"/><Relationship Id="rId47" Type="http://schemas.openxmlformats.org/officeDocument/2006/relationships/hyperlink" Target="http://www.eca.gov.il" TargetMode="External"/><Relationship Id="rId50"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8883087" TargetMode="External"/><Relationship Id="rId37" Type="http://schemas.openxmlformats.org/officeDocument/2006/relationships/hyperlink" Target="http://www.nevo.co.il/case/29486731" TargetMode="External"/><Relationship Id="rId40" Type="http://schemas.openxmlformats.org/officeDocument/2006/relationships/hyperlink" Target="http://www.nevo.co.il/case/27693610" TargetMode="External"/><Relationship Id="rId45" Type="http://schemas.openxmlformats.org/officeDocument/2006/relationships/hyperlink" Target="http://www.nevo.co.il/case/26888657"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70301/40i" TargetMode="External"/><Relationship Id="rId19" Type="http://schemas.openxmlformats.org/officeDocument/2006/relationships/hyperlink" Target="http://www.nevo.co.il/law/70301/40ja" TargetMode="External"/><Relationship Id="rId31" Type="http://schemas.openxmlformats.org/officeDocument/2006/relationships/hyperlink" Target="http://www.nevo.co.il/case/28883087" TargetMode="External"/><Relationship Id="rId44" Type="http://schemas.openxmlformats.org/officeDocument/2006/relationships/hyperlink" Target="http://www.nevo.co.il/case/28378067"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e"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9591873" TargetMode="External"/><Relationship Id="rId27" Type="http://schemas.openxmlformats.org/officeDocument/2006/relationships/hyperlink" Target="http://www.nevo.co.il/case/27309272" TargetMode="External"/><Relationship Id="rId30" Type="http://schemas.openxmlformats.org/officeDocument/2006/relationships/hyperlink" Target="http://www.nevo.co.il/case/25824863" TargetMode="External"/><Relationship Id="rId35" Type="http://schemas.openxmlformats.org/officeDocument/2006/relationships/hyperlink" Target="http://www.nevo.co.il/case/25824863" TargetMode="External"/><Relationship Id="rId43" Type="http://schemas.openxmlformats.org/officeDocument/2006/relationships/hyperlink" Target="http://www.nevo.co.il/case/24263426"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70301/40d"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law/70301/40i" TargetMode="External"/><Relationship Id="rId25" Type="http://schemas.openxmlformats.org/officeDocument/2006/relationships/hyperlink" Target="http://www.nevo.co.il/case/28513828" TargetMode="External"/><Relationship Id="rId33" Type="http://schemas.openxmlformats.org/officeDocument/2006/relationships/hyperlink" Target="http://www.nevo.co.il/case/28697218" TargetMode="External"/><Relationship Id="rId38" Type="http://schemas.openxmlformats.org/officeDocument/2006/relationships/hyperlink" Target="http://www.nevo.co.il/case/26383419" TargetMode="External"/><Relationship Id="rId46" Type="http://schemas.openxmlformats.org/officeDocument/2006/relationships/hyperlink" Target="http://www.nevo.co.il/law/70301" TargetMode="External"/><Relationship Id="rId20" Type="http://schemas.openxmlformats.org/officeDocument/2006/relationships/hyperlink" Target="http://www.nevo.co.il/law/70301/40d" TargetMode="External"/><Relationship Id="rId41" Type="http://schemas.openxmlformats.org/officeDocument/2006/relationships/hyperlink" Target="http://www.nevo.co.il/case/27648787"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case/27693610" TargetMode="External"/><Relationship Id="rId28" Type="http://schemas.openxmlformats.org/officeDocument/2006/relationships/hyperlink" Target="http://www.nevo.co.il/safrut/bookgroup/412" TargetMode="External"/><Relationship Id="rId36" Type="http://schemas.openxmlformats.org/officeDocument/2006/relationships/hyperlink" Target="http://www.nevo.co.il/case/26442335"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3620</Words>
  <Characters>18103</Characters>
  <Application>Microsoft Office Word</Application>
  <DocSecurity>0</DocSecurity>
  <Lines>150</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21680</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7864368</vt:i4>
      </vt:variant>
      <vt:variant>
        <vt:i4>123</vt:i4>
      </vt:variant>
      <vt:variant>
        <vt:i4>0</vt:i4>
      </vt:variant>
      <vt:variant>
        <vt:i4>5</vt:i4>
      </vt:variant>
      <vt:variant>
        <vt:lpwstr>http://www.eca.gov.il/</vt:lpwstr>
      </vt:variant>
      <vt:variant>
        <vt:lpwstr/>
      </vt:variant>
      <vt:variant>
        <vt:i4>7995492</vt:i4>
      </vt:variant>
      <vt:variant>
        <vt:i4>120</vt:i4>
      </vt:variant>
      <vt:variant>
        <vt:i4>0</vt:i4>
      </vt:variant>
      <vt:variant>
        <vt:i4>5</vt:i4>
      </vt:variant>
      <vt:variant>
        <vt:lpwstr>http://www.nevo.co.il/law/70301</vt:lpwstr>
      </vt:variant>
      <vt:variant>
        <vt:lpwstr/>
      </vt:variant>
      <vt:variant>
        <vt:i4>3604604</vt:i4>
      </vt:variant>
      <vt:variant>
        <vt:i4>117</vt:i4>
      </vt:variant>
      <vt:variant>
        <vt:i4>0</vt:i4>
      </vt:variant>
      <vt:variant>
        <vt:i4>5</vt:i4>
      </vt:variant>
      <vt:variant>
        <vt:lpwstr>http://www.nevo.co.il/case/26888657</vt:lpwstr>
      </vt:variant>
      <vt:variant>
        <vt:lpwstr/>
      </vt:variant>
      <vt:variant>
        <vt:i4>4128891</vt:i4>
      </vt:variant>
      <vt:variant>
        <vt:i4>114</vt:i4>
      </vt:variant>
      <vt:variant>
        <vt:i4>0</vt:i4>
      </vt:variant>
      <vt:variant>
        <vt:i4>5</vt:i4>
      </vt:variant>
      <vt:variant>
        <vt:lpwstr>http://www.nevo.co.il/case/28378067</vt:lpwstr>
      </vt:variant>
      <vt:variant>
        <vt:lpwstr/>
      </vt:variant>
      <vt:variant>
        <vt:i4>3211378</vt:i4>
      </vt:variant>
      <vt:variant>
        <vt:i4>111</vt:i4>
      </vt:variant>
      <vt:variant>
        <vt:i4>0</vt:i4>
      </vt:variant>
      <vt:variant>
        <vt:i4>5</vt:i4>
      </vt:variant>
      <vt:variant>
        <vt:lpwstr>http://www.nevo.co.il/case/24263426</vt:lpwstr>
      </vt:variant>
      <vt:variant>
        <vt:lpwstr/>
      </vt:variant>
      <vt:variant>
        <vt:i4>3211386</vt:i4>
      </vt:variant>
      <vt:variant>
        <vt:i4>108</vt:i4>
      </vt:variant>
      <vt:variant>
        <vt:i4>0</vt:i4>
      </vt:variant>
      <vt:variant>
        <vt:i4>5</vt:i4>
      </vt:variant>
      <vt:variant>
        <vt:lpwstr>http://www.nevo.co.il/case/26913995</vt:lpwstr>
      </vt:variant>
      <vt:variant>
        <vt:lpwstr/>
      </vt:variant>
      <vt:variant>
        <vt:i4>3407984</vt:i4>
      </vt:variant>
      <vt:variant>
        <vt:i4>105</vt:i4>
      </vt:variant>
      <vt:variant>
        <vt:i4>0</vt:i4>
      </vt:variant>
      <vt:variant>
        <vt:i4>5</vt:i4>
      </vt:variant>
      <vt:variant>
        <vt:lpwstr>http://www.nevo.co.il/case/27648787</vt:lpwstr>
      </vt:variant>
      <vt:variant>
        <vt:lpwstr/>
      </vt:variant>
      <vt:variant>
        <vt:i4>3539068</vt:i4>
      </vt:variant>
      <vt:variant>
        <vt:i4>102</vt:i4>
      </vt:variant>
      <vt:variant>
        <vt:i4>0</vt:i4>
      </vt:variant>
      <vt:variant>
        <vt:i4>5</vt:i4>
      </vt:variant>
      <vt:variant>
        <vt:lpwstr>http://www.nevo.co.il/case/27693610</vt:lpwstr>
      </vt:variant>
      <vt:variant>
        <vt:lpwstr/>
      </vt:variant>
      <vt:variant>
        <vt:i4>3866736</vt:i4>
      </vt:variant>
      <vt:variant>
        <vt:i4>99</vt:i4>
      </vt:variant>
      <vt:variant>
        <vt:i4>0</vt:i4>
      </vt:variant>
      <vt:variant>
        <vt:i4>5</vt:i4>
      </vt:variant>
      <vt:variant>
        <vt:lpwstr>http://www.nevo.co.il/case/26931111</vt:lpwstr>
      </vt:variant>
      <vt:variant>
        <vt:lpwstr/>
      </vt:variant>
      <vt:variant>
        <vt:i4>3342462</vt:i4>
      </vt:variant>
      <vt:variant>
        <vt:i4>96</vt:i4>
      </vt:variant>
      <vt:variant>
        <vt:i4>0</vt:i4>
      </vt:variant>
      <vt:variant>
        <vt:i4>5</vt:i4>
      </vt:variant>
      <vt:variant>
        <vt:lpwstr>http://www.nevo.co.il/case/26383419</vt:lpwstr>
      </vt:variant>
      <vt:variant>
        <vt:lpwstr/>
      </vt:variant>
      <vt:variant>
        <vt:i4>3342450</vt:i4>
      </vt:variant>
      <vt:variant>
        <vt:i4>93</vt:i4>
      </vt:variant>
      <vt:variant>
        <vt:i4>0</vt:i4>
      </vt:variant>
      <vt:variant>
        <vt:i4>5</vt:i4>
      </vt:variant>
      <vt:variant>
        <vt:lpwstr>http://www.nevo.co.il/case/29486731</vt:lpwstr>
      </vt:variant>
      <vt:variant>
        <vt:lpwstr/>
      </vt:variant>
      <vt:variant>
        <vt:i4>3604597</vt:i4>
      </vt:variant>
      <vt:variant>
        <vt:i4>90</vt:i4>
      </vt:variant>
      <vt:variant>
        <vt:i4>0</vt:i4>
      </vt:variant>
      <vt:variant>
        <vt:i4>5</vt:i4>
      </vt:variant>
      <vt:variant>
        <vt:lpwstr>http://www.nevo.co.il/case/26442335</vt:lpwstr>
      </vt:variant>
      <vt:variant>
        <vt:lpwstr/>
      </vt:variant>
      <vt:variant>
        <vt:i4>3670139</vt:i4>
      </vt:variant>
      <vt:variant>
        <vt:i4>87</vt:i4>
      </vt:variant>
      <vt:variant>
        <vt:i4>0</vt:i4>
      </vt:variant>
      <vt:variant>
        <vt:i4>5</vt:i4>
      </vt:variant>
      <vt:variant>
        <vt:lpwstr>http://www.nevo.co.il/case/25824863</vt:lpwstr>
      </vt:variant>
      <vt:variant>
        <vt:lpwstr/>
      </vt:variant>
      <vt:variant>
        <vt:i4>3997811</vt:i4>
      </vt:variant>
      <vt:variant>
        <vt:i4>84</vt:i4>
      </vt:variant>
      <vt:variant>
        <vt:i4>0</vt:i4>
      </vt:variant>
      <vt:variant>
        <vt:i4>5</vt:i4>
      </vt:variant>
      <vt:variant>
        <vt:lpwstr>http://www.nevo.co.il/case/27925239</vt:lpwstr>
      </vt:variant>
      <vt:variant>
        <vt:lpwstr/>
      </vt:variant>
      <vt:variant>
        <vt:i4>3276919</vt:i4>
      </vt:variant>
      <vt:variant>
        <vt:i4>81</vt:i4>
      </vt:variant>
      <vt:variant>
        <vt:i4>0</vt:i4>
      </vt:variant>
      <vt:variant>
        <vt:i4>5</vt:i4>
      </vt:variant>
      <vt:variant>
        <vt:lpwstr>http://www.nevo.co.il/case/28697218</vt:lpwstr>
      </vt:variant>
      <vt:variant>
        <vt:lpwstr/>
      </vt:variant>
      <vt:variant>
        <vt:i4>3211380</vt:i4>
      </vt:variant>
      <vt:variant>
        <vt:i4>78</vt:i4>
      </vt:variant>
      <vt:variant>
        <vt:i4>0</vt:i4>
      </vt:variant>
      <vt:variant>
        <vt:i4>5</vt:i4>
      </vt:variant>
      <vt:variant>
        <vt:lpwstr>http://www.nevo.co.il/case/28883087</vt:lpwstr>
      </vt:variant>
      <vt:variant>
        <vt:lpwstr/>
      </vt:variant>
      <vt:variant>
        <vt:i4>3211380</vt:i4>
      </vt:variant>
      <vt:variant>
        <vt:i4>75</vt:i4>
      </vt:variant>
      <vt:variant>
        <vt:i4>0</vt:i4>
      </vt:variant>
      <vt:variant>
        <vt:i4>5</vt:i4>
      </vt:variant>
      <vt:variant>
        <vt:lpwstr>http://www.nevo.co.il/case/28883087</vt:lpwstr>
      </vt:variant>
      <vt:variant>
        <vt:lpwstr/>
      </vt:variant>
      <vt:variant>
        <vt:i4>3670139</vt:i4>
      </vt:variant>
      <vt:variant>
        <vt:i4>72</vt:i4>
      </vt:variant>
      <vt:variant>
        <vt:i4>0</vt:i4>
      </vt:variant>
      <vt:variant>
        <vt:i4>5</vt:i4>
      </vt:variant>
      <vt:variant>
        <vt:lpwstr>http://www.nevo.co.il/case/25824863</vt:lpwstr>
      </vt:variant>
      <vt:variant>
        <vt:lpwstr/>
      </vt:variant>
      <vt:variant>
        <vt:i4>7995492</vt:i4>
      </vt:variant>
      <vt:variant>
        <vt:i4>69</vt:i4>
      </vt:variant>
      <vt:variant>
        <vt:i4>0</vt:i4>
      </vt:variant>
      <vt:variant>
        <vt:i4>5</vt:i4>
      </vt:variant>
      <vt:variant>
        <vt:lpwstr>http://www.nevo.co.il/law/70301</vt:lpwstr>
      </vt:variant>
      <vt:variant>
        <vt:lpwstr/>
      </vt:variant>
      <vt:variant>
        <vt:i4>2097193</vt:i4>
      </vt:variant>
      <vt:variant>
        <vt:i4>66</vt:i4>
      </vt:variant>
      <vt:variant>
        <vt:i4>0</vt:i4>
      </vt:variant>
      <vt:variant>
        <vt:i4>5</vt:i4>
      </vt:variant>
      <vt:variant>
        <vt:lpwstr>http://www.nevo.co.il/safrut/bookgroup/412</vt:lpwstr>
      </vt:variant>
      <vt:variant>
        <vt:lpwstr/>
      </vt:variant>
      <vt:variant>
        <vt:i4>4128881</vt:i4>
      </vt:variant>
      <vt:variant>
        <vt:i4>63</vt:i4>
      </vt:variant>
      <vt:variant>
        <vt:i4>0</vt:i4>
      </vt:variant>
      <vt:variant>
        <vt:i4>5</vt:i4>
      </vt:variant>
      <vt:variant>
        <vt:lpwstr>http://www.nevo.co.il/case/27309272</vt:lpwstr>
      </vt:variant>
      <vt:variant>
        <vt:lpwstr/>
      </vt:variant>
      <vt:variant>
        <vt:i4>7995492</vt:i4>
      </vt:variant>
      <vt:variant>
        <vt:i4>60</vt:i4>
      </vt:variant>
      <vt:variant>
        <vt:i4>0</vt:i4>
      </vt:variant>
      <vt:variant>
        <vt:i4>5</vt:i4>
      </vt:variant>
      <vt:variant>
        <vt:lpwstr>http://www.nevo.co.il/law/70301</vt:lpwstr>
      </vt:variant>
      <vt:variant>
        <vt:lpwstr/>
      </vt:variant>
      <vt:variant>
        <vt:i4>3539061</vt:i4>
      </vt:variant>
      <vt:variant>
        <vt:i4>57</vt:i4>
      </vt:variant>
      <vt:variant>
        <vt:i4>0</vt:i4>
      </vt:variant>
      <vt:variant>
        <vt:i4>5</vt:i4>
      </vt:variant>
      <vt:variant>
        <vt:lpwstr>http://www.nevo.co.il/case/28513828</vt:lpwstr>
      </vt:variant>
      <vt:variant>
        <vt:lpwstr/>
      </vt:variant>
      <vt:variant>
        <vt:i4>7995492</vt:i4>
      </vt:variant>
      <vt:variant>
        <vt:i4>54</vt:i4>
      </vt:variant>
      <vt:variant>
        <vt:i4>0</vt:i4>
      </vt:variant>
      <vt:variant>
        <vt:i4>5</vt:i4>
      </vt:variant>
      <vt:variant>
        <vt:lpwstr>http://www.nevo.co.il/law/70301</vt:lpwstr>
      </vt:variant>
      <vt:variant>
        <vt:lpwstr/>
      </vt:variant>
      <vt:variant>
        <vt:i4>3539068</vt:i4>
      </vt:variant>
      <vt:variant>
        <vt:i4>51</vt:i4>
      </vt:variant>
      <vt:variant>
        <vt:i4>0</vt:i4>
      </vt:variant>
      <vt:variant>
        <vt:i4>5</vt:i4>
      </vt:variant>
      <vt:variant>
        <vt:lpwstr>http://www.nevo.co.il/case/27693610</vt:lpwstr>
      </vt:variant>
      <vt:variant>
        <vt:lpwstr/>
      </vt:variant>
      <vt:variant>
        <vt:i4>3211388</vt:i4>
      </vt:variant>
      <vt:variant>
        <vt:i4>48</vt:i4>
      </vt:variant>
      <vt:variant>
        <vt:i4>0</vt:i4>
      </vt:variant>
      <vt:variant>
        <vt:i4>5</vt:i4>
      </vt:variant>
      <vt:variant>
        <vt:lpwstr>http://www.nevo.co.il/case/29591873</vt:lpwstr>
      </vt:variant>
      <vt:variant>
        <vt:lpwstr/>
      </vt:variant>
      <vt:variant>
        <vt:i4>6619233</vt:i4>
      </vt:variant>
      <vt:variant>
        <vt:i4>45</vt:i4>
      </vt:variant>
      <vt:variant>
        <vt:i4>0</vt:i4>
      </vt:variant>
      <vt:variant>
        <vt:i4>5</vt:i4>
      </vt:variant>
      <vt:variant>
        <vt:lpwstr>http://www.nevo.co.il/law/70301/40e</vt:lpwstr>
      </vt:variant>
      <vt:variant>
        <vt:lpwstr/>
      </vt:variant>
      <vt:variant>
        <vt:i4>6619233</vt:i4>
      </vt:variant>
      <vt:variant>
        <vt:i4>42</vt:i4>
      </vt:variant>
      <vt:variant>
        <vt:i4>0</vt:i4>
      </vt:variant>
      <vt:variant>
        <vt:i4>5</vt:i4>
      </vt:variant>
      <vt:variant>
        <vt:lpwstr>http://www.nevo.co.il/law/70301/40d</vt:lpwstr>
      </vt:variant>
      <vt:variant>
        <vt:lpwstr/>
      </vt:variant>
      <vt:variant>
        <vt:i4>262155</vt:i4>
      </vt:variant>
      <vt:variant>
        <vt:i4>39</vt:i4>
      </vt:variant>
      <vt:variant>
        <vt:i4>0</vt:i4>
      </vt:variant>
      <vt:variant>
        <vt:i4>5</vt:i4>
      </vt:variant>
      <vt:variant>
        <vt:lpwstr>http://www.nevo.co.il/law/70301/40ja</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http://www.nevo.co.il/law/70301/40i</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http://www.nevo.co.il/law/70301/40e</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7995492</vt:i4>
      </vt:variant>
      <vt:variant>
        <vt:i4>3</vt:i4>
      </vt:variant>
      <vt:variant>
        <vt:i4>0</vt:i4>
      </vt:variant>
      <vt:variant>
        <vt:i4>5</vt:i4>
      </vt:variant>
      <vt:variant>
        <vt:lpwstr>http://www.nevo.co.il/law/70301</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2025-01-19T17:52:00Z</dcterms:created>
  <dcterms:modified xsi:type="dcterms:W3CDTF">2025-01-19T17:52:00Z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29620</vt:lpwstr>
  </property>
  <property fmtid="{D5CDD505-2E9C-101B-9397-08002B2CF9AE}" pid="6" name="NEWPARTB">
    <vt:lpwstr>01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אחמד מחאמיד</vt:lpwstr>
  </property>
  <property fmtid="{D5CDD505-2E9C-101B-9397-08002B2CF9AE}" pid="10" name="LAWYER">
    <vt:lpwstr>עמית אליתים;פאיז יונס</vt:lpwstr>
  </property>
  <property fmtid="{D5CDD505-2E9C-101B-9397-08002B2CF9AE}" pid="11" name="JUDGE">
    <vt:lpwstr>אלכס אחטר</vt:lpwstr>
  </property>
  <property fmtid="{D5CDD505-2E9C-101B-9397-08002B2CF9AE}" pid="12" name="CITY">
    <vt:lpwstr>חד'</vt:lpwstr>
  </property>
  <property fmtid="{D5CDD505-2E9C-101B-9397-08002B2CF9AE}" pid="13" name="DATE">
    <vt:lpwstr>20230531</vt:lpwstr>
  </property>
  <property fmtid="{D5CDD505-2E9C-101B-9397-08002B2CF9AE}" pid="14" name="TYPE_N_DATE">
    <vt:lpwstr>38020230531</vt:lpwstr>
  </property>
  <property fmtid="{D5CDD505-2E9C-101B-9397-08002B2CF9AE}" pid="15" name="WORDNUMPAGES">
    <vt:lpwstr>11</vt:lpwstr>
  </property>
  <property fmtid="{D5CDD505-2E9C-101B-9397-08002B2CF9AE}" pid="16" name="TYPE_ABS_DATE">
    <vt:lpwstr>380020230531</vt:lpwstr>
  </property>
  <property fmtid="{D5CDD505-2E9C-101B-9397-08002B2CF9AE}" pid="17" name="ISABSTRACT">
    <vt:lpwstr>Y</vt:lpwstr>
  </property>
  <property fmtid="{D5CDD505-2E9C-101B-9397-08002B2CF9AE}" pid="18" name="CASESLISTTMP1">
    <vt:lpwstr>29591873;27693610:2;28513828;27309272;25824863:2;28883087:2;28697218;27925239;26442335;29486731;26383419;26931111;27648787;26913995;24263426;28378067;26888657</vt:lpwstr>
  </property>
  <property fmtid="{D5CDD505-2E9C-101B-9397-08002B2CF9AE}" pid="19" name="BOOKGROUPTMP1">
    <vt:lpwstr>412</vt:lpwstr>
  </property>
  <property fmtid="{D5CDD505-2E9C-101B-9397-08002B2CF9AE}" pid="20" name="LAWLISTTMP1">
    <vt:lpwstr>70301/144.a:2;040i;40ja;040d;040e</vt:lpwstr>
  </property>
</Properties>
</file>