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54"/>
        <w:gridCol w:w="3569"/>
      </w:tblGrid>
      <w:tr w:rsidR="00A34797" w:rsidRPr="00693301" w14:paraId="3CE023D8" w14:textId="77777777" w:rsidTr="002A2CE6">
        <w:trPr>
          <w:trHeight w:hRule="exact" w:val="418"/>
          <w:jc w:val="center"/>
        </w:trPr>
        <w:tc>
          <w:tcPr>
            <w:tcW w:w="8523" w:type="dxa"/>
            <w:gridSpan w:val="2"/>
          </w:tcPr>
          <w:p w14:paraId="1B62EB0D" w14:textId="77777777" w:rsidR="00A34797" w:rsidRPr="00693301" w:rsidRDefault="00A34797" w:rsidP="001D442A">
            <w:pPr>
              <w:pStyle w:val="a3"/>
              <w:jc w:val="center"/>
              <w:rPr>
                <w:rFonts w:ascii="Tahoma" w:hAnsi="Tahoma" w:cs="Tahoma"/>
                <w:color w:val="000080"/>
                <w:rtl/>
              </w:rPr>
            </w:pPr>
            <w:bookmarkStart w:id="0" w:name="LastJudge"/>
            <w:r w:rsidRPr="00693301">
              <w:rPr>
                <w:rFonts w:ascii="Tahoma" w:hAnsi="Tahoma" w:cs="Tahoma"/>
                <w:b/>
                <w:bCs/>
                <w:color w:val="000080"/>
                <w:rtl/>
              </w:rPr>
              <w:t>בית משפט השלום בנתניה</w:t>
            </w:r>
          </w:p>
        </w:tc>
      </w:tr>
      <w:tr w:rsidR="00A34797" w:rsidRPr="00693301" w14:paraId="7C9250AD" w14:textId="77777777" w:rsidTr="002A2CE6">
        <w:trPr>
          <w:trHeight w:val="337"/>
          <w:jc w:val="center"/>
        </w:trPr>
        <w:tc>
          <w:tcPr>
            <w:tcW w:w="4954" w:type="dxa"/>
          </w:tcPr>
          <w:p w14:paraId="7DCBF24D" w14:textId="77777777" w:rsidR="00A34797" w:rsidRPr="00693301" w:rsidRDefault="00A34797" w:rsidP="001D442A">
            <w:pPr>
              <w:rPr>
                <w:rFonts w:cs="FrankRuehl"/>
                <w:sz w:val="28"/>
                <w:szCs w:val="28"/>
                <w:rtl/>
              </w:rPr>
            </w:pPr>
            <w:r w:rsidRPr="00693301">
              <w:rPr>
                <w:rFonts w:cs="FrankRuehl"/>
                <w:sz w:val="28"/>
                <w:szCs w:val="28"/>
                <w:rtl/>
              </w:rPr>
              <w:t>ת"פ</w:t>
            </w:r>
            <w:r w:rsidRPr="00693301">
              <w:rPr>
                <w:rFonts w:cs="FrankRuehl" w:hint="cs"/>
                <w:sz w:val="28"/>
                <w:szCs w:val="28"/>
                <w:rtl/>
              </w:rPr>
              <w:t xml:space="preserve"> </w:t>
            </w:r>
            <w:r w:rsidRPr="00693301">
              <w:rPr>
                <w:rFonts w:cs="FrankRuehl"/>
                <w:sz w:val="28"/>
                <w:szCs w:val="28"/>
                <w:rtl/>
              </w:rPr>
              <w:t>12493-02-23</w:t>
            </w:r>
            <w:r w:rsidRPr="00693301">
              <w:rPr>
                <w:rFonts w:cs="FrankRuehl" w:hint="cs"/>
                <w:sz w:val="28"/>
                <w:szCs w:val="28"/>
                <w:rtl/>
              </w:rPr>
              <w:t xml:space="preserve"> </w:t>
            </w:r>
            <w:r w:rsidRPr="00693301">
              <w:rPr>
                <w:rFonts w:cs="FrankRuehl"/>
                <w:sz w:val="28"/>
                <w:szCs w:val="28"/>
                <w:rtl/>
              </w:rPr>
              <w:t>מדינת ישראל נ' לימון(עציר)</w:t>
            </w:r>
            <w:r w:rsidRPr="00693301">
              <w:rPr>
                <w:rFonts w:cs="FrankRuehl"/>
                <w:sz w:val="28"/>
                <w:szCs w:val="28"/>
                <w:rtl/>
              </w:rPr>
              <w:br/>
            </w:r>
          </w:p>
        </w:tc>
        <w:tc>
          <w:tcPr>
            <w:tcW w:w="3569" w:type="dxa"/>
          </w:tcPr>
          <w:p w14:paraId="141B7633" w14:textId="77777777" w:rsidR="00A34797" w:rsidRPr="00693301" w:rsidRDefault="00A34797" w:rsidP="001D442A">
            <w:pPr>
              <w:pStyle w:val="a3"/>
              <w:jc w:val="right"/>
              <w:rPr>
                <w:rFonts w:cs="FrankRuehl"/>
                <w:sz w:val="28"/>
                <w:szCs w:val="28"/>
                <w:rtl/>
              </w:rPr>
            </w:pPr>
          </w:p>
        </w:tc>
      </w:tr>
    </w:tbl>
    <w:p w14:paraId="142DE800" w14:textId="77777777" w:rsidR="00A34797" w:rsidRPr="00693301" w:rsidRDefault="00A34797" w:rsidP="00A34797">
      <w:pPr>
        <w:pStyle w:val="a3"/>
        <w:rPr>
          <w:rtl/>
        </w:rPr>
      </w:pPr>
      <w:r w:rsidRPr="00693301">
        <w:rPr>
          <w:rFonts w:hint="cs"/>
          <w:rtl/>
        </w:rPr>
        <w:t xml:space="preserve"> </w:t>
      </w:r>
    </w:p>
    <w:p w14:paraId="4029F1E3" w14:textId="77777777" w:rsidR="00A34797" w:rsidRPr="00693301" w:rsidRDefault="00A34797" w:rsidP="00A34797">
      <w:pPr>
        <w:rPr>
          <w:rFonts w:ascii="David" w:hAnsi="David"/>
          <w:bCs/>
          <w:sz w:val="28"/>
          <w:szCs w:val="28"/>
          <w:rtl/>
        </w:rPr>
      </w:pPr>
    </w:p>
    <w:p w14:paraId="2431598C" w14:textId="77777777" w:rsidR="00A34797" w:rsidRPr="00693301" w:rsidRDefault="00A34797" w:rsidP="00A34797">
      <w:pPr>
        <w:rPr>
          <w:rFonts w:ascii="David" w:hAnsi="David"/>
          <w:bCs/>
          <w:sz w:val="28"/>
          <w:szCs w:val="28"/>
        </w:rPr>
      </w:pPr>
      <w:r w:rsidRPr="00693301">
        <w:rPr>
          <w:rFonts w:ascii="David" w:hAnsi="David"/>
          <w:bCs/>
          <w:sz w:val="28"/>
          <w:szCs w:val="28"/>
          <w:rtl/>
        </w:rPr>
        <w:softHyphen/>
      </w:r>
      <w:r w:rsidRPr="00693301">
        <w:rPr>
          <w:rFonts w:ascii="David" w:hAnsi="David"/>
          <w:bCs/>
          <w:sz w:val="28"/>
          <w:szCs w:val="28"/>
          <w:rtl/>
        </w:rPr>
        <w:softHyphen/>
        <w:t>לפני:</w:t>
      </w:r>
      <w:r w:rsidRPr="00693301">
        <w:rPr>
          <w:rFonts w:ascii="David" w:hAnsi="David"/>
          <w:bCs/>
          <w:sz w:val="28"/>
          <w:szCs w:val="28"/>
          <w:rtl/>
        </w:rPr>
        <w:tab/>
      </w:r>
      <w:r w:rsidRPr="00693301">
        <w:rPr>
          <w:rFonts w:ascii="David" w:hAnsi="David"/>
          <w:bCs/>
          <w:sz w:val="28"/>
          <w:szCs w:val="28"/>
          <w:rtl/>
        </w:rPr>
        <w:tab/>
      </w:r>
      <w:r w:rsidRPr="00693301">
        <w:rPr>
          <w:rFonts w:ascii="David" w:hAnsi="David"/>
          <w:bCs/>
          <w:sz w:val="28"/>
          <w:szCs w:val="28"/>
          <w:rtl/>
        </w:rPr>
        <w:tab/>
      </w:r>
      <w:r w:rsidRPr="00693301">
        <w:rPr>
          <w:rFonts w:ascii="David" w:hAnsi="David"/>
          <w:bCs/>
          <w:sz w:val="28"/>
          <w:szCs w:val="28"/>
          <w:rtl/>
        </w:rPr>
        <w:tab/>
        <w:t>כבוד השופט גיא אבנון</w:t>
      </w:r>
    </w:p>
    <w:p w14:paraId="14451FA9" w14:textId="77777777" w:rsidR="00A34797" w:rsidRPr="00693301" w:rsidRDefault="00A34797" w:rsidP="00A34797">
      <w:pPr>
        <w:rPr>
          <w:rFonts w:ascii="David" w:hAnsi="David"/>
          <w:bCs/>
          <w:sz w:val="28"/>
          <w:szCs w:val="28"/>
          <w:rtl/>
        </w:rPr>
      </w:pPr>
    </w:p>
    <w:p w14:paraId="3ADC5B08" w14:textId="77777777" w:rsidR="00A34797" w:rsidRPr="00693301" w:rsidRDefault="00A34797" w:rsidP="00A34797">
      <w:pPr>
        <w:rPr>
          <w:rFonts w:ascii="David" w:hAnsi="David"/>
          <w:bCs/>
          <w:sz w:val="28"/>
          <w:szCs w:val="28"/>
          <w:rtl/>
        </w:rPr>
      </w:pPr>
      <w:r w:rsidRPr="00693301">
        <w:rPr>
          <w:rFonts w:ascii="David" w:hAnsi="David"/>
          <w:bCs/>
          <w:sz w:val="28"/>
          <w:szCs w:val="28"/>
          <w:rtl/>
        </w:rPr>
        <w:t>ה</w:t>
      </w:r>
      <w:bookmarkStart w:id="1" w:name="FirstAppellant"/>
      <w:r w:rsidRPr="00693301">
        <w:rPr>
          <w:rFonts w:ascii="David" w:hAnsi="David"/>
          <w:bCs/>
          <w:sz w:val="28"/>
          <w:szCs w:val="28"/>
          <w:rtl/>
        </w:rPr>
        <w:t>מאשימ</w:t>
      </w:r>
      <w:bookmarkEnd w:id="1"/>
      <w:r w:rsidRPr="00693301">
        <w:rPr>
          <w:rFonts w:ascii="David" w:hAnsi="David"/>
          <w:bCs/>
          <w:sz w:val="28"/>
          <w:szCs w:val="28"/>
          <w:rtl/>
        </w:rPr>
        <w:t>ה:</w:t>
      </w:r>
      <w:r w:rsidRPr="00693301">
        <w:rPr>
          <w:rFonts w:ascii="David" w:hAnsi="David"/>
          <w:bCs/>
          <w:sz w:val="28"/>
          <w:szCs w:val="28"/>
          <w:rtl/>
        </w:rPr>
        <w:tab/>
      </w:r>
      <w:r w:rsidRPr="00693301">
        <w:rPr>
          <w:rFonts w:ascii="David" w:hAnsi="David"/>
          <w:bCs/>
          <w:sz w:val="28"/>
          <w:szCs w:val="28"/>
          <w:rtl/>
        </w:rPr>
        <w:tab/>
      </w:r>
      <w:r w:rsidRPr="00693301">
        <w:rPr>
          <w:rFonts w:ascii="David" w:hAnsi="David"/>
          <w:bCs/>
          <w:sz w:val="28"/>
          <w:szCs w:val="28"/>
          <w:rtl/>
        </w:rPr>
        <w:tab/>
        <w:t>מדינת ישראל</w:t>
      </w:r>
    </w:p>
    <w:p w14:paraId="329D0412" w14:textId="77777777" w:rsidR="00A34797" w:rsidRPr="00693301" w:rsidRDefault="00A34797" w:rsidP="00A34797">
      <w:pPr>
        <w:rPr>
          <w:rFonts w:ascii="David" w:hAnsi="David"/>
          <w:bCs/>
          <w:sz w:val="28"/>
          <w:szCs w:val="28"/>
          <w:rtl/>
        </w:rPr>
      </w:pPr>
      <w:r w:rsidRPr="00693301">
        <w:rPr>
          <w:rFonts w:ascii="David" w:hAnsi="David"/>
          <w:bCs/>
          <w:sz w:val="28"/>
          <w:szCs w:val="28"/>
          <w:rtl/>
        </w:rPr>
        <w:tab/>
      </w:r>
      <w:r w:rsidRPr="00693301">
        <w:rPr>
          <w:rFonts w:ascii="David" w:hAnsi="David"/>
          <w:bCs/>
          <w:sz w:val="28"/>
          <w:szCs w:val="28"/>
          <w:rtl/>
        </w:rPr>
        <w:tab/>
      </w:r>
      <w:r w:rsidRPr="00693301">
        <w:rPr>
          <w:rFonts w:ascii="David" w:hAnsi="David"/>
          <w:bCs/>
          <w:sz w:val="28"/>
          <w:szCs w:val="28"/>
          <w:rtl/>
        </w:rPr>
        <w:tab/>
      </w:r>
      <w:r w:rsidRPr="00693301">
        <w:rPr>
          <w:rFonts w:ascii="David" w:hAnsi="David"/>
          <w:bCs/>
          <w:sz w:val="28"/>
          <w:szCs w:val="28"/>
          <w:rtl/>
        </w:rPr>
        <w:tab/>
        <w:t>באמצעות תביעות מרכז – שלוחת נתניה</w:t>
      </w:r>
    </w:p>
    <w:p w14:paraId="4CB1E8ED" w14:textId="77777777" w:rsidR="00A34797" w:rsidRPr="00693301" w:rsidRDefault="00A34797" w:rsidP="00A34797">
      <w:pPr>
        <w:rPr>
          <w:rFonts w:ascii="David" w:hAnsi="David"/>
          <w:bCs/>
          <w:sz w:val="28"/>
          <w:szCs w:val="28"/>
          <w:rtl/>
        </w:rPr>
      </w:pPr>
    </w:p>
    <w:p w14:paraId="6041A363" w14:textId="77777777" w:rsidR="00A34797" w:rsidRPr="00693301" w:rsidRDefault="00A34797" w:rsidP="00A34797">
      <w:pPr>
        <w:rPr>
          <w:rFonts w:ascii="David" w:hAnsi="David"/>
          <w:bCs/>
          <w:sz w:val="28"/>
          <w:szCs w:val="28"/>
          <w:rtl/>
        </w:rPr>
      </w:pPr>
      <w:r w:rsidRPr="00693301">
        <w:rPr>
          <w:rFonts w:ascii="David" w:hAnsi="David"/>
          <w:bCs/>
          <w:sz w:val="28"/>
          <w:szCs w:val="28"/>
          <w:rtl/>
        </w:rPr>
        <w:tab/>
      </w:r>
      <w:r w:rsidRPr="00693301">
        <w:rPr>
          <w:rFonts w:ascii="David" w:hAnsi="David"/>
          <w:bCs/>
          <w:sz w:val="28"/>
          <w:szCs w:val="28"/>
          <w:rtl/>
        </w:rPr>
        <w:tab/>
      </w:r>
      <w:r w:rsidRPr="00693301">
        <w:rPr>
          <w:rFonts w:ascii="David" w:hAnsi="David"/>
          <w:bCs/>
          <w:sz w:val="28"/>
          <w:szCs w:val="28"/>
          <w:rtl/>
        </w:rPr>
        <w:tab/>
      </w:r>
      <w:r w:rsidRPr="00693301">
        <w:rPr>
          <w:rFonts w:ascii="David" w:hAnsi="David"/>
          <w:bCs/>
          <w:sz w:val="28"/>
          <w:szCs w:val="28"/>
          <w:rtl/>
        </w:rPr>
        <w:tab/>
      </w:r>
      <w:r w:rsidRPr="00693301">
        <w:rPr>
          <w:rFonts w:ascii="David" w:hAnsi="David"/>
          <w:bCs/>
          <w:sz w:val="28"/>
          <w:szCs w:val="28"/>
          <w:rtl/>
        </w:rPr>
        <w:tab/>
      </w:r>
      <w:r w:rsidRPr="00693301">
        <w:rPr>
          <w:rFonts w:ascii="David" w:hAnsi="David"/>
          <w:bCs/>
          <w:sz w:val="28"/>
          <w:szCs w:val="28"/>
          <w:rtl/>
        </w:rPr>
        <w:tab/>
        <w:t>נ ג ד</w:t>
      </w:r>
    </w:p>
    <w:p w14:paraId="5125FE41" w14:textId="77777777" w:rsidR="00A34797" w:rsidRPr="00693301" w:rsidRDefault="00A34797" w:rsidP="00A34797">
      <w:pPr>
        <w:rPr>
          <w:rFonts w:ascii="David" w:hAnsi="David"/>
          <w:bCs/>
          <w:sz w:val="28"/>
          <w:szCs w:val="28"/>
          <w:rtl/>
        </w:rPr>
      </w:pPr>
    </w:p>
    <w:p w14:paraId="3997F608" w14:textId="77777777" w:rsidR="00A34797" w:rsidRPr="00693301" w:rsidRDefault="00A34797" w:rsidP="00A34797">
      <w:pPr>
        <w:rPr>
          <w:rFonts w:ascii="David" w:hAnsi="David"/>
          <w:bCs/>
          <w:sz w:val="28"/>
          <w:szCs w:val="28"/>
          <w:rtl/>
        </w:rPr>
      </w:pPr>
      <w:r w:rsidRPr="00693301">
        <w:rPr>
          <w:rFonts w:ascii="David" w:hAnsi="David"/>
          <w:bCs/>
          <w:sz w:val="28"/>
          <w:szCs w:val="28"/>
          <w:rtl/>
        </w:rPr>
        <w:t>הנאשם:</w:t>
      </w:r>
      <w:r w:rsidRPr="00693301">
        <w:rPr>
          <w:rFonts w:ascii="David" w:hAnsi="David"/>
          <w:bCs/>
          <w:sz w:val="28"/>
          <w:szCs w:val="28"/>
          <w:rtl/>
        </w:rPr>
        <w:tab/>
      </w:r>
      <w:r w:rsidRPr="00693301">
        <w:rPr>
          <w:rFonts w:ascii="David" w:hAnsi="David"/>
          <w:bCs/>
          <w:sz w:val="28"/>
          <w:szCs w:val="28"/>
          <w:rtl/>
        </w:rPr>
        <w:tab/>
      </w:r>
      <w:r w:rsidRPr="00693301">
        <w:rPr>
          <w:rFonts w:ascii="David" w:hAnsi="David"/>
          <w:bCs/>
          <w:sz w:val="28"/>
          <w:szCs w:val="28"/>
          <w:rtl/>
        </w:rPr>
        <w:tab/>
        <w:t xml:space="preserve">מאגד לימון </w:t>
      </w:r>
    </w:p>
    <w:p w14:paraId="15C65265" w14:textId="77777777" w:rsidR="00A34797" w:rsidRPr="00693301" w:rsidRDefault="00A34797" w:rsidP="00A34797">
      <w:pPr>
        <w:rPr>
          <w:rFonts w:ascii="David" w:hAnsi="David"/>
          <w:bCs/>
          <w:sz w:val="28"/>
          <w:szCs w:val="28"/>
          <w:rtl/>
        </w:rPr>
      </w:pPr>
    </w:p>
    <w:p w14:paraId="7453BD16" w14:textId="77777777" w:rsidR="00A34797" w:rsidRPr="00693301" w:rsidRDefault="00A34797" w:rsidP="00A34797">
      <w:pPr>
        <w:rPr>
          <w:rFonts w:ascii="David" w:hAnsi="David"/>
          <w:b/>
          <w:sz w:val="28"/>
          <w:szCs w:val="28"/>
          <w:rtl/>
        </w:rPr>
      </w:pPr>
      <w:bookmarkStart w:id="2" w:name="FirstLawyer"/>
      <w:r w:rsidRPr="00693301">
        <w:rPr>
          <w:rFonts w:ascii="David" w:hAnsi="David"/>
          <w:b/>
          <w:sz w:val="28"/>
          <w:szCs w:val="28"/>
          <w:rtl/>
        </w:rPr>
        <w:t>בשם</w:t>
      </w:r>
      <w:bookmarkEnd w:id="2"/>
      <w:r w:rsidRPr="00693301">
        <w:rPr>
          <w:rFonts w:ascii="David" w:hAnsi="David"/>
          <w:b/>
          <w:sz w:val="28"/>
          <w:szCs w:val="28"/>
          <w:rtl/>
        </w:rPr>
        <w:t xml:space="preserve"> המאשימה:</w:t>
      </w:r>
      <w:r w:rsidRPr="00693301">
        <w:rPr>
          <w:rFonts w:ascii="David" w:hAnsi="David"/>
          <w:b/>
          <w:sz w:val="28"/>
          <w:szCs w:val="28"/>
          <w:rtl/>
        </w:rPr>
        <w:tab/>
      </w:r>
      <w:r w:rsidRPr="00693301">
        <w:rPr>
          <w:rFonts w:ascii="David" w:hAnsi="David"/>
          <w:b/>
          <w:sz w:val="28"/>
          <w:szCs w:val="28"/>
          <w:rtl/>
        </w:rPr>
        <w:tab/>
        <w:t>עו"ד שני מלול</w:t>
      </w:r>
    </w:p>
    <w:p w14:paraId="4B89F15F" w14:textId="77777777" w:rsidR="00A34797" w:rsidRPr="00693301" w:rsidRDefault="00A34797" w:rsidP="00A34797">
      <w:pPr>
        <w:rPr>
          <w:rFonts w:ascii="David" w:hAnsi="David"/>
          <w:bCs/>
          <w:sz w:val="28"/>
          <w:szCs w:val="28"/>
          <w:rtl/>
        </w:rPr>
      </w:pPr>
      <w:r w:rsidRPr="00693301">
        <w:rPr>
          <w:rFonts w:ascii="David" w:hAnsi="David"/>
          <w:b/>
          <w:sz w:val="28"/>
          <w:szCs w:val="28"/>
          <w:rtl/>
        </w:rPr>
        <w:t>בשם הנאשם:</w:t>
      </w:r>
      <w:r w:rsidRPr="00693301">
        <w:rPr>
          <w:rFonts w:ascii="David" w:hAnsi="David"/>
          <w:b/>
          <w:sz w:val="28"/>
          <w:szCs w:val="28"/>
          <w:rtl/>
        </w:rPr>
        <w:tab/>
      </w:r>
      <w:r w:rsidRPr="00693301">
        <w:rPr>
          <w:rFonts w:ascii="David" w:hAnsi="David"/>
          <w:b/>
          <w:sz w:val="28"/>
          <w:szCs w:val="28"/>
          <w:rtl/>
        </w:rPr>
        <w:tab/>
      </w:r>
      <w:r w:rsidRPr="00693301">
        <w:rPr>
          <w:rFonts w:ascii="David" w:hAnsi="David"/>
          <w:b/>
          <w:sz w:val="28"/>
          <w:szCs w:val="28"/>
          <w:rtl/>
        </w:rPr>
        <w:tab/>
        <w:t>עו"ד מואנס יונס</w:t>
      </w:r>
    </w:p>
    <w:p w14:paraId="05FDB76F" w14:textId="77777777" w:rsidR="00693301" w:rsidRPr="00693301" w:rsidRDefault="00693301" w:rsidP="00693301">
      <w:pPr>
        <w:spacing w:before="120" w:after="120" w:line="240" w:lineRule="exact"/>
        <w:ind w:left="283" w:hanging="283"/>
        <w:jc w:val="both"/>
        <w:rPr>
          <w:rFonts w:ascii="FrankRuehl" w:hAnsi="FrankRuehl" w:cs="FrankRuehl"/>
          <w:rtl/>
        </w:rPr>
      </w:pPr>
    </w:p>
    <w:p w14:paraId="7172E2B5" w14:textId="77777777" w:rsidR="001C6075" w:rsidRPr="001C6075" w:rsidRDefault="001C6075" w:rsidP="001C6075">
      <w:pPr>
        <w:spacing w:before="120" w:after="120" w:line="240" w:lineRule="exact"/>
        <w:ind w:left="283" w:hanging="283"/>
        <w:jc w:val="both"/>
        <w:rPr>
          <w:rFonts w:ascii="FrankRuehl" w:hAnsi="FrankRuehl" w:cs="FrankRuehl"/>
          <w:rtl/>
        </w:rPr>
      </w:pPr>
    </w:p>
    <w:p w14:paraId="5F701B3C" w14:textId="77777777" w:rsidR="00290086" w:rsidRDefault="00290086" w:rsidP="00290086">
      <w:pPr>
        <w:spacing w:line="360" w:lineRule="auto"/>
        <w:jc w:val="center"/>
        <w:rPr>
          <w:rFonts w:ascii="David" w:hAnsi="David"/>
          <w:sz w:val="28"/>
          <w:szCs w:val="28"/>
          <w:rtl/>
        </w:rPr>
      </w:pPr>
      <w:bookmarkStart w:id="3" w:name="LawTable"/>
      <w:bookmarkEnd w:id="3"/>
    </w:p>
    <w:p w14:paraId="6AD1B2C6" w14:textId="77777777" w:rsidR="00290086" w:rsidRPr="00290086" w:rsidRDefault="00290086" w:rsidP="00290086">
      <w:pPr>
        <w:spacing w:before="120" w:after="120" w:line="240" w:lineRule="exact"/>
        <w:ind w:left="283" w:hanging="283"/>
        <w:jc w:val="both"/>
        <w:rPr>
          <w:rFonts w:ascii="FrankRuehl" w:hAnsi="FrankRuehl" w:cs="FrankRuehl"/>
          <w:rtl/>
        </w:rPr>
      </w:pPr>
    </w:p>
    <w:p w14:paraId="09C437F1" w14:textId="77777777" w:rsidR="00290086" w:rsidRPr="00290086" w:rsidRDefault="00290086" w:rsidP="00290086">
      <w:pPr>
        <w:spacing w:before="120" w:after="120" w:line="240" w:lineRule="exact"/>
        <w:ind w:left="283" w:hanging="283"/>
        <w:jc w:val="both"/>
        <w:rPr>
          <w:rFonts w:ascii="FrankRuehl" w:hAnsi="FrankRuehl" w:cs="FrankRuehl"/>
          <w:rtl/>
        </w:rPr>
      </w:pPr>
    </w:p>
    <w:p w14:paraId="47A2BC24" w14:textId="77777777" w:rsidR="00290086" w:rsidRPr="00290086" w:rsidRDefault="00290086" w:rsidP="00290086">
      <w:pPr>
        <w:spacing w:before="120" w:after="120" w:line="240" w:lineRule="exact"/>
        <w:ind w:left="283" w:hanging="283"/>
        <w:jc w:val="both"/>
        <w:rPr>
          <w:rFonts w:ascii="FrankRuehl" w:hAnsi="FrankRuehl" w:cs="FrankRuehl"/>
          <w:rtl/>
        </w:rPr>
      </w:pPr>
      <w:r w:rsidRPr="00290086">
        <w:rPr>
          <w:rFonts w:ascii="FrankRuehl" w:hAnsi="FrankRuehl" w:cs="FrankRuehl"/>
          <w:rtl/>
        </w:rPr>
        <w:t xml:space="preserve">חקיקה שאוזכרה: </w:t>
      </w:r>
    </w:p>
    <w:p w14:paraId="491895A2" w14:textId="77777777" w:rsidR="00290086" w:rsidRPr="00290086" w:rsidRDefault="00290086" w:rsidP="00290086">
      <w:pPr>
        <w:spacing w:before="120" w:after="120" w:line="240" w:lineRule="exact"/>
        <w:ind w:left="283" w:hanging="283"/>
        <w:jc w:val="both"/>
        <w:rPr>
          <w:rFonts w:ascii="FrankRuehl" w:hAnsi="FrankRuehl" w:cs="FrankRuehl"/>
          <w:rtl/>
        </w:rPr>
      </w:pPr>
      <w:hyperlink r:id="rId6" w:history="1">
        <w:r w:rsidRPr="00290086">
          <w:rPr>
            <w:rFonts w:ascii="FrankRuehl" w:hAnsi="FrankRuehl" w:cs="FrankRuehl"/>
            <w:color w:val="0000FF"/>
            <w:rtl/>
          </w:rPr>
          <w:t>חוק הכניסה לישראל, תשי"ב-1952</w:t>
        </w:r>
      </w:hyperlink>
      <w:r w:rsidRPr="00290086">
        <w:rPr>
          <w:rFonts w:ascii="FrankRuehl" w:hAnsi="FrankRuehl" w:cs="FrankRuehl"/>
          <w:rtl/>
        </w:rPr>
        <w:t xml:space="preserve">: סע'  </w:t>
      </w:r>
      <w:hyperlink r:id="rId7" w:history="1">
        <w:r w:rsidRPr="00290086">
          <w:rPr>
            <w:rFonts w:ascii="FrankRuehl" w:hAnsi="FrankRuehl" w:cs="FrankRuehl"/>
            <w:color w:val="0000FF"/>
            <w:rtl/>
          </w:rPr>
          <w:t>12(1)</w:t>
        </w:r>
      </w:hyperlink>
    </w:p>
    <w:p w14:paraId="4F31388C" w14:textId="77777777" w:rsidR="00290086" w:rsidRPr="00290086" w:rsidRDefault="00290086" w:rsidP="00290086">
      <w:pPr>
        <w:spacing w:before="120" w:after="120" w:line="240" w:lineRule="exact"/>
        <w:ind w:left="283" w:hanging="283"/>
        <w:jc w:val="both"/>
        <w:rPr>
          <w:rFonts w:ascii="FrankRuehl" w:hAnsi="FrankRuehl" w:cs="FrankRuehl"/>
          <w:rtl/>
        </w:rPr>
      </w:pPr>
      <w:hyperlink r:id="rId8" w:history="1">
        <w:r w:rsidRPr="00290086">
          <w:rPr>
            <w:rFonts w:ascii="FrankRuehl" w:hAnsi="FrankRuehl" w:cs="FrankRuehl"/>
            <w:color w:val="0000FF"/>
            <w:rtl/>
          </w:rPr>
          <w:t>חוק העונשין, תשל"ז-1977</w:t>
        </w:r>
      </w:hyperlink>
      <w:r w:rsidRPr="00290086">
        <w:rPr>
          <w:rFonts w:ascii="FrankRuehl" w:hAnsi="FrankRuehl" w:cs="FrankRuehl"/>
          <w:rtl/>
        </w:rPr>
        <w:t xml:space="preserve">: סע'  </w:t>
      </w:r>
      <w:hyperlink r:id="rId9" w:history="1">
        <w:r w:rsidRPr="00290086">
          <w:rPr>
            <w:rFonts w:ascii="FrankRuehl" w:hAnsi="FrankRuehl" w:cs="FrankRuehl"/>
            <w:color w:val="0000FF"/>
            <w:rtl/>
          </w:rPr>
          <w:t>144(ב)</w:t>
        </w:r>
      </w:hyperlink>
      <w:r w:rsidRPr="00290086">
        <w:rPr>
          <w:rFonts w:ascii="FrankRuehl" w:hAnsi="FrankRuehl" w:cs="FrankRuehl"/>
          <w:rtl/>
        </w:rPr>
        <w:t xml:space="preserve">, </w:t>
      </w:r>
      <w:hyperlink r:id="rId10" w:history="1">
        <w:r w:rsidRPr="00290086">
          <w:rPr>
            <w:rFonts w:ascii="FrankRuehl" w:hAnsi="FrankRuehl" w:cs="FrankRuehl"/>
            <w:color w:val="0000FF"/>
            <w:rtl/>
          </w:rPr>
          <w:t>244</w:t>
        </w:r>
      </w:hyperlink>
    </w:p>
    <w:p w14:paraId="2E5344C0" w14:textId="77777777" w:rsidR="00290086" w:rsidRPr="00290086" w:rsidRDefault="00290086" w:rsidP="00290086">
      <w:pPr>
        <w:spacing w:line="360" w:lineRule="auto"/>
        <w:jc w:val="center"/>
        <w:rPr>
          <w:rFonts w:ascii="David" w:hAnsi="David"/>
          <w:sz w:val="28"/>
          <w:szCs w:val="28"/>
          <w:rtl/>
        </w:rPr>
      </w:pPr>
      <w:bookmarkStart w:id="4" w:name="LawTable_End"/>
      <w:bookmarkEnd w:id="4"/>
    </w:p>
    <w:p w14:paraId="4B81572F" w14:textId="77777777" w:rsidR="00693301" w:rsidRPr="001C6075" w:rsidRDefault="00693301" w:rsidP="001C6075">
      <w:pPr>
        <w:spacing w:line="360" w:lineRule="auto"/>
        <w:jc w:val="center"/>
        <w:rPr>
          <w:rFonts w:ascii="David" w:hAnsi="David"/>
          <w:sz w:val="28"/>
          <w:szCs w:val="28"/>
          <w:rtl/>
        </w:rPr>
      </w:pPr>
    </w:p>
    <w:p w14:paraId="3BFA9352" w14:textId="77777777" w:rsidR="00693301" w:rsidRPr="00693301" w:rsidRDefault="00693301" w:rsidP="00693301">
      <w:pPr>
        <w:spacing w:line="360" w:lineRule="auto"/>
        <w:jc w:val="center"/>
        <w:rPr>
          <w:rFonts w:ascii="David" w:hAnsi="David"/>
          <w:bCs/>
          <w:sz w:val="28"/>
          <w:szCs w:val="28"/>
          <w:u w:val="single"/>
          <w:rtl/>
        </w:rPr>
      </w:pPr>
      <w:bookmarkStart w:id="5" w:name="PsakDin"/>
      <w:bookmarkEnd w:id="0"/>
      <w:r w:rsidRPr="00693301">
        <w:rPr>
          <w:rFonts w:ascii="David" w:hAnsi="David"/>
          <w:bCs/>
          <w:sz w:val="28"/>
          <w:szCs w:val="28"/>
          <w:u w:val="single"/>
          <w:rtl/>
        </w:rPr>
        <w:t>גזר דין</w:t>
      </w:r>
    </w:p>
    <w:bookmarkEnd w:id="5"/>
    <w:p w14:paraId="16F28430" w14:textId="77777777" w:rsidR="00A34797" w:rsidRPr="003F17D4" w:rsidRDefault="00A34797" w:rsidP="00A34797">
      <w:pPr>
        <w:spacing w:line="360" w:lineRule="auto"/>
        <w:jc w:val="both"/>
        <w:rPr>
          <w:rFonts w:ascii="FrankRuehl" w:eastAsia="Calibri" w:hAnsi="FrankRuehl" w:cs="FrankRuehl"/>
          <w:sz w:val="28"/>
          <w:szCs w:val="28"/>
          <w:rtl/>
        </w:rPr>
      </w:pPr>
    </w:p>
    <w:p w14:paraId="70C5DF48" w14:textId="77777777" w:rsidR="00A34797" w:rsidRPr="003F17D4" w:rsidRDefault="00A34797" w:rsidP="00A34797">
      <w:pPr>
        <w:spacing w:line="360" w:lineRule="auto"/>
        <w:jc w:val="both"/>
        <w:rPr>
          <w:rFonts w:ascii="FrankRuehl" w:eastAsia="Calibri" w:hAnsi="FrankRuehl" w:cs="FrankRuehl"/>
          <w:sz w:val="28"/>
          <w:szCs w:val="28"/>
          <w:rtl/>
        </w:rPr>
      </w:pPr>
      <w:r w:rsidRPr="003F17D4">
        <w:rPr>
          <w:rFonts w:ascii="FrankRuehl" w:eastAsia="Calibri" w:hAnsi="FrankRuehl" w:cs="FrankRuehl"/>
          <w:sz w:val="28"/>
          <w:szCs w:val="28"/>
          <w:rtl/>
        </w:rPr>
        <w:t>1.</w:t>
      </w:r>
      <w:r w:rsidRPr="003F17D4">
        <w:rPr>
          <w:rFonts w:ascii="FrankRuehl" w:eastAsia="Calibri" w:hAnsi="FrankRuehl" w:cs="FrankRuehl"/>
          <w:sz w:val="28"/>
          <w:szCs w:val="28"/>
          <w:rtl/>
        </w:rPr>
        <w:tab/>
      </w:r>
      <w:bookmarkStart w:id="6" w:name="ABSTRACT_START"/>
      <w:bookmarkEnd w:id="6"/>
      <w:r w:rsidRPr="003F17D4">
        <w:rPr>
          <w:rFonts w:ascii="FrankRuehl" w:eastAsia="Calibri" w:hAnsi="FrankRuehl" w:cs="FrankRuehl"/>
          <w:sz w:val="28"/>
          <w:szCs w:val="28"/>
          <w:rtl/>
        </w:rPr>
        <w:t xml:space="preserve">הנאשם הורשע בהתאם להודאתו בכתב אישום מתוקן בעבירות </w:t>
      </w:r>
      <w:r w:rsidRPr="003F17D4">
        <w:rPr>
          <w:rFonts w:ascii="FrankRuehl" w:eastAsia="Calibri" w:hAnsi="FrankRuehl" w:cs="Miriam"/>
          <w:b/>
          <w:sz w:val="28"/>
          <w:rtl/>
        </w:rPr>
        <w:t>כניסה לישראל שלא כחוק</w:t>
      </w:r>
      <w:r w:rsidRPr="003F17D4">
        <w:rPr>
          <w:rFonts w:ascii="FrankRuehl" w:eastAsia="Calibri" w:hAnsi="FrankRuehl" w:cs="FrankRuehl"/>
          <w:sz w:val="28"/>
          <w:szCs w:val="28"/>
          <w:rtl/>
        </w:rPr>
        <w:t xml:space="preserve">, לפי </w:t>
      </w:r>
      <w:hyperlink r:id="rId11" w:history="1">
        <w:r w:rsidR="002A2CE6" w:rsidRPr="002A2CE6">
          <w:rPr>
            <w:rStyle w:val="Hyperlink"/>
            <w:rFonts w:ascii="FrankRuehl" w:eastAsia="Calibri" w:hAnsi="FrankRuehl" w:cs="FrankRuehl"/>
            <w:sz w:val="28"/>
            <w:szCs w:val="28"/>
            <w:rtl/>
          </w:rPr>
          <w:t>סעיף 12(1)</w:t>
        </w:r>
      </w:hyperlink>
      <w:r w:rsidRPr="003F17D4">
        <w:rPr>
          <w:rFonts w:ascii="FrankRuehl" w:eastAsia="Calibri" w:hAnsi="FrankRuehl" w:cs="FrankRuehl"/>
          <w:sz w:val="28"/>
          <w:szCs w:val="28"/>
          <w:rtl/>
        </w:rPr>
        <w:t xml:space="preserve"> ל</w:t>
      </w:r>
      <w:hyperlink r:id="rId12" w:history="1">
        <w:r w:rsidR="00693301" w:rsidRPr="00693301">
          <w:rPr>
            <w:rFonts w:ascii="FrankRuehl" w:eastAsia="Calibri" w:hAnsi="FrankRuehl" w:cs="FrankRuehl"/>
            <w:color w:val="0000FF"/>
            <w:sz w:val="28"/>
            <w:szCs w:val="28"/>
            <w:u w:val="single"/>
            <w:rtl/>
          </w:rPr>
          <w:t>חוק הכניסה לישראל</w:t>
        </w:r>
      </w:hyperlink>
      <w:r w:rsidRPr="003F17D4">
        <w:rPr>
          <w:rFonts w:ascii="FrankRuehl" w:eastAsia="Calibri" w:hAnsi="FrankRuehl" w:cs="FrankRuehl"/>
          <w:sz w:val="28"/>
          <w:szCs w:val="28"/>
          <w:rtl/>
        </w:rPr>
        <w:t xml:space="preserve">, תשי"ב-1952; </w:t>
      </w:r>
      <w:r w:rsidRPr="003F17D4">
        <w:rPr>
          <w:rFonts w:ascii="FrankRuehl" w:eastAsia="Calibri" w:hAnsi="FrankRuehl" w:cs="Miriam"/>
          <w:b/>
          <w:sz w:val="28"/>
          <w:rtl/>
        </w:rPr>
        <w:t>נשיאת תחמושת</w:t>
      </w:r>
      <w:r w:rsidRPr="003F17D4">
        <w:rPr>
          <w:rFonts w:ascii="FrankRuehl" w:eastAsia="Calibri" w:hAnsi="FrankRuehl" w:cs="FrankRuehl"/>
          <w:sz w:val="28"/>
          <w:szCs w:val="28"/>
          <w:rtl/>
        </w:rPr>
        <w:t xml:space="preserve">, לפי </w:t>
      </w:r>
      <w:hyperlink r:id="rId13" w:history="1">
        <w:r w:rsidR="002A2CE6" w:rsidRPr="002A2CE6">
          <w:rPr>
            <w:rStyle w:val="Hyperlink"/>
            <w:rFonts w:ascii="FrankRuehl" w:eastAsia="Calibri" w:hAnsi="FrankRuehl" w:cs="FrankRuehl"/>
            <w:sz w:val="28"/>
            <w:szCs w:val="28"/>
            <w:rtl/>
          </w:rPr>
          <w:t>סעיף 144(ב)</w:t>
        </w:r>
      </w:hyperlink>
      <w:r w:rsidRPr="003F17D4">
        <w:rPr>
          <w:rFonts w:ascii="FrankRuehl" w:eastAsia="Calibri" w:hAnsi="FrankRuehl" w:cs="FrankRuehl"/>
          <w:sz w:val="28"/>
          <w:szCs w:val="28"/>
          <w:rtl/>
        </w:rPr>
        <w:t xml:space="preserve"> סיפא ל</w:t>
      </w:r>
      <w:hyperlink r:id="rId14" w:history="1">
        <w:r w:rsidR="00693301" w:rsidRPr="00693301">
          <w:rPr>
            <w:rFonts w:ascii="FrankRuehl" w:eastAsia="Calibri" w:hAnsi="FrankRuehl" w:cs="FrankRuehl"/>
            <w:color w:val="0000FF"/>
            <w:sz w:val="28"/>
            <w:szCs w:val="28"/>
            <w:u w:val="single"/>
            <w:rtl/>
          </w:rPr>
          <w:t>חוק העונשין</w:t>
        </w:r>
      </w:hyperlink>
      <w:r w:rsidRPr="003F17D4">
        <w:rPr>
          <w:rFonts w:ascii="FrankRuehl" w:eastAsia="Calibri" w:hAnsi="FrankRuehl" w:cs="FrankRuehl"/>
          <w:sz w:val="28"/>
          <w:szCs w:val="28"/>
          <w:rtl/>
        </w:rPr>
        <w:t xml:space="preserve">, תשל"ז-1977 (להלן: </w:t>
      </w:r>
      <w:r w:rsidRPr="003F17D4">
        <w:rPr>
          <w:rFonts w:ascii="FrankRuehl" w:eastAsia="Calibri" w:hAnsi="FrankRuehl" w:cs="Miriam"/>
          <w:b/>
          <w:sz w:val="28"/>
          <w:rtl/>
        </w:rPr>
        <w:t>חוק העונשין</w:t>
      </w:r>
      <w:r w:rsidRPr="003F17D4">
        <w:rPr>
          <w:rFonts w:ascii="FrankRuehl" w:eastAsia="Calibri" w:hAnsi="FrankRuehl" w:cs="FrankRuehl"/>
          <w:sz w:val="28"/>
          <w:szCs w:val="28"/>
          <w:rtl/>
        </w:rPr>
        <w:t xml:space="preserve">); </w:t>
      </w:r>
      <w:r w:rsidRPr="003F17D4">
        <w:rPr>
          <w:rFonts w:ascii="FrankRuehl" w:eastAsia="Calibri" w:hAnsi="FrankRuehl" w:cs="Miriam"/>
          <w:b/>
          <w:sz w:val="28"/>
          <w:rtl/>
        </w:rPr>
        <w:t>שיבוש מהלכי משפט</w:t>
      </w:r>
      <w:r w:rsidRPr="003F17D4">
        <w:rPr>
          <w:rFonts w:ascii="FrankRuehl" w:eastAsia="Calibri" w:hAnsi="FrankRuehl" w:cs="FrankRuehl"/>
          <w:sz w:val="28"/>
          <w:szCs w:val="28"/>
          <w:rtl/>
        </w:rPr>
        <w:t xml:space="preserve">, לפי </w:t>
      </w:r>
      <w:hyperlink r:id="rId15" w:history="1">
        <w:r w:rsidR="002A2CE6" w:rsidRPr="002A2CE6">
          <w:rPr>
            <w:rStyle w:val="Hyperlink"/>
            <w:rFonts w:ascii="FrankRuehl" w:eastAsia="Calibri" w:hAnsi="FrankRuehl" w:cs="FrankRuehl"/>
            <w:sz w:val="28"/>
            <w:szCs w:val="28"/>
            <w:rtl/>
          </w:rPr>
          <w:t>סעיף 244</w:t>
        </w:r>
      </w:hyperlink>
      <w:r w:rsidRPr="003F17D4">
        <w:rPr>
          <w:rFonts w:ascii="FrankRuehl" w:eastAsia="Calibri" w:hAnsi="FrankRuehl" w:cs="FrankRuehl"/>
          <w:sz w:val="28"/>
          <w:szCs w:val="28"/>
          <w:rtl/>
        </w:rPr>
        <w:t xml:space="preserve"> לחוק העונשין. הנאשם – תושב האזור שאיננו מחזיק בהיתרי כניסה או שהייה בישראל, נמצא ביום 3.2.23 בשעות הצוהריים כשהוא נוסע ברכב בכביש 57 בסמוך לכפר יונה בכיוון מזרח. באותה עת החזיק הנאשם על גופו כדורי תחמושת מסוגים שונים: כדור "חי" בקוטר 9 מ"מ, כדור "חי" בקוטר 5.56 מ"מ, כדור "חי" בקוטר 0.22 אינץ', שמונה כדורים מאולתרים בקוטר 9 מ"מ משולבים בעלי כיסוי כחול המשמשים לאימוני ירי. כן החזיק הנאשם בתיקו במחסנית (ריקה) המיועדת לכדורים בקוטר 5.56 מ"מ. באותן הנסיבות ביקש הנאשם מהשוטר שערך עליו חיפוש להתעלם ממה שמצא, ולהתנהג כאילו לא ראה דבר.</w:t>
      </w:r>
    </w:p>
    <w:p w14:paraId="7213AFAF" w14:textId="77777777" w:rsidR="00A34797" w:rsidRPr="003F17D4" w:rsidRDefault="00A34797" w:rsidP="00A34797">
      <w:pPr>
        <w:spacing w:line="360" w:lineRule="auto"/>
        <w:jc w:val="both"/>
        <w:rPr>
          <w:rFonts w:ascii="FrankRuehl" w:eastAsia="Calibri" w:hAnsi="FrankRuehl" w:cs="FrankRuehl"/>
          <w:sz w:val="28"/>
          <w:szCs w:val="28"/>
          <w:rtl/>
        </w:rPr>
      </w:pPr>
      <w:bookmarkStart w:id="7" w:name="ABSTRACT_END"/>
      <w:bookmarkEnd w:id="7"/>
    </w:p>
    <w:p w14:paraId="7847C761" w14:textId="77777777" w:rsidR="00A34797" w:rsidRPr="003F17D4" w:rsidRDefault="00A34797" w:rsidP="00A34797">
      <w:pPr>
        <w:spacing w:line="360" w:lineRule="auto"/>
        <w:jc w:val="both"/>
        <w:rPr>
          <w:rFonts w:ascii="FrankRuehl" w:eastAsia="Calibri" w:hAnsi="FrankRuehl" w:cs="FrankRuehl"/>
          <w:sz w:val="28"/>
          <w:szCs w:val="28"/>
          <w:rtl/>
        </w:rPr>
      </w:pPr>
      <w:r w:rsidRPr="003F17D4">
        <w:rPr>
          <w:rFonts w:ascii="FrankRuehl" w:eastAsia="Calibri" w:hAnsi="FrankRuehl" w:cs="FrankRuehl"/>
          <w:sz w:val="28"/>
          <w:szCs w:val="28"/>
          <w:rtl/>
        </w:rPr>
        <w:t>2.</w:t>
      </w:r>
      <w:r w:rsidRPr="003F17D4">
        <w:rPr>
          <w:rFonts w:ascii="FrankRuehl" w:eastAsia="Calibri" w:hAnsi="FrankRuehl" w:cs="FrankRuehl"/>
          <w:sz w:val="28"/>
          <w:szCs w:val="28"/>
          <w:rtl/>
        </w:rPr>
        <w:tab/>
        <w:t>ב"כ המאשימה ביקשה לקבוע את מתחם העונש בין 20-10 חודשי מאסר בפועל. היא עמדה על מגוון הערכים המוגנים בהם פגע הנאשם: כניסתו לשטח המדינה מבלי שנבדק ואושר ע"י כוחות הביטחון, ומסוכנות לציבור. לדבריה, כניסתו לא נועדה לצורכי פרנסה, וממילא גרסה זו לא נתמכה בגרסאותיהם של האחרים ששהו אתו ברכב (אשר שוחררו מבלי שהוגש בעניינם כתב אישום). שהייתו של הנאשם בארץ בזמנים טרופים אלה בהם מתרחשים פיגועים, קל וחומר בהחזיקו תחמושת "חיה", מבססת חומרה רבה, ועל כך יש להוסיף את התנהגותו כשנעצר וניסה לשכנע את השוטר להתעלם ממעשיו. את טענותיה תמכה ב"כ המאשימה בפסקי דין מהם ביקשה ללמוד על מדיניות הענישה הנוהגת. באשר לעונש המתאים זקפה לזכותו של הנאשם את גילו הצעיר (יליד 1998), היעדר הרשעות קודמות והודייתו במיוחס לו כבר בתחילת ההליך. מכאן, ביקשה לגזור את עונשו בקרבה לתחתית המתחם, לשנת מאסר בפועל, מאסר מרתיע על-תנאי וקנס כספי.</w:t>
      </w:r>
    </w:p>
    <w:p w14:paraId="74B8C959" w14:textId="77777777" w:rsidR="00A34797" w:rsidRPr="003F17D4" w:rsidRDefault="00A34797" w:rsidP="00A34797">
      <w:pPr>
        <w:spacing w:line="360" w:lineRule="auto"/>
        <w:jc w:val="both"/>
        <w:rPr>
          <w:rFonts w:ascii="FrankRuehl" w:eastAsia="Calibri" w:hAnsi="FrankRuehl" w:cs="FrankRuehl"/>
          <w:sz w:val="28"/>
          <w:szCs w:val="28"/>
          <w:rtl/>
        </w:rPr>
      </w:pPr>
    </w:p>
    <w:p w14:paraId="701157EF" w14:textId="77777777" w:rsidR="00A34797" w:rsidRPr="003F17D4" w:rsidRDefault="00A34797" w:rsidP="00A34797">
      <w:pPr>
        <w:spacing w:line="360" w:lineRule="auto"/>
        <w:jc w:val="both"/>
        <w:rPr>
          <w:rFonts w:ascii="FrankRuehl" w:eastAsia="Calibri" w:hAnsi="FrankRuehl" w:cs="FrankRuehl"/>
          <w:sz w:val="28"/>
          <w:szCs w:val="28"/>
          <w:rtl/>
        </w:rPr>
      </w:pPr>
      <w:r w:rsidRPr="003F17D4">
        <w:rPr>
          <w:rFonts w:ascii="FrankRuehl" w:eastAsia="Calibri" w:hAnsi="FrankRuehl" w:cs="FrankRuehl"/>
          <w:sz w:val="28"/>
          <w:szCs w:val="28"/>
          <w:rtl/>
        </w:rPr>
        <w:t>3.</w:t>
      </w:r>
      <w:r w:rsidRPr="003F17D4">
        <w:rPr>
          <w:rFonts w:ascii="FrankRuehl" w:eastAsia="Calibri" w:hAnsi="FrankRuehl" w:cs="FrankRuehl"/>
          <w:sz w:val="28"/>
          <w:szCs w:val="28"/>
          <w:rtl/>
        </w:rPr>
        <w:tab/>
        <w:t xml:space="preserve">ב"כ הנאשם הציג לבית המשפט את הנחיית פרקליט המדינה מס' 9.16 – מדיניות ענישה בעבירות נשק ומטעני חבלה, מעודכנת ליום 13.2.22 (ענ/1, להלן: </w:t>
      </w:r>
      <w:r w:rsidRPr="003F17D4">
        <w:rPr>
          <w:rFonts w:ascii="FrankRuehl" w:eastAsia="Calibri" w:hAnsi="FrankRuehl" w:cs="Miriam"/>
          <w:b/>
          <w:sz w:val="28"/>
          <w:rtl/>
        </w:rPr>
        <w:t>הנחיית פרקליט המדינה</w:t>
      </w:r>
      <w:r w:rsidRPr="003F17D4">
        <w:rPr>
          <w:rFonts w:ascii="FrankRuehl" w:eastAsia="Calibri" w:hAnsi="FrankRuehl" w:cs="FrankRuehl"/>
          <w:sz w:val="28"/>
          <w:szCs w:val="28"/>
          <w:rtl/>
        </w:rPr>
        <w:t>), ממנה עולה כי "מתחם המוצא" לנשיאת תחמושת (לפי ההנחיה): "6 חודשי מאסר בעבודות שירות עד 8 חודשי מאסר בפועל (מובן שכשמדובר בתחמושת בכמות גדולה יהיה מקום לחרוג לחומרה ממתחם זה)". אף הוא הגיש מספר פסקי דין להמחשת מדיניות הענישה, וביקש להבחין בין נסיבותיהם המחמירות של פסקי הדין שהגישה המאשימה, לבין עניינו של הנאשם. לטענת ב"כ הנאשם, המדובר במי שנכנס לישראל לצורכי פרנסה, והיה בדרכו בחזרה לביתו לאחר העבודה. הנאשם לקח אחריות על מעשיו כבר בחקירתו, כשסיפר כי מצא את התחמושת במהלך יום העבודה, התכוון להשליך אותה, ומחמת שיכחה לא עשה זאת. לטענת ההגנה, העבירות בהן הורשע הנאשם מצדיקות – כשהן בנפרד, קביעת מתחמי ענישה שתחתיתם במאסר צופה פני עתיד. שילובן של העבירות מבסס מתחם עונש שתחילתו לכל היותר במאסר קצר, וחלקו העליון במספר חודשי מאסר. הנאשם בחור צעיר, ללא הרשעות קודמות, הודה במיוחס לו כאמור כבר בחקירתו. מכאן, ביקש להסתפק בתקופה בה הנאשם נתון במעצר מיום האירוע.</w:t>
      </w:r>
    </w:p>
    <w:p w14:paraId="64676EB9" w14:textId="77777777" w:rsidR="00A34797" w:rsidRPr="003F17D4" w:rsidRDefault="00A34797" w:rsidP="00A34797">
      <w:pPr>
        <w:spacing w:line="360" w:lineRule="auto"/>
        <w:jc w:val="both"/>
        <w:rPr>
          <w:rFonts w:ascii="FrankRuehl" w:eastAsia="Calibri" w:hAnsi="FrankRuehl" w:cs="FrankRuehl"/>
          <w:sz w:val="28"/>
          <w:szCs w:val="28"/>
          <w:rtl/>
        </w:rPr>
      </w:pPr>
    </w:p>
    <w:p w14:paraId="6F0F95A2" w14:textId="77777777" w:rsidR="00A34797" w:rsidRPr="003F17D4" w:rsidRDefault="00A34797" w:rsidP="00A34797">
      <w:pPr>
        <w:spacing w:line="360" w:lineRule="auto"/>
        <w:jc w:val="both"/>
        <w:rPr>
          <w:rFonts w:ascii="FrankRuehl" w:eastAsia="Calibri" w:hAnsi="FrankRuehl" w:cs="FrankRuehl"/>
          <w:sz w:val="28"/>
          <w:szCs w:val="28"/>
          <w:rtl/>
        </w:rPr>
      </w:pPr>
      <w:r w:rsidRPr="003F17D4">
        <w:rPr>
          <w:rFonts w:ascii="FrankRuehl" w:eastAsia="Calibri" w:hAnsi="FrankRuehl" w:cs="FrankRuehl"/>
          <w:sz w:val="28"/>
          <w:szCs w:val="28"/>
          <w:rtl/>
        </w:rPr>
        <w:tab/>
        <w:t>הנאשם הביע צער וחרטה על מעשיו, והדגיש כי מדובר במעורבותו היחידה בפלילים. "הדבר הזה חינך אותי. אני לא אכנס בלי אישורים בחיים למדינת ישראל. אני אעבוד ב-50 ₪ ליום ולא אכנס בלי אישור. אני לא אכנס לדברים האלה שוב".</w:t>
      </w:r>
    </w:p>
    <w:p w14:paraId="43EC4D4E" w14:textId="77777777" w:rsidR="00A34797" w:rsidRPr="003F17D4" w:rsidRDefault="00A34797" w:rsidP="00A34797">
      <w:pPr>
        <w:spacing w:line="360" w:lineRule="auto"/>
        <w:jc w:val="both"/>
        <w:rPr>
          <w:rFonts w:ascii="FrankRuehl" w:eastAsia="Calibri" w:hAnsi="FrankRuehl" w:cs="FrankRuehl"/>
          <w:sz w:val="28"/>
          <w:szCs w:val="28"/>
          <w:rtl/>
        </w:rPr>
      </w:pPr>
    </w:p>
    <w:p w14:paraId="5B5E8113" w14:textId="77777777" w:rsidR="00A34797" w:rsidRPr="003F17D4" w:rsidRDefault="00A34797" w:rsidP="00A34797">
      <w:pPr>
        <w:spacing w:line="360" w:lineRule="auto"/>
        <w:jc w:val="both"/>
        <w:rPr>
          <w:rFonts w:ascii="FrankRuehl" w:eastAsia="Calibri" w:hAnsi="FrankRuehl" w:cs="FrankRuehl"/>
          <w:sz w:val="28"/>
          <w:szCs w:val="28"/>
          <w:rtl/>
        </w:rPr>
      </w:pPr>
      <w:r w:rsidRPr="003F17D4">
        <w:rPr>
          <w:rFonts w:ascii="FrankRuehl" w:eastAsia="Calibri" w:hAnsi="FrankRuehl" w:cs="Miriam"/>
          <w:b/>
          <w:sz w:val="28"/>
          <w:rtl/>
        </w:rPr>
        <w:t>דיון</w:t>
      </w:r>
    </w:p>
    <w:p w14:paraId="538AAAA4" w14:textId="77777777" w:rsidR="00A34797" w:rsidRPr="003F17D4" w:rsidRDefault="00A34797" w:rsidP="00A34797">
      <w:pPr>
        <w:spacing w:line="360" w:lineRule="auto"/>
        <w:jc w:val="both"/>
        <w:rPr>
          <w:rFonts w:ascii="FrankRuehl" w:eastAsia="Calibri" w:hAnsi="FrankRuehl" w:cs="FrankRuehl"/>
          <w:sz w:val="28"/>
          <w:szCs w:val="28"/>
          <w:rtl/>
        </w:rPr>
      </w:pPr>
    </w:p>
    <w:p w14:paraId="09C12F45" w14:textId="77777777" w:rsidR="00A34797" w:rsidRPr="003F17D4" w:rsidRDefault="00A34797" w:rsidP="00A34797">
      <w:pPr>
        <w:spacing w:line="360" w:lineRule="auto"/>
        <w:jc w:val="both"/>
        <w:rPr>
          <w:rFonts w:ascii="FrankRuehl" w:eastAsia="Calibri" w:hAnsi="FrankRuehl" w:cs="FrankRuehl"/>
          <w:sz w:val="28"/>
          <w:szCs w:val="28"/>
          <w:rtl/>
        </w:rPr>
      </w:pPr>
      <w:r w:rsidRPr="003F17D4">
        <w:rPr>
          <w:rFonts w:ascii="FrankRuehl" w:eastAsia="Calibri" w:hAnsi="FrankRuehl" w:cs="FrankRuehl"/>
          <w:sz w:val="28"/>
          <w:szCs w:val="28"/>
          <w:rtl/>
        </w:rPr>
        <w:t>4.</w:t>
      </w:r>
      <w:r w:rsidRPr="003F17D4">
        <w:rPr>
          <w:rFonts w:ascii="FrankRuehl" w:eastAsia="Calibri" w:hAnsi="FrankRuehl" w:cs="FrankRuehl"/>
          <w:sz w:val="28"/>
          <w:szCs w:val="28"/>
          <w:rtl/>
        </w:rPr>
        <w:tab/>
        <w:t>נוסף על הפגיעה המובנית ביכולתן של הרשויות לִבְרוֹר את הבאים בשערי הארץ, פגע הנאשם בביטחונם של תושבי המדינה כשנשא בכליו תחמושת מסוגים שונים, וכן מחסנית. אם לא די בכך, הוא אף ניסה לשבש את החקירה בעניינו. מקובלת עליי טענתה של ב"כ המאשימה, לפיה הנאשם לא ביסס בראיות את גרסתו לפיה נכנס לישראל לצורכי פרנסה. כן מצאתי לזקוף לחומרה את הזמנים בהם אנו מצויים – תקופה מרובת פיגועים ואירועים ביטחוניים, כשמעשיו של הנאשם מלמדים על מסוכנות הנשקפת ממנו. בצד זאת, ברי כי כל מקרה נבחן לגופו. כמות התחמושת שנתפסה מועטה ביותר, כדורים בודדים, שלושה מהם "חיים", שמונה כדורי אימון, ומח</w:t>
      </w:r>
      <w:r>
        <w:rPr>
          <w:rFonts w:ascii="FrankRuehl" w:eastAsia="Calibri" w:hAnsi="FrankRuehl" w:cs="FrankRuehl"/>
          <w:sz w:val="28"/>
          <w:szCs w:val="28"/>
          <w:rtl/>
        </w:rPr>
        <w:t>סנית ריקה שמתאימה לאחד הכדורים</w:t>
      </w:r>
      <w:r>
        <w:rPr>
          <w:rFonts w:ascii="FrankRuehl" w:eastAsia="Calibri" w:hAnsi="FrankRuehl" w:cs="FrankRuehl" w:hint="cs"/>
          <w:sz w:val="28"/>
          <w:szCs w:val="28"/>
          <w:rtl/>
        </w:rPr>
        <w:t xml:space="preserve">. </w:t>
      </w:r>
      <w:r w:rsidRPr="003F17D4">
        <w:rPr>
          <w:rFonts w:ascii="FrankRuehl" w:eastAsia="Calibri" w:hAnsi="FrankRuehl" w:cs="FrankRuehl"/>
          <w:sz w:val="28"/>
          <w:szCs w:val="28"/>
          <w:rtl/>
        </w:rPr>
        <w:t xml:space="preserve">מידת חומרתן של העבירות </w:t>
      </w:r>
      <w:r>
        <w:rPr>
          <w:rFonts w:ascii="FrankRuehl" w:eastAsia="Calibri" w:hAnsi="FrankRuehl" w:cs="FrankRuehl" w:hint="cs"/>
          <w:sz w:val="28"/>
          <w:szCs w:val="28"/>
          <w:rtl/>
        </w:rPr>
        <w:t xml:space="preserve">ועוצמת הסיכון שנשקף מהנאשם תיקבענה </w:t>
      </w:r>
      <w:r w:rsidRPr="003F17D4">
        <w:rPr>
          <w:rFonts w:ascii="FrankRuehl" w:eastAsia="Calibri" w:hAnsi="FrankRuehl" w:cs="FrankRuehl"/>
          <w:sz w:val="28"/>
          <w:szCs w:val="28"/>
          <w:rtl/>
        </w:rPr>
        <w:t>בהתאם.</w:t>
      </w:r>
    </w:p>
    <w:p w14:paraId="533F2DCD" w14:textId="77777777" w:rsidR="00A34797" w:rsidRPr="003F17D4" w:rsidRDefault="00A34797" w:rsidP="00A34797">
      <w:pPr>
        <w:spacing w:line="360" w:lineRule="auto"/>
        <w:jc w:val="both"/>
        <w:rPr>
          <w:rFonts w:ascii="FrankRuehl" w:eastAsia="Calibri" w:hAnsi="FrankRuehl" w:cs="FrankRuehl"/>
          <w:sz w:val="28"/>
          <w:szCs w:val="28"/>
          <w:rtl/>
        </w:rPr>
      </w:pPr>
    </w:p>
    <w:p w14:paraId="39CCF31B" w14:textId="77777777" w:rsidR="00A34797" w:rsidRPr="003F17D4" w:rsidRDefault="00A34797" w:rsidP="00A34797">
      <w:pPr>
        <w:spacing w:line="360" w:lineRule="auto"/>
        <w:jc w:val="both"/>
        <w:rPr>
          <w:rFonts w:ascii="FrankRuehl" w:eastAsia="Calibri" w:hAnsi="FrankRuehl" w:cs="FrankRuehl"/>
          <w:sz w:val="28"/>
          <w:szCs w:val="28"/>
          <w:rtl/>
        </w:rPr>
      </w:pPr>
      <w:r w:rsidRPr="003F17D4">
        <w:rPr>
          <w:rFonts w:ascii="FrankRuehl" w:eastAsia="Calibri" w:hAnsi="FrankRuehl" w:cs="FrankRuehl"/>
          <w:sz w:val="28"/>
          <w:szCs w:val="28"/>
          <w:rtl/>
        </w:rPr>
        <w:t>5.</w:t>
      </w:r>
      <w:r w:rsidRPr="003F17D4">
        <w:rPr>
          <w:rFonts w:ascii="FrankRuehl" w:eastAsia="Calibri" w:hAnsi="FrankRuehl" w:cs="FrankRuehl"/>
          <w:sz w:val="28"/>
          <w:szCs w:val="28"/>
          <w:rtl/>
        </w:rPr>
        <w:tab/>
        <w:t>פסקי הדין שהגישו הצדדים עוסקים באירועים חמורים במידה ניכרת מענייננו. כפי שנראה להלן, עתירתה העונשית של המאשימה מחמירה</w:t>
      </w:r>
      <w:r>
        <w:rPr>
          <w:rFonts w:ascii="FrankRuehl" w:eastAsia="Calibri" w:hAnsi="FrankRuehl" w:cs="FrankRuehl" w:hint="cs"/>
          <w:sz w:val="28"/>
          <w:szCs w:val="28"/>
          <w:rtl/>
        </w:rPr>
        <w:t xml:space="preserve"> </w:t>
      </w:r>
      <w:r w:rsidRPr="003F17D4">
        <w:rPr>
          <w:rFonts w:ascii="FrankRuehl" w:eastAsia="Calibri" w:hAnsi="FrankRuehl" w:cs="FrankRuehl"/>
          <w:sz w:val="28"/>
          <w:szCs w:val="28"/>
          <w:rtl/>
        </w:rPr>
        <w:t>מ</w:t>
      </w:r>
      <w:r>
        <w:rPr>
          <w:rFonts w:ascii="FrankRuehl" w:eastAsia="Calibri" w:hAnsi="FrankRuehl" w:cs="FrankRuehl"/>
          <w:sz w:val="28"/>
          <w:szCs w:val="28"/>
          <w:rtl/>
        </w:rPr>
        <w:t>מדיניות הענישה הנוהגת, וא</w:t>
      </w:r>
      <w:r>
        <w:rPr>
          <w:rFonts w:ascii="FrankRuehl" w:eastAsia="Calibri" w:hAnsi="FrankRuehl" w:cs="FrankRuehl" w:hint="cs"/>
          <w:sz w:val="28"/>
          <w:szCs w:val="28"/>
          <w:rtl/>
        </w:rPr>
        <w:t>פילו</w:t>
      </w:r>
      <w:r w:rsidRPr="003F17D4">
        <w:rPr>
          <w:rFonts w:ascii="FrankRuehl" w:eastAsia="Calibri" w:hAnsi="FrankRuehl" w:cs="FrankRuehl"/>
          <w:sz w:val="28"/>
          <w:szCs w:val="28"/>
          <w:rtl/>
        </w:rPr>
        <w:t xml:space="preserve"> מהנחי</w:t>
      </w:r>
      <w:r>
        <w:rPr>
          <w:rFonts w:ascii="FrankRuehl" w:eastAsia="Calibri" w:hAnsi="FrankRuehl" w:cs="FrankRuehl" w:hint="cs"/>
          <w:sz w:val="28"/>
          <w:szCs w:val="28"/>
          <w:rtl/>
        </w:rPr>
        <w:t>י</w:t>
      </w:r>
      <w:r w:rsidRPr="003F17D4">
        <w:rPr>
          <w:rFonts w:ascii="FrankRuehl" w:eastAsia="Calibri" w:hAnsi="FrankRuehl" w:cs="FrankRuehl"/>
          <w:sz w:val="28"/>
          <w:szCs w:val="28"/>
          <w:rtl/>
        </w:rPr>
        <w:t>ת פרקליט המדינה.</w:t>
      </w:r>
    </w:p>
    <w:p w14:paraId="0697204A" w14:textId="77777777" w:rsidR="00A34797" w:rsidRPr="003F17D4" w:rsidRDefault="00A34797" w:rsidP="00A34797">
      <w:pPr>
        <w:spacing w:line="360" w:lineRule="auto"/>
        <w:jc w:val="both"/>
        <w:rPr>
          <w:rFonts w:ascii="FrankRuehl" w:eastAsia="Calibri" w:hAnsi="FrankRuehl" w:cs="FrankRuehl"/>
          <w:sz w:val="28"/>
          <w:szCs w:val="28"/>
          <w:rtl/>
        </w:rPr>
      </w:pPr>
    </w:p>
    <w:p w14:paraId="6EBE6350" w14:textId="77777777" w:rsidR="00A34797" w:rsidRPr="003F17D4" w:rsidRDefault="00A34797" w:rsidP="00A34797">
      <w:pPr>
        <w:spacing w:line="360" w:lineRule="auto"/>
        <w:jc w:val="both"/>
        <w:rPr>
          <w:rFonts w:ascii="FrankRuehl" w:eastAsia="Calibri" w:hAnsi="FrankRuehl" w:cs="FrankRuehl"/>
          <w:sz w:val="28"/>
          <w:szCs w:val="28"/>
          <w:rtl/>
        </w:rPr>
      </w:pPr>
      <w:r w:rsidRPr="003F17D4">
        <w:rPr>
          <w:rFonts w:ascii="FrankRuehl" w:eastAsia="Calibri" w:hAnsi="FrankRuehl" w:cs="FrankRuehl"/>
          <w:sz w:val="28"/>
          <w:szCs w:val="28"/>
          <w:rtl/>
        </w:rPr>
        <w:tab/>
      </w:r>
      <w:hyperlink r:id="rId16" w:history="1">
        <w:r w:rsidR="00693301" w:rsidRPr="00693301">
          <w:rPr>
            <w:rFonts w:ascii="FrankRuehl" w:eastAsia="Calibri" w:hAnsi="FrankRuehl" w:cs="FrankRuehl"/>
            <w:color w:val="0000FF"/>
            <w:sz w:val="28"/>
            <w:szCs w:val="28"/>
            <w:u w:val="single"/>
            <w:rtl/>
          </w:rPr>
          <w:t>ת"פ (עכו) 3256-09-21</w:t>
        </w:r>
      </w:hyperlink>
      <w:r w:rsidRPr="003F17D4">
        <w:rPr>
          <w:rFonts w:ascii="FrankRuehl" w:eastAsia="Calibri" w:hAnsi="FrankRuehl" w:cs="FrankRuehl"/>
          <w:sz w:val="28"/>
          <w:szCs w:val="28"/>
          <w:rtl/>
        </w:rPr>
        <w:t xml:space="preserve"> </w:t>
      </w:r>
      <w:r w:rsidRPr="003F17D4">
        <w:rPr>
          <w:rFonts w:ascii="FrankRuehl" w:eastAsia="Calibri" w:hAnsi="FrankRuehl" w:cs="Miriam"/>
          <w:b/>
          <w:sz w:val="28"/>
          <w:rtl/>
        </w:rPr>
        <w:t>מדינת ישראל נ' סואע</w:t>
      </w:r>
      <w:r>
        <w:rPr>
          <w:rFonts w:ascii="FrankRuehl" w:eastAsia="Calibri" w:hAnsi="FrankRuehl" w:cs="Miriam" w:hint="cs"/>
          <w:b/>
          <w:sz w:val="28"/>
          <w:rtl/>
        </w:rPr>
        <w:t>ד</w:t>
      </w:r>
      <w:r w:rsidRPr="003F17D4">
        <w:rPr>
          <w:rFonts w:ascii="FrankRuehl" w:eastAsia="Calibri" w:hAnsi="FrankRuehl" w:cs="FrankRuehl"/>
          <w:sz w:val="28"/>
          <w:szCs w:val="28"/>
          <w:rtl/>
        </w:rPr>
        <w:t xml:space="preserve"> (15.3.22), הוגש ע"י המאשימה. החזקת רימון הלם בבית. נקבע מתחם בין 20-9 חודשי מאסר, והנאשם – צעיר ללא הרשעות קודמות, אשר הודה במיוחס לו, נדון ל-9 חודשי מאסר בפועל. ביחס לפסק דין זה הפנה ב"כ הנאשם להנחיית פרקליט המדינה, ממנה עולה כי "מתחם המוצא" בגין החזקת רימון הלם מחמירה יותר מזו שנוגעת לנשיאת תחמושת.</w:t>
      </w:r>
    </w:p>
    <w:p w14:paraId="18F4E941" w14:textId="77777777" w:rsidR="00A34797" w:rsidRPr="003F17D4" w:rsidRDefault="00A34797" w:rsidP="00A34797">
      <w:pPr>
        <w:spacing w:line="360" w:lineRule="auto"/>
        <w:jc w:val="both"/>
        <w:rPr>
          <w:rFonts w:ascii="FrankRuehl" w:eastAsia="Calibri" w:hAnsi="FrankRuehl" w:cs="FrankRuehl"/>
          <w:sz w:val="28"/>
          <w:szCs w:val="28"/>
          <w:rtl/>
        </w:rPr>
      </w:pPr>
    </w:p>
    <w:p w14:paraId="06A51964" w14:textId="77777777" w:rsidR="00A34797" w:rsidRPr="003F17D4" w:rsidRDefault="00A34797" w:rsidP="00A34797">
      <w:pPr>
        <w:spacing w:line="360" w:lineRule="auto"/>
        <w:jc w:val="both"/>
        <w:rPr>
          <w:rFonts w:ascii="FrankRuehl" w:eastAsia="Calibri" w:hAnsi="FrankRuehl" w:cs="FrankRuehl"/>
          <w:sz w:val="28"/>
          <w:szCs w:val="28"/>
          <w:rtl/>
        </w:rPr>
      </w:pPr>
      <w:r w:rsidRPr="003F17D4">
        <w:rPr>
          <w:rFonts w:ascii="FrankRuehl" w:eastAsia="Calibri" w:hAnsi="FrankRuehl" w:cs="FrankRuehl"/>
          <w:sz w:val="28"/>
          <w:szCs w:val="28"/>
          <w:rtl/>
        </w:rPr>
        <w:tab/>
      </w:r>
      <w:hyperlink r:id="rId17" w:history="1">
        <w:r w:rsidR="00693301" w:rsidRPr="00693301">
          <w:rPr>
            <w:rFonts w:ascii="FrankRuehl" w:eastAsia="Calibri" w:hAnsi="FrankRuehl" w:cs="FrankRuehl"/>
            <w:color w:val="0000FF"/>
            <w:sz w:val="28"/>
            <w:szCs w:val="28"/>
            <w:u w:val="single"/>
            <w:rtl/>
          </w:rPr>
          <w:t>ת"פ (רמלה) 13478-06-19</w:t>
        </w:r>
      </w:hyperlink>
      <w:r w:rsidRPr="003F17D4">
        <w:rPr>
          <w:rFonts w:ascii="FrankRuehl" w:eastAsia="Calibri" w:hAnsi="FrankRuehl" w:cs="FrankRuehl"/>
          <w:sz w:val="28"/>
          <w:szCs w:val="28"/>
          <w:rtl/>
        </w:rPr>
        <w:t xml:space="preserve"> </w:t>
      </w:r>
      <w:r w:rsidRPr="003F17D4">
        <w:rPr>
          <w:rFonts w:ascii="FrankRuehl" w:eastAsia="Calibri" w:hAnsi="FrankRuehl" w:cs="Miriam"/>
          <w:b/>
          <w:sz w:val="28"/>
          <w:rtl/>
        </w:rPr>
        <w:t>מדינת ישראל נ' אלשמאלי</w:t>
      </w:r>
      <w:r w:rsidRPr="003F17D4">
        <w:rPr>
          <w:rFonts w:ascii="FrankRuehl" w:eastAsia="Calibri" w:hAnsi="FrankRuehl" w:cs="FrankRuehl"/>
          <w:sz w:val="28"/>
          <w:szCs w:val="28"/>
          <w:rtl/>
        </w:rPr>
        <w:t xml:space="preserve"> (28.1.21), בצירוף </w:t>
      </w:r>
      <w:hyperlink r:id="rId18" w:history="1">
        <w:r w:rsidR="00693301" w:rsidRPr="00693301">
          <w:rPr>
            <w:rFonts w:ascii="FrankRuehl" w:eastAsia="Calibri" w:hAnsi="FrankRuehl" w:cs="FrankRuehl"/>
            <w:color w:val="0000FF"/>
            <w:sz w:val="28"/>
            <w:szCs w:val="28"/>
            <w:u w:val="single"/>
            <w:rtl/>
          </w:rPr>
          <w:t>עפ"ג (מרכז-לוד) 30632-03-21</w:t>
        </w:r>
      </w:hyperlink>
      <w:r w:rsidRPr="003F17D4">
        <w:rPr>
          <w:rFonts w:ascii="FrankRuehl" w:eastAsia="Calibri" w:hAnsi="FrankRuehl" w:cs="FrankRuehl"/>
          <w:sz w:val="28"/>
          <w:szCs w:val="28"/>
          <w:rtl/>
        </w:rPr>
        <w:t xml:space="preserve"> (19.9.21, טרם פורסם). הוגש ע"י המאשימה. החזקת נשק והחזקת תחמושת. על רקע סכסוך בין שתי משפחות ניגשו הנאשמים לבית עלמין הסמוך לביתם, ונטלו נשק מאולתר דמוי רובה סער מסוג 16</w:t>
      </w:r>
      <w:r w:rsidRPr="003F17D4">
        <w:rPr>
          <w:rFonts w:ascii="FrankRuehl" w:eastAsia="Calibri" w:hAnsi="FrankRuehl" w:cs="FrankRuehl"/>
          <w:sz w:val="28"/>
          <w:szCs w:val="28"/>
        </w:rPr>
        <w:t>M</w:t>
      </w:r>
      <w:r w:rsidRPr="003F17D4">
        <w:rPr>
          <w:rFonts w:ascii="FrankRuehl" w:eastAsia="Calibri" w:hAnsi="FrankRuehl" w:cs="FrankRuehl"/>
          <w:sz w:val="28"/>
          <w:szCs w:val="28"/>
          <w:rtl/>
        </w:rPr>
        <w:t xml:space="preserve"> ובתוכו מחסנית טעונה שהכילה 30 כדורים, וכן מחסנית נוספת שהכילה 27 כדורים. אחרים החלו לירות לעבר הנאשמים, אשר נמלטו מהמקום כשהם מחזיקים באמל"ח. במהלך הימלטותם השליך אחד מהם את הנשק, ואילו האחר המשיך להחזיק במחסנית. במהלך האירוע נפצעו הנאשמים ונזקקו לטיפול רפואי ולאשפוז למשך מספר ימים. נקבע מתחם עונש בין 18-8 חודשי מאסר, והנאשמים נדונו ל-11 חודשי מאסר בפועל. ערעורי המדינה והנאשמים נדחו בהסכמה, תוך שבית המשפט המחוזי קבע כי מתחם העונש שנקבע מקל ואינו מבטא נכונה את מדיניות הענישה, בנותנו משקל יתר לפציעתם של הנאשמים ולטענתם בדבר הגנה עצמית.</w:t>
      </w:r>
    </w:p>
    <w:p w14:paraId="06CBBC57" w14:textId="77777777" w:rsidR="00A34797" w:rsidRPr="003F17D4" w:rsidRDefault="00A34797" w:rsidP="00A34797">
      <w:pPr>
        <w:spacing w:line="360" w:lineRule="auto"/>
        <w:jc w:val="both"/>
        <w:rPr>
          <w:rFonts w:ascii="FrankRuehl" w:eastAsia="Calibri" w:hAnsi="FrankRuehl" w:cs="FrankRuehl"/>
          <w:sz w:val="28"/>
          <w:szCs w:val="28"/>
          <w:rtl/>
        </w:rPr>
      </w:pPr>
    </w:p>
    <w:p w14:paraId="5105131F" w14:textId="77777777" w:rsidR="00A34797" w:rsidRPr="003F17D4" w:rsidRDefault="00A34797" w:rsidP="00A34797">
      <w:pPr>
        <w:spacing w:line="360" w:lineRule="auto"/>
        <w:jc w:val="both"/>
        <w:rPr>
          <w:rFonts w:ascii="FrankRuehl" w:eastAsia="Calibri" w:hAnsi="FrankRuehl" w:cs="FrankRuehl"/>
          <w:sz w:val="28"/>
          <w:szCs w:val="28"/>
          <w:rtl/>
        </w:rPr>
      </w:pPr>
      <w:r w:rsidRPr="003F17D4">
        <w:rPr>
          <w:rFonts w:ascii="FrankRuehl" w:eastAsia="Calibri" w:hAnsi="FrankRuehl" w:cs="FrankRuehl"/>
          <w:sz w:val="28"/>
          <w:szCs w:val="28"/>
          <w:rtl/>
        </w:rPr>
        <w:tab/>
      </w:r>
      <w:hyperlink r:id="rId19" w:history="1">
        <w:r w:rsidR="00693301" w:rsidRPr="00693301">
          <w:rPr>
            <w:rFonts w:ascii="FrankRuehl" w:eastAsia="Calibri" w:hAnsi="FrankRuehl" w:cs="FrankRuehl"/>
            <w:color w:val="0000FF"/>
            <w:sz w:val="28"/>
            <w:szCs w:val="28"/>
            <w:u w:val="single"/>
            <w:rtl/>
          </w:rPr>
          <w:t>ת"פ (פ"ת) 46659-09-20</w:t>
        </w:r>
      </w:hyperlink>
      <w:r w:rsidRPr="003F17D4">
        <w:rPr>
          <w:rFonts w:ascii="FrankRuehl" w:eastAsia="Calibri" w:hAnsi="FrankRuehl" w:cs="FrankRuehl"/>
          <w:sz w:val="28"/>
          <w:szCs w:val="28"/>
          <w:rtl/>
        </w:rPr>
        <w:t xml:space="preserve"> </w:t>
      </w:r>
      <w:r w:rsidRPr="003F17D4">
        <w:rPr>
          <w:rFonts w:ascii="FrankRuehl" w:eastAsia="Calibri" w:hAnsi="FrankRuehl" w:cs="Miriam"/>
          <w:b/>
          <w:sz w:val="28"/>
          <w:rtl/>
        </w:rPr>
        <w:t xml:space="preserve">מדינת ישראל נ' אלסעדי </w:t>
      </w:r>
      <w:r w:rsidRPr="003F17D4">
        <w:rPr>
          <w:rFonts w:ascii="FrankRuehl" w:eastAsia="Calibri" w:hAnsi="FrankRuehl" w:cs="FrankRuehl"/>
          <w:sz w:val="28"/>
          <w:szCs w:val="28"/>
          <w:rtl/>
        </w:rPr>
        <w:t xml:space="preserve">(22.12.20, לא פורסם), בצירוף </w:t>
      </w:r>
      <w:hyperlink r:id="rId20" w:history="1">
        <w:r w:rsidR="00693301" w:rsidRPr="00693301">
          <w:rPr>
            <w:rFonts w:ascii="FrankRuehl" w:eastAsia="Calibri" w:hAnsi="FrankRuehl" w:cs="FrankRuehl"/>
            <w:color w:val="0000FF"/>
            <w:sz w:val="28"/>
            <w:szCs w:val="28"/>
            <w:u w:val="single"/>
            <w:rtl/>
          </w:rPr>
          <w:t>עפ"ג (מרכז-לוד) 12781-02-21</w:t>
        </w:r>
      </w:hyperlink>
      <w:r w:rsidRPr="003F17D4">
        <w:rPr>
          <w:rFonts w:ascii="FrankRuehl" w:eastAsia="Calibri" w:hAnsi="FrankRuehl" w:cs="FrankRuehl"/>
          <w:sz w:val="28"/>
          <w:szCs w:val="28"/>
          <w:rtl/>
        </w:rPr>
        <w:t xml:space="preserve"> </w:t>
      </w:r>
      <w:r w:rsidRPr="003F17D4">
        <w:rPr>
          <w:rFonts w:ascii="FrankRuehl" w:eastAsia="Calibri" w:hAnsi="FrankRuehl" w:cs="Miriam"/>
          <w:b/>
          <w:sz w:val="28"/>
          <w:rtl/>
        </w:rPr>
        <w:t>אלסעדי נ' מדינת ישראל</w:t>
      </w:r>
      <w:r w:rsidRPr="003F17D4">
        <w:rPr>
          <w:rFonts w:ascii="FrankRuehl" w:eastAsia="Calibri" w:hAnsi="FrankRuehl" w:cs="FrankRuehl"/>
          <w:sz w:val="28"/>
          <w:szCs w:val="28"/>
          <w:rtl/>
        </w:rPr>
        <w:t xml:space="preserve"> (18.4.21, לא פורסם). הוגש ע"י ב"כ המאשימה וב"כ הנאשם גם יחד. הנאשם הורשע בכניסה לישראל שלא כדין ובנשיאה של 9,900 כדורי תחמושת בקוטר 5.56 מ"מ. המדובר בעשרה ארגזי תחמושת צבאיים המכילים 990 כדורים כל אחד, אותם רכש הנאשם בתמורה לתשלום סך של 38,000 ₪. בית משפט השלום קבע את מתחם העונש בין 24-12 חודשי מאסר בפועל, וגזר את עונשו של הנאשם ל-18 חודשי מאסר בפועל. בית המשפט המחוזי קיבל את ערעורו של הנאשם והעמיד את עונש המאסר בפועל על 15 חודשים, בעיקר לנוכח טענה לאכיפה בררנית ביחס לזה שהסיע את הנאשם.</w:t>
      </w:r>
    </w:p>
    <w:p w14:paraId="4ABB6AF9" w14:textId="77777777" w:rsidR="00A34797" w:rsidRPr="003F17D4" w:rsidRDefault="00A34797" w:rsidP="00A34797">
      <w:pPr>
        <w:spacing w:line="360" w:lineRule="auto"/>
        <w:jc w:val="both"/>
        <w:rPr>
          <w:rFonts w:ascii="FrankRuehl" w:eastAsia="Calibri" w:hAnsi="FrankRuehl" w:cs="FrankRuehl"/>
          <w:sz w:val="28"/>
          <w:szCs w:val="28"/>
          <w:rtl/>
        </w:rPr>
      </w:pPr>
    </w:p>
    <w:p w14:paraId="13039CB7" w14:textId="77777777" w:rsidR="00A34797" w:rsidRPr="003F17D4" w:rsidRDefault="00A34797" w:rsidP="00A34797">
      <w:pPr>
        <w:spacing w:line="360" w:lineRule="auto"/>
        <w:jc w:val="both"/>
        <w:rPr>
          <w:rFonts w:ascii="FrankRuehl" w:eastAsia="Calibri" w:hAnsi="FrankRuehl" w:cs="FrankRuehl"/>
          <w:sz w:val="28"/>
          <w:szCs w:val="28"/>
          <w:rtl/>
        </w:rPr>
      </w:pPr>
      <w:r w:rsidRPr="003F17D4">
        <w:rPr>
          <w:rFonts w:ascii="FrankRuehl" w:eastAsia="Calibri" w:hAnsi="FrankRuehl" w:cs="FrankRuehl"/>
          <w:sz w:val="28"/>
          <w:szCs w:val="28"/>
          <w:rtl/>
        </w:rPr>
        <w:tab/>
      </w:r>
      <w:hyperlink r:id="rId21" w:history="1">
        <w:r w:rsidR="00693301" w:rsidRPr="00693301">
          <w:rPr>
            <w:rFonts w:ascii="FrankRuehl" w:eastAsia="Calibri" w:hAnsi="FrankRuehl" w:cs="FrankRuehl"/>
            <w:color w:val="0000FF"/>
            <w:sz w:val="28"/>
            <w:szCs w:val="28"/>
            <w:u w:val="single"/>
            <w:rtl/>
          </w:rPr>
          <w:t>ת"פ (נצרת) 41041-07-21</w:t>
        </w:r>
      </w:hyperlink>
      <w:r w:rsidRPr="003F17D4">
        <w:rPr>
          <w:rFonts w:ascii="FrankRuehl" w:eastAsia="Calibri" w:hAnsi="FrankRuehl" w:cs="FrankRuehl"/>
          <w:sz w:val="28"/>
          <w:szCs w:val="28"/>
          <w:rtl/>
        </w:rPr>
        <w:t xml:space="preserve"> </w:t>
      </w:r>
      <w:r w:rsidRPr="003F17D4">
        <w:rPr>
          <w:rFonts w:ascii="FrankRuehl" w:eastAsia="Calibri" w:hAnsi="FrankRuehl" w:cs="Miriam"/>
          <w:b/>
          <w:sz w:val="28"/>
          <w:rtl/>
        </w:rPr>
        <w:t xml:space="preserve">מדינת ישראל נ' אמארה </w:t>
      </w:r>
      <w:r w:rsidRPr="003F17D4">
        <w:rPr>
          <w:rFonts w:ascii="FrankRuehl" w:eastAsia="Calibri" w:hAnsi="FrankRuehl" w:cs="FrankRuehl"/>
          <w:sz w:val="28"/>
          <w:szCs w:val="28"/>
          <w:rtl/>
        </w:rPr>
        <w:t>(9.2.22). הוגש ע"י ב"כ הנאשם. נשיאת תחמושת – 4,597 כדורים מסוגים שונים, אותם קיבל הנאשם מחייל. כן הורשע הנאשם בקבלת נכסים שהושגו בפשע ובנהיגה ללא רישיון נהיגה וללא ביטוח. מתחם העונש נקבע בין 30-10 חודשי מאסר בפועל, והנאשם נדון ל-12 חודשי מאסר בפועל.</w:t>
      </w:r>
    </w:p>
    <w:p w14:paraId="0C9FCC2F" w14:textId="77777777" w:rsidR="00A34797" w:rsidRPr="003F17D4" w:rsidRDefault="00A34797" w:rsidP="00A34797">
      <w:pPr>
        <w:spacing w:line="360" w:lineRule="auto"/>
        <w:jc w:val="both"/>
        <w:rPr>
          <w:rFonts w:ascii="FrankRuehl" w:eastAsia="Calibri" w:hAnsi="FrankRuehl" w:cs="FrankRuehl"/>
          <w:sz w:val="28"/>
          <w:szCs w:val="28"/>
          <w:rtl/>
        </w:rPr>
      </w:pPr>
    </w:p>
    <w:p w14:paraId="6968E749" w14:textId="77777777" w:rsidR="00A34797" w:rsidRPr="003F17D4" w:rsidRDefault="00A34797" w:rsidP="00A34797">
      <w:pPr>
        <w:spacing w:line="360" w:lineRule="auto"/>
        <w:jc w:val="both"/>
        <w:rPr>
          <w:rFonts w:ascii="FrankRuehl" w:eastAsia="Calibri" w:hAnsi="FrankRuehl" w:cs="FrankRuehl"/>
          <w:sz w:val="28"/>
          <w:szCs w:val="28"/>
          <w:rtl/>
        </w:rPr>
      </w:pPr>
      <w:r w:rsidRPr="003F17D4">
        <w:rPr>
          <w:rFonts w:ascii="FrankRuehl" w:eastAsia="Calibri" w:hAnsi="FrankRuehl" w:cs="FrankRuehl"/>
          <w:sz w:val="28"/>
          <w:szCs w:val="28"/>
          <w:rtl/>
        </w:rPr>
        <w:tab/>
      </w:r>
      <w:hyperlink r:id="rId22" w:history="1">
        <w:r w:rsidR="00693301" w:rsidRPr="00693301">
          <w:rPr>
            <w:rFonts w:ascii="FrankRuehl" w:eastAsia="Calibri" w:hAnsi="FrankRuehl" w:cs="FrankRuehl"/>
            <w:color w:val="0000FF"/>
            <w:sz w:val="28"/>
            <w:szCs w:val="28"/>
            <w:u w:val="single"/>
            <w:rtl/>
          </w:rPr>
          <w:t>ת"פ (ירושלים) 29052-11-20</w:t>
        </w:r>
      </w:hyperlink>
      <w:r w:rsidRPr="003F17D4">
        <w:rPr>
          <w:rFonts w:ascii="FrankRuehl" w:eastAsia="Calibri" w:hAnsi="FrankRuehl" w:cs="FrankRuehl"/>
          <w:sz w:val="28"/>
          <w:szCs w:val="28"/>
          <w:rtl/>
        </w:rPr>
        <w:t xml:space="preserve"> </w:t>
      </w:r>
      <w:r w:rsidRPr="003F17D4">
        <w:rPr>
          <w:rFonts w:ascii="FrankRuehl" w:eastAsia="Calibri" w:hAnsi="FrankRuehl" w:cs="Miriam"/>
          <w:b/>
          <w:sz w:val="28"/>
          <w:rtl/>
        </w:rPr>
        <w:t>מדינת ישראל נ' דאנע</w:t>
      </w:r>
      <w:r w:rsidRPr="003F17D4">
        <w:rPr>
          <w:rFonts w:ascii="FrankRuehl" w:eastAsia="Calibri" w:hAnsi="FrankRuehl" w:cs="FrankRuehl"/>
          <w:sz w:val="28"/>
          <w:szCs w:val="28"/>
          <w:rtl/>
        </w:rPr>
        <w:t xml:space="preserve"> (16.11.22). הוגש ע"י ב"כ הנאשם. החזקת תחמושת – 34 כדורים בקוטר 5.56 מ"מ בתוך גרב שנמצא בתיק אותו נשא הנאשם על גבו עת עבר במחסום שועפט בירושלים. נקבע מתחם עונש בין מאסר על-תנאי לבין 5 חודשי מאסר, והנאשם נדון למאסר על-תנאי, צו מבחן, של"צ, קנס והתחייבות. ב"כ הנאשם הפנה אף לפסיקה שנזכרה בגזר הדין.</w:t>
      </w:r>
    </w:p>
    <w:p w14:paraId="787DCEE8" w14:textId="77777777" w:rsidR="00A34797" w:rsidRPr="003F17D4" w:rsidRDefault="00A34797" w:rsidP="00A34797">
      <w:pPr>
        <w:spacing w:line="360" w:lineRule="auto"/>
        <w:jc w:val="both"/>
        <w:rPr>
          <w:rFonts w:ascii="FrankRuehl" w:eastAsia="Calibri" w:hAnsi="FrankRuehl" w:cs="FrankRuehl"/>
          <w:sz w:val="28"/>
          <w:szCs w:val="28"/>
          <w:rtl/>
        </w:rPr>
      </w:pPr>
    </w:p>
    <w:p w14:paraId="0D778FFF" w14:textId="77777777" w:rsidR="00A34797" w:rsidRPr="003F17D4" w:rsidRDefault="00A34797" w:rsidP="00A34797">
      <w:pPr>
        <w:spacing w:line="360" w:lineRule="auto"/>
        <w:jc w:val="both"/>
        <w:rPr>
          <w:rFonts w:ascii="FrankRuehl" w:eastAsia="Calibri" w:hAnsi="FrankRuehl" w:cs="FrankRuehl"/>
          <w:sz w:val="28"/>
          <w:szCs w:val="28"/>
          <w:rtl/>
        </w:rPr>
      </w:pPr>
      <w:r w:rsidRPr="003F17D4">
        <w:rPr>
          <w:rFonts w:ascii="FrankRuehl" w:eastAsia="Calibri" w:hAnsi="FrankRuehl" w:cs="FrankRuehl"/>
          <w:sz w:val="28"/>
          <w:szCs w:val="28"/>
          <w:rtl/>
        </w:rPr>
        <w:t>6.</w:t>
      </w:r>
      <w:r w:rsidRPr="003F17D4">
        <w:rPr>
          <w:rFonts w:ascii="FrankRuehl" w:eastAsia="Calibri" w:hAnsi="FrankRuehl" w:cs="FrankRuehl"/>
          <w:sz w:val="28"/>
          <w:szCs w:val="28"/>
          <w:rtl/>
        </w:rPr>
        <w:tab/>
        <w:t xml:space="preserve">עיון בפסקי הדין שהגישו הצדדים, מלמד כאמור כי </w:t>
      </w:r>
      <w:r>
        <w:rPr>
          <w:rFonts w:ascii="FrankRuehl" w:eastAsia="Calibri" w:hAnsi="FrankRuehl" w:cs="FrankRuehl" w:hint="cs"/>
          <w:sz w:val="28"/>
          <w:szCs w:val="28"/>
          <w:rtl/>
        </w:rPr>
        <w:t xml:space="preserve">אין הלימה בין מדיניות הענישה הנוהגת והנחיית פרקליט המדינה, לבין עמדתה </w:t>
      </w:r>
      <w:r w:rsidRPr="003F17D4">
        <w:rPr>
          <w:rFonts w:ascii="FrankRuehl" w:eastAsia="Calibri" w:hAnsi="FrankRuehl" w:cs="FrankRuehl"/>
          <w:sz w:val="28"/>
          <w:szCs w:val="28"/>
          <w:rtl/>
        </w:rPr>
        <w:t xml:space="preserve">של המאשימה. בענייננו אין מדובר במי שהחזיק נשק, או במי שנשא כמויות אדירות של תחמושת, כפי חלק מפסקי הדין שהוצגו. מנגד, שילוב העבירות שביצע הנאשם, בתקופה הביטחונית הרגישה בה אנו מצויים, מחייב השתת ענישה הולמת, תוך התחשבות, בין השאר, במגמת ההחמרה העקבית המתחייבת על פי הוראת המחוקק ופסיקת בית המשפט העליון. ראו </w:t>
      </w:r>
      <w:hyperlink r:id="rId23" w:history="1">
        <w:r w:rsidR="00693301" w:rsidRPr="00693301">
          <w:rPr>
            <w:rFonts w:ascii="FrankRuehl" w:eastAsia="Calibri" w:hAnsi="FrankRuehl" w:cs="FrankRuehl"/>
            <w:color w:val="0000FF"/>
            <w:sz w:val="28"/>
            <w:szCs w:val="28"/>
            <w:u w:val="single"/>
            <w:rtl/>
          </w:rPr>
          <w:t>ע"פ 6383/21</w:t>
        </w:r>
      </w:hyperlink>
      <w:r w:rsidRPr="003F17D4">
        <w:rPr>
          <w:rFonts w:ascii="FrankRuehl" w:eastAsia="Calibri" w:hAnsi="FrankRuehl" w:cs="FrankRuehl"/>
          <w:sz w:val="28"/>
          <w:szCs w:val="28"/>
          <w:rtl/>
        </w:rPr>
        <w:t xml:space="preserve"> </w:t>
      </w:r>
      <w:r w:rsidRPr="003F17D4">
        <w:rPr>
          <w:rFonts w:ascii="FrankRuehl" w:eastAsia="Calibri" w:hAnsi="FrankRuehl" w:cs="Miriam"/>
          <w:b/>
          <w:sz w:val="28"/>
          <w:rtl/>
        </w:rPr>
        <w:t xml:space="preserve">עידן קריף נ' מדינת ישראל </w:t>
      </w:r>
      <w:r w:rsidRPr="003F17D4">
        <w:rPr>
          <w:rFonts w:ascii="FrankRuehl" w:eastAsia="Calibri" w:hAnsi="FrankRuehl" w:cs="FrankRuehl"/>
          <w:sz w:val="28"/>
          <w:szCs w:val="28"/>
          <w:rtl/>
        </w:rPr>
        <w:t>(13.2.22, פסקה 3):</w:t>
      </w:r>
    </w:p>
    <w:p w14:paraId="3EDBEAE6" w14:textId="77777777" w:rsidR="00A34797" w:rsidRPr="003F17D4" w:rsidRDefault="00A34797" w:rsidP="00A34797">
      <w:pPr>
        <w:spacing w:line="360" w:lineRule="auto"/>
        <w:jc w:val="both"/>
        <w:rPr>
          <w:rFonts w:ascii="FrankRuehl" w:eastAsia="Calibri" w:hAnsi="FrankRuehl" w:cs="FrankRuehl"/>
          <w:sz w:val="28"/>
          <w:szCs w:val="28"/>
          <w:rtl/>
        </w:rPr>
      </w:pPr>
    </w:p>
    <w:p w14:paraId="15CF5B6A" w14:textId="77777777" w:rsidR="00A34797" w:rsidRPr="003F17D4" w:rsidRDefault="00A34797" w:rsidP="00A34797">
      <w:pPr>
        <w:tabs>
          <w:tab w:val="left" w:pos="720"/>
          <w:tab w:val="left" w:pos="800"/>
          <w:tab w:val="num" w:pos="1049"/>
          <w:tab w:val="right" w:pos="2160"/>
          <w:tab w:val="right" w:pos="2790"/>
        </w:tabs>
        <w:overflowPunct w:val="0"/>
        <w:autoSpaceDE w:val="0"/>
        <w:autoSpaceDN w:val="0"/>
        <w:adjustRightInd w:val="0"/>
        <w:ind w:left="1644" w:right="1247"/>
        <w:jc w:val="both"/>
        <w:rPr>
          <w:rFonts w:ascii="FrankRuehl" w:eastAsia="FrankRuehl" w:hAnsi="FrankRuehl" w:cs="FrankRuehl"/>
          <w:spacing w:val="10"/>
          <w:sz w:val="28"/>
          <w:szCs w:val="28"/>
          <w:rtl/>
        </w:rPr>
      </w:pPr>
      <w:r w:rsidRPr="003F17D4">
        <w:rPr>
          <w:rFonts w:ascii="FrankRuehl" w:eastAsia="FrankRuehl" w:hAnsi="FrankRuehl" w:cs="FrankRuehl"/>
          <w:spacing w:val="10"/>
          <w:sz w:val="28"/>
          <w:szCs w:val="28"/>
          <w:rtl/>
        </w:rPr>
        <w:tab/>
      </w:r>
      <w:r w:rsidRPr="003F17D4">
        <w:rPr>
          <w:rFonts w:ascii="FrankRuehl" w:eastAsia="FrankRuehl" w:hAnsi="FrankRuehl" w:cs="FrankRuehl"/>
          <w:spacing w:val="10"/>
          <w:sz w:val="28"/>
          <w:szCs w:val="28"/>
          <w:rtl/>
        </w:rPr>
        <w:tab/>
        <w:t xml:space="preserve">לעיתים נכון להחמיר בענישה בגין סוגים מסוימים של עבירות בשל אופיין, ויש שנכון להחמיר בענישה בגין ביצוע עבירות מסוימות הואיל ובתקופה הרלוונטית הן הופכות לנפוצות ושגרתיות יותר, עד כי יש לסווגן כ"מכת מדינה". בענייננו, עבירות הנשק דורשות החמרה בשל שני הנימוקים גם יחד. ממד החומרה שבהן נעוץ בזיקתן לכלי בעל כוח קטלני. ובראי התקופה – הפגיעה באינטרס הציבורי ובבטחון הפרט דורשת ענישה מחמירה, מעבר לזו שהייתה נקוטה בעבר. </w:t>
      </w:r>
      <w:r w:rsidRPr="003F17D4">
        <w:rPr>
          <w:rFonts w:cs="FrankRuehl"/>
          <w:spacing w:val="10"/>
          <w:szCs w:val="28"/>
          <w:rtl/>
        </w:rPr>
        <w:t xml:space="preserve">בפסיקה הובהר שוב ושוב בשנים האחרונות כי הענישה בעבירות נשק צריכה להיות מחמירה. לצערנו מספרן והיקפן של עבירות אלה גדלים בשנים האחרונות. פגיעתו הרעה של הנשק אינה תחומה לסביבה העבריינית. </w:t>
      </w:r>
      <w:r w:rsidRPr="003F17D4">
        <w:rPr>
          <w:rFonts w:ascii="FrankRuehl" w:eastAsia="FrankRuehl" w:hAnsi="FrankRuehl" w:cs="FrankRuehl"/>
          <w:spacing w:val="10"/>
          <w:sz w:val="28"/>
          <w:szCs w:val="28"/>
          <w:rtl/>
        </w:rPr>
        <w:t xml:space="preserve">לא פעם נפגעי העבירה נקלעים למקום במקרה, ואינם קשורים למעגל עברייני כלשהו. כל חטאו של נפגע עבירה, לפעמים, הוא בכך שיצא מביתו ובחר להסתובב ברשות הרבים. </w:t>
      </w:r>
    </w:p>
    <w:p w14:paraId="4EF2AD86" w14:textId="77777777" w:rsidR="00A34797" w:rsidRPr="003F17D4" w:rsidRDefault="00A34797" w:rsidP="00A34797">
      <w:pPr>
        <w:tabs>
          <w:tab w:val="left" w:pos="720"/>
          <w:tab w:val="left" w:pos="800"/>
          <w:tab w:val="num" w:pos="1049"/>
          <w:tab w:val="right" w:pos="2160"/>
          <w:tab w:val="right" w:pos="2790"/>
        </w:tabs>
        <w:overflowPunct w:val="0"/>
        <w:autoSpaceDE w:val="0"/>
        <w:autoSpaceDN w:val="0"/>
        <w:adjustRightInd w:val="0"/>
        <w:ind w:left="1644" w:right="1247"/>
        <w:jc w:val="both"/>
        <w:rPr>
          <w:rFonts w:ascii="FrankRuehl" w:eastAsia="FrankRuehl" w:hAnsi="FrankRuehl" w:cs="FrankRuehl"/>
          <w:spacing w:val="10"/>
          <w:sz w:val="28"/>
          <w:szCs w:val="28"/>
          <w:rtl/>
        </w:rPr>
      </w:pPr>
    </w:p>
    <w:p w14:paraId="4EF7DA7A" w14:textId="77777777" w:rsidR="00A34797" w:rsidRPr="003F17D4" w:rsidRDefault="00A34797" w:rsidP="00A34797">
      <w:pPr>
        <w:tabs>
          <w:tab w:val="left" w:pos="720"/>
          <w:tab w:val="left" w:pos="800"/>
          <w:tab w:val="num" w:pos="1049"/>
          <w:tab w:val="right" w:pos="2160"/>
          <w:tab w:val="right" w:pos="2790"/>
        </w:tabs>
        <w:overflowPunct w:val="0"/>
        <w:autoSpaceDE w:val="0"/>
        <w:autoSpaceDN w:val="0"/>
        <w:adjustRightInd w:val="0"/>
        <w:ind w:left="1644" w:right="1247"/>
        <w:jc w:val="both"/>
        <w:rPr>
          <w:rFonts w:ascii="Calibri" w:hAnsi="Calibri" w:cs="FrankRuehl"/>
          <w:spacing w:val="10"/>
          <w:szCs w:val="28"/>
          <w:rtl/>
        </w:rPr>
      </w:pPr>
      <w:r w:rsidRPr="003F17D4">
        <w:rPr>
          <w:rFonts w:ascii="FrankRuehl" w:eastAsia="FrankRuehl" w:hAnsi="FrankRuehl" w:cs="FrankRuehl"/>
          <w:spacing w:val="10"/>
          <w:sz w:val="28"/>
          <w:szCs w:val="28"/>
          <w:rtl/>
        </w:rPr>
        <w:tab/>
      </w:r>
      <w:r w:rsidRPr="003F17D4">
        <w:rPr>
          <w:rFonts w:ascii="FrankRuehl" w:eastAsia="FrankRuehl" w:hAnsi="FrankRuehl" w:cs="FrankRuehl"/>
          <w:spacing w:val="10"/>
          <w:sz w:val="28"/>
          <w:szCs w:val="28"/>
          <w:rtl/>
        </w:rPr>
        <w:tab/>
        <w:t xml:space="preserve">הפגיעה אף אינה תחומה רק לנזק הפיזי שנגרם כתוצאה מהשימוש בנשק בלבד. השימוש בנשק עלול ליצור תחושת חשש, ופחד מפני ביצוע פעולה אלמנטרית שעומדת בליבת חופש התנועה. בכך נוצרת "הרתעה" של הנפגע הפוטנציאלי. זהו רובד אחד. רובד נוסף הוא התעצמות הפעילות העבריינית, פועלה ושאיפתה לשלוט בתחומים רחבים ושונים. התופעות של עסקאות בנשק, הובלתו ונשיאתו, מאיימות לא רק על שלמות הגוף של הציבור, אלא גם על שלום הציבור ועל הסדר הציבורי. אקדח שיורה "במערכה השלישית" גורם כמובן לנזק רב, אך גם אקדח שמונח על השולחן "במערכה הראשונה" – אף אם לא נעשה בו כל שימוש אחר בהמשך – עלול לפגוע בשלום הציבור באופן ממשי. יש לקשור </w:t>
      </w:r>
      <w:r w:rsidRPr="003F17D4">
        <w:rPr>
          <w:rFonts w:cs="FrankRuehl"/>
          <w:spacing w:val="10"/>
          <w:szCs w:val="28"/>
          <w:rtl/>
        </w:rPr>
        <w:t>אפוא מלחמת חורמה על עבירות הנשק למיניהן, וגם על בית המשפט לתרום את חלקו למלחמה זו באמצעות ענישה הולמת ומרתיעה. לא פעם נקבע כי יש להחמיר בענישה בגין עבירות נשק, ולהעניק משקל מרכזי לשיקול של הרתעת הכלל (</w:t>
      </w:r>
      <w:hyperlink r:id="rId24" w:history="1">
        <w:r w:rsidR="00693301" w:rsidRPr="00693301">
          <w:rPr>
            <w:rFonts w:cs="FrankRuehl"/>
            <w:color w:val="0000FF"/>
            <w:spacing w:val="10"/>
            <w:szCs w:val="28"/>
            <w:u w:val="single"/>
            <w:rtl/>
          </w:rPr>
          <w:t>ע"פ 1768/14</w:t>
        </w:r>
      </w:hyperlink>
      <w:r w:rsidR="00693301">
        <w:rPr>
          <w:rFonts w:cs="FrankRuehl"/>
          <w:spacing w:val="10"/>
          <w:szCs w:val="28"/>
        </w:rPr>
        <w:t xml:space="preserve"> </w:t>
      </w:r>
      <w:r w:rsidRPr="003F17D4">
        <w:rPr>
          <w:rFonts w:ascii="Century" w:hAnsi="Century" w:cs="Miriam"/>
          <w:b/>
          <w:sz w:val="22"/>
          <w:rtl/>
        </w:rPr>
        <w:t xml:space="preserve">גנאיים נ' מדינת ישראל </w:t>
      </w:r>
      <w:r w:rsidRPr="003F17D4">
        <w:rPr>
          <w:rFonts w:cs="FrankRuehl"/>
          <w:spacing w:val="10"/>
          <w:szCs w:val="28"/>
          <w:rtl/>
        </w:rPr>
        <w:t xml:space="preserve">פסקה 11 (22.7.2014); </w:t>
      </w:r>
      <w:hyperlink r:id="rId25" w:history="1">
        <w:r w:rsidR="00693301" w:rsidRPr="00693301">
          <w:rPr>
            <w:rFonts w:cs="FrankRuehl"/>
            <w:color w:val="0000FF"/>
            <w:spacing w:val="10"/>
            <w:szCs w:val="28"/>
            <w:u w:val="single"/>
            <w:rtl/>
          </w:rPr>
          <w:t>ע"פ 3138/11</w:t>
        </w:r>
      </w:hyperlink>
      <w:r w:rsidR="00693301">
        <w:rPr>
          <w:rFonts w:cs="FrankRuehl"/>
          <w:spacing w:val="10"/>
          <w:szCs w:val="28"/>
        </w:rPr>
        <w:t xml:space="preserve"> </w:t>
      </w:r>
      <w:r w:rsidRPr="003F17D4">
        <w:rPr>
          <w:rFonts w:ascii="Century" w:hAnsi="Century" w:cs="Miriam"/>
          <w:b/>
          <w:sz w:val="22"/>
          <w:rtl/>
        </w:rPr>
        <w:t>הייבי נ' מדינת ישראל</w:t>
      </w:r>
      <w:r w:rsidRPr="003F17D4">
        <w:rPr>
          <w:rFonts w:cs="FrankRuehl"/>
          <w:spacing w:val="10"/>
          <w:szCs w:val="28"/>
          <w:rtl/>
        </w:rPr>
        <w:t xml:space="preserve">, פסקה 5 (6.3.2012)). </w:t>
      </w:r>
    </w:p>
    <w:p w14:paraId="15854A46" w14:textId="77777777" w:rsidR="00A34797" w:rsidRPr="003F17D4" w:rsidRDefault="00A34797" w:rsidP="00A34797">
      <w:pPr>
        <w:spacing w:line="360" w:lineRule="auto"/>
        <w:jc w:val="both"/>
        <w:rPr>
          <w:rFonts w:ascii="FrankRuehl" w:eastAsia="Calibri" w:hAnsi="FrankRuehl" w:cs="FrankRuehl"/>
          <w:sz w:val="28"/>
          <w:szCs w:val="28"/>
          <w:rtl/>
        </w:rPr>
      </w:pPr>
    </w:p>
    <w:p w14:paraId="357F0BA3" w14:textId="77777777" w:rsidR="00A34797" w:rsidRPr="003F17D4" w:rsidRDefault="00A34797" w:rsidP="00A34797">
      <w:pPr>
        <w:spacing w:line="360" w:lineRule="auto"/>
        <w:jc w:val="both"/>
        <w:rPr>
          <w:rFonts w:ascii="FrankRuehl" w:eastAsia="Calibri" w:hAnsi="FrankRuehl" w:cs="FrankRuehl"/>
          <w:sz w:val="28"/>
          <w:szCs w:val="28"/>
          <w:rtl/>
        </w:rPr>
      </w:pPr>
      <w:r w:rsidRPr="003F17D4">
        <w:rPr>
          <w:rFonts w:ascii="FrankRuehl" w:eastAsia="Calibri" w:hAnsi="FrankRuehl" w:cs="FrankRuehl"/>
          <w:sz w:val="28"/>
          <w:szCs w:val="28"/>
          <w:rtl/>
        </w:rPr>
        <w:t>7.</w:t>
      </w:r>
      <w:r w:rsidRPr="003F17D4">
        <w:rPr>
          <w:rFonts w:ascii="FrankRuehl" w:eastAsia="Calibri" w:hAnsi="FrankRuehl" w:cs="FrankRuehl"/>
          <w:sz w:val="28"/>
          <w:szCs w:val="28"/>
          <w:rtl/>
        </w:rPr>
        <w:tab/>
        <w:t xml:space="preserve">על רקע השיקולים עליהם עמדתי, תוך התחשבות במדיניות הענישה, אני קובע את מתחם העונש בין </w:t>
      </w:r>
      <w:r>
        <w:rPr>
          <w:rFonts w:ascii="FrankRuehl" w:eastAsia="Calibri" w:hAnsi="FrankRuehl" w:cs="FrankRuehl" w:hint="cs"/>
          <w:sz w:val="28"/>
          <w:szCs w:val="28"/>
          <w:rtl/>
        </w:rPr>
        <w:t>מספר</w:t>
      </w:r>
      <w:r w:rsidRPr="003F17D4">
        <w:rPr>
          <w:rFonts w:ascii="FrankRuehl" w:eastAsia="Calibri" w:hAnsi="FrankRuehl" w:cs="FrankRuehl"/>
          <w:sz w:val="28"/>
          <w:szCs w:val="28"/>
          <w:rtl/>
        </w:rPr>
        <w:t xml:space="preserve"> חודשי</w:t>
      </w:r>
      <w:r>
        <w:rPr>
          <w:rFonts w:ascii="FrankRuehl" w:eastAsia="Calibri" w:hAnsi="FrankRuehl" w:cs="FrankRuehl" w:hint="cs"/>
          <w:sz w:val="28"/>
          <w:szCs w:val="28"/>
          <w:rtl/>
        </w:rPr>
        <w:t xml:space="preserve"> מאסר בפועל לבין 8 חודשים</w:t>
      </w:r>
      <w:r w:rsidRPr="003F17D4">
        <w:rPr>
          <w:rFonts w:ascii="FrankRuehl" w:eastAsia="Calibri" w:hAnsi="FrankRuehl" w:cs="FrankRuehl"/>
          <w:sz w:val="28"/>
          <w:szCs w:val="28"/>
          <w:rtl/>
        </w:rPr>
        <w:t>.</w:t>
      </w:r>
    </w:p>
    <w:p w14:paraId="65EE4C7F" w14:textId="77777777" w:rsidR="00A34797" w:rsidRPr="003F17D4" w:rsidRDefault="00A34797" w:rsidP="00A34797">
      <w:pPr>
        <w:spacing w:line="360" w:lineRule="auto"/>
        <w:jc w:val="both"/>
        <w:rPr>
          <w:rFonts w:ascii="FrankRuehl" w:eastAsia="Calibri" w:hAnsi="FrankRuehl" w:cs="FrankRuehl"/>
          <w:sz w:val="28"/>
          <w:szCs w:val="28"/>
          <w:rtl/>
        </w:rPr>
      </w:pPr>
    </w:p>
    <w:p w14:paraId="01F98DA4" w14:textId="77777777" w:rsidR="00A34797" w:rsidRDefault="00A34797" w:rsidP="00A34797">
      <w:pPr>
        <w:spacing w:line="360" w:lineRule="auto"/>
        <w:jc w:val="both"/>
        <w:rPr>
          <w:rFonts w:ascii="FrankRuehl" w:eastAsia="Calibri" w:hAnsi="FrankRuehl" w:cs="FrankRuehl"/>
          <w:sz w:val="28"/>
          <w:szCs w:val="28"/>
          <w:rtl/>
        </w:rPr>
      </w:pPr>
      <w:r w:rsidRPr="003F17D4">
        <w:rPr>
          <w:rFonts w:ascii="FrankRuehl" w:eastAsia="Calibri" w:hAnsi="FrankRuehl" w:cs="FrankRuehl"/>
          <w:sz w:val="28"/>
          <w:szCs w:val="28"/>
          <w:rtl/>
        </w:rPr>
        <w:tab/>
        <w:t>בגזירת העונש בתוך המתחם התחשבתי בגילו הצעיר של הנאשם, בכך שמדובר במעורבותו היחידה בפלילים, ובהודייתו בשלב מוקדם מאוד של ההליך. מכאן, החלטתי לקבוע את עונשו בתחתית המתחם.</w:t>
      </w:r>
      <w:r>
        <w:rPr>
          <w:rFonts w:ascii="FrankRuehl" w:eastAsia="Calibri" w:hAnsi="FrankRuehl" w:cs="FrankRuehl" w:hint="cs"/>
          <w:sz w:val="28"/>
          <w:szCs w:val="28"/>
          <w:rtl/>
        </w:rPr>
        <w:t xml:space="preserve"> בהתחשב בכך שהנאשם נכנס לראשונה בחייו אל בין כותלי בית האסורים ובתקופת מאסרו, החלטתי להסתפק ברכיב כספי צופה פני עתיד.</w:t>
      </w:r>
    </w:p>
    <w:p w14:paraId="5DBB7676" w14:textId="77777777" w:rsidR="00A34797" w:rsidRPr="003F17D4" w:rsidRDefault="00A34797" w:rsidP="00A34797">
      <w:pPr>
        <w:spacing w:line="360" w:lineRule="auto"/>
        <w:jc w:val="both"/>
        <w:rPr>
          <w:rFonts w:ascii="FrankRuehl" w:eastAsia="Calibri" w:hAnsi="FrankRuehl" w:cs="FrankRuehl"/>
          <w:sz w:val="28"/>
          <w:szCs w:val="28"/>
          <w:rtl/>
        </w:rPr>
      </w:pPr>
    </w:p>
    <w:p w14:paraId="7BBC7B4F" w14:textId="77777777" w:rsidR="00A34797" w:rsidRPr="003F17D4" w:rsidRDefault="00A34797" w:rsidP="00A34797">
      <w:pPr>
        <w:spacing w:line="360" w:lineRule="auto"/>
        <w:ind w:firstLine="720"/>
        <w:jc w:val="both"/>
        <w:rPr>
          <w:rFonts w:ascii="FrankRuehl" w:hAnsi="FrankRuehl" w:cs="FrankRuehl"/>
          <w:sz w:val="28"/>
          <w:szCs w:val="28"/>
          <w:rtl/>
        </w:rPr>
      </w:pPr>
      <w:r w:rsidRPr="003F17D4">
        <w:rPr>
          <w:rFonts w:ascii="FrankRuehl" w:hAnsi="FrankRuehl" w:cs="FrankRuehl"/>
          <w:sz w:val="28"/>
          <w:szCs w:val="28"/>
          <w:rtl/>
        </w:rPr>
        <w:t>אני גוזר על הנאשם את העונשים הבאים:</w:t>
      </w:r>
    </w:p>
    <w:p w14:paraId="08D392DE" w14:textId="77777777" w:rsidR="00A34797" w:rsidRPr="003F17D4" w:rsidRDefault="00A34797" w:rsidP="00A34797">
      <w:pPr>
        <w:spacing w:line="360" w:lineRule="auto"/>
        <w:ind w:left="1440" w:hanging="720"/>
        <w:jc w:val="both"/>
        <w:rPr>
          <w:rFonts w:ascii="FrankRuehl" w:hAnsi="FrankRuehl" w:cs="FrankRuehl"/>
          <w:sz w:val="28"/>
          <w:szCs w:val="28"/>
          <w:rtl/>
        </w:rPr>
      </w:pPr>
      <w:r w:rsidRPr="003F17D4">
        <w:rPr>
          <w:rFonts w:ascii="FrankRuehl" w:hAnsi="FrankRuehl" w:cs="FrankRuehl"/>
          <w:sz w:val="28"/>
          <w:szCs w:val="28"/>
          <w:rtl/>
        </w:rPr>
        <w:t>א.</w:t>
      </w:r>
      <w:r w:rsidRPr="003F17D4">
        <w:rPr>
          <w:rFonts w:ascii="FrankRuehl" w:hAnsi="FrankRuehl" w:cs="FrankRuehl"/>
          <w:sz w:val="28"/>
          <w:szCs w:val="28"/>
          <w:rtl/>
        </w:rPr>
        <w:tab/>
      </w:r>
      <w:r>
        <w:rPr>
          <w:rFonts w:ascii="FrankRuehl" w:hAnsi="FrankRuehl" w:cs="FrankRuehl" w:hint="cs"/>
          <w:sz w:val="28"/>
          <w:szCs w:val="28"/>
          <w:rtl/>
        </w:rPr>
        <w:t>4</w:t>
      </w:r>
      <w:r w:rsidRPr="003F17D4">
        <w:rPr>
          <w:rFonts w:ascii="FrankRuehl" w:hAnsi="FrankRuehl" w:cs="FrankRuehl"/>
          <w:sz w:val="28"/>
          <w:szCs w:val="28"/>
          <w:rtl/>
        </w:rPr>
        <w:t xml:space="preserve"> חודשי מאסר בפועל אשר ימנו מיום מעצרו – 3.2.23.</w:t>
      </w:r>
    </w:p>
    <w:p w14:paraId="37B60A38" w14:textId="77777777" w:rsidR="00A34797" w:rsidRPr="003F17D4" w:rsidRDefault="00A34797" w:rsidP="00A34797">
      <w:pPr>
        <w:spacing w:line="360" w:lineRule="auto"/>
        <w:ind w:left="1440" w:hanging="720"/>
        <w:jc w:val="both"/>
        <w:rPr>
          <w:rFonts w:ascii="FrankRuehl" w:hAnsi="FrankRuehl" w:cs="FrankRuehl"/>
          <w:sz w:val="28"/>
          <w:szCs w:val="28"/>
          <w:rtl/>
        </w:rPr>
      </w:pPr>
      <w:r w:rsidRPr="003F17D4">
        <w:rPr>
          <w:rFonts w:ascii="FrankRuehl" w:hAnsi="FrankRuehl" w:cs="FrankRuehl"/>
          <w:sz w:val="28"/>
          <w:szCs w:val="28"/>
          <w:rtl/>
        </w:rPr>
        <w:t>ב.</w:t>
      </w:r>
      <w:r w:rsidRPr="003F17D4">
        <w:rPr>
          <w:rFonts w:ascii="FrankRuehl" w:hAnsi="FrankRuehl" w:cs="FrankRuehl"/>
          <w:sz w:val="28"/>
          <w:szCs w:val="28"/>
          <w:rtl/>
        </w:rPr>
        <w:tab/>
        <w:t xml:space="preserve">4 חודשי מאסר אותם לא ירצה הנאשם אלא אם יעבור תוך שלוש שנים עבירה על </w:t>
      </w:r>
      <w:hyperlink r:id="rId26" w:history="1">
        <w:r w:rsidR="00693301" w:rsidRPr="00693301">
          <w:rPr>
            <w:rFonts w:ascii="FrankRuehl" w:hAnsi="FrankRuehl" w:cs="FrankRuehl"/>
            <w:color w:val="0000FF"/>
            <w:sz w:val="28"/>
            <w:szCs w:val="28"/>
            <w:u w:val="single"/>
            <w:rtl/>
          </w:rPr>
          <w:t>חוק הכניסה לישראל</w:t>
        </w:r>
      </w:hyperlink>
      <w:r w:rsidRPr="003F17D4">
        <w:rPr>
          <w:rFonts w:ascii="FrankRuehl" w:hAnsi="FrankRuehl" w:cs="FrankRuehl"/>
          <w:sz w:val="28"/>
          <w:szCs w:val="28"/>
          <w:rtl/>
        </w:rPr>
        <w:t xml:space="preserve"> או עבירה הקשורה בנשק או בתחמושת או החזקת סכין שלא כדין.</w:t>
      </w:r>
    </w:p>
    <w:p w14:paraId="5DB2C954" w14:textId="77777777" w:rsidR="00A34797" w:rsidRPr="003F17D4" w:rsidRDefault="00A34797" w:rsidP="00A34797">
      <w:pPr>
        <w:spacing w:line="360" w:lineRule="auto"/>
        <w:ind w:left="1440" w:hanging="720"/>
        <w:jc w:val="both"/>
        <w:rPr>
          <w:rFonts w:ascii="FrankRuehl" w:hAnsi="FrankRuehl" w:cs="FrankRuehl"/>
          <w:sz w:val="28"/>
          <w:szCs w:val="28"/>
          <w:rtl/>
        </w:rPr>
      </w:pPr>
      <w:r w:rsidRPr="003F17D4">
        <w:rPr>
          <w:rFonts w:ascii="FrankRuehl" w:hAnsi="FrankRuehl" w:cs="FrankRuehl"/>
          <w:sz w:val="28"/>
          <w:szCs w:val="28"/>
          <w:rtl/>
        </w:rPr>
        <w:t>ג.</w:t>
      </w:r>
      <w:r w:rsidRPr="003F17D4">
        <w:rPr>
          <w:rFonts w:ascii="FrankRuehl" w:hAnsi="FrankRuehl" w:cs="FrankRuehl"/>
          <w:sz w:val="28"/>
          <w:szCs w:val="28"/>
          <w:rtl/>
        </w:rPr>
        <w:tab/>
      </w:r>
      <w:r>
        <w:rPr>
          <w:rFonts w:ascii="FrankRuehl" w:hAnsi="FrankRuehl" w:cs="FrankRuehl" w:hint="cs"/>
          <w:sz w:val="28"/>
          <w:szCs w:val="28"/>
          <w:rtl/>
        </w:rPr>
        <w:t xml:space="preserve">הנאשם ייתן התחייבות בסך 1,500 לבל יעבור במשך 3 שנים עבירה על </w:t>
      </w:r>
      <w:hyperlink r:id="rId27" w:history="1">
        <w:r w:rsidR="00693301" w:rsidRPr="00693301">
          <w:rPr>
            <w:rFonts w:ascii="FrankRuehl" w:hAnsi="FrankRuehl" w:cs="FrankRuehl"/>
            <w:color w:val="0000FF"/>
            <w:sz w:val="28"/>
            <w:szCs w:val="28"/>
            <w:u w:val="single"/>
            <w:rtl/>
          </w:rPr>
          <w:t>חוק הכניסה לישראל</w:t>
        </w:r>
      </w:hyperlink>
      <w:r>
        <w:rPr>
          <w:rFonts w:ascii="FrankRuehl" w:hAnsi="FrankRuehl" w:cs="FrankRuehl" w:hint="cs"/>
          <w:sz w:val="28"/>
          <w:szCs w:val="28"/>
          <w:rtl/>
        </w:rPr>
        <w:t>, או עבירה הקשורה בנשק או בתחמושת או החזקת סכין שלא כדין. הנאשם יצהיר על התחייבותו לפניי, שאם לא כן ירצה מאסר בן 5 ימים. ההתחייבות תיכנס לתוקף במועד שחרורו ממאסר.</w:t>
      </w:r>
    </w:p>
    <w:p w14:paraId="2EE28431" w14:textId="77777777" w:rsidR="00A34797" w:rsidRPr="00693301" w:rsidRDefault="00693301" w:rsidP="00A34797">
      <w:pPr>
        <w:spacing w:line="360" w:lineRule="auto"/>
        <w:jc w:val="both"/>
        <w:rPr>
          <w:rFonts w:ascii="FrankRuehl" w:hAnsi="FrankRuehl" w:cs="FrankRuehl"/>
          <w:color w:val="FFFFFF"/>
          <w:sz w:val="2"/>
          <w:szCs w:val="2"/>
          <w:rtl/>
        </w:rPr>
      </w:pPr>
      <w:r w:rsidRPr="00693301">
        <w:rPr>
          <w:rFonts w:ascii="FrankRuehl" w:hAnsi="FrankRuehl" w:cs="FrankRuehl"/>
          <w:color w:val="FFFFFF"/>
          <w:sz w:val="2"/>
          <w:szCs w:val="2"/>
          <w:rtl/>
        </w:rPr>
        <w:t>5129371</w:t>
      </w:r>
    </w:p>
    <w:p w14:paraId="42F61C20" w14:textId="77777777" w:rsidR="00A34797" w:rsidRDefault="00693301" w:rsidP="00A34797">
      <w:pPr>
        <w:spacing w:line="360" w:lineRule="auto"/>
        <w:jc w:val="both"/>
        <w:rPr>
          <w:rFonts w:ascii="FrankRuehl" w:hAnsi="FrankRuehl" w:cs="Miriam"/>
          <w:b/>
          <w:sz w:val="28"/>
          <w:u w:val="single"/>
          <w:rtl/>
        </w:rPr>
      </w:pPr>
      <w:r w:rsidRPr="00693301">
        <w:rPr>
          <w:rFonts w:ascii="FrankRuehl" w:hAnsi="FrankRuehl" w:cs="Miriam"/>
          <w:b/>
          <w:color w:val="FFFFFF"/>
          <w:sz w:val="2"/>
          <w:szCs w:val="2"/>
          <w:u w:val="single"/>
          <w:rtl/>
        </w:rPr>
        <w:t>54678313</w:t>
      </w:r>
      <w:r w:rsidR="00A34797" w:rsidRPr="003F17D4">
        <w:rPr>
          <w:rFonts w:ascii="FrankRuehl" w:hAnsi="FrankRuehl" w:cs="Miriam"/>
          <w:b/>
          <w:sz w:val="28"/>
          <w:u w:val="single"/>
          <w:rtl/>
        </w:rPr>
        <w:t>זכות ערעור לבית המשפט המחוזי תוך 45 ימים מהיום.</w:t>
      </w:r>
    </w:p>
    <w:p w14:paraId="76A1C6AC" w14:textId="77777777" w:rsidR="00A34797" w:rsidRPr="003F17D4" w:rsidRDefault="00A34797" w:rsidP="00A34797">
      <w:pPr>
        <w:spacing w:line="360" w:lineRule="auto"/>
        <w:jc w:val="both"/>
        <w:rPr>
          <w:rFonts w:ascii="FrankRuehl" w:hAnsi="FrankRuehl" w:cs="Miriam"/>
          <w:b/>
          <w:sz w:val="28"/>
          <w:u w:val="single"/>
          <w:rtl/>
        </w:rPr>
      </w:pPr>
    </w:p>
    <w:p w14:paraId="374FA687" w14:textId="77777777" w:rsidR="00A34797" w:rsidRPr="000F2247" w:rsidRDefault="00693301" w:rsidP="00A34797">
      <w:pPr>
        <w:spacing w:line="360" w:lineRule="auto"/>
        <w:jc w:val="both"/>
        <w:rPr>
          <w:rFonts w:ascii="Arial" w:hAnsi="Arial"/>
          <w:b/>
          <w:bCs/>
          <w:sz w:val="26"/>
          <w:szCs w:val="26"/>
          <w:rtl/>
        </w:rPr>
      </w:pPr>
      <w:bookmarkStart w:id="8" w:name="Nitan"/>
      <w:r>
        <w:rPr>
          <w:rFonts w:ascii="FrankRuehl" w:hAnsi="FrankRuehl" w:cs="FrankRuehl"/>
          <w:sz w:val="28"/>
          <w:szCs w:val="28"/>
          <w:rtl/>
        </w:rPr>
        <w:t xml:space="preserve">ניתן היום,  כ"ח אדר תשפ"ג, 21 מרץ 2023, במעמד הצדדים.    </w:t>
      </w:r>
      <w:bookmarkEnd w:id="8"/>
      <w:r w:rsidR="00A34797">
        <w:rPr>
          <w:rFonts w:ascii="Arial" w:hAnsi="Arial"/>
          <w:b/>
          <w:bCs/>
          <w:sz w:val="26"/>
          <w:szCs w:val="26"/>
          <w:rtl/>
        </w:rPr>
        <w:tab/>
      </w:r>
      <w:r w:rsidR="00A34797">
        <w:rPr>
          <w:rFonts w:ascii="Arial" w:hAnsi="Arial" w:hint="cs"/>
          <w:b/>
          <w:bCs/>
          <w:sz w:val="26"/>
          <w:szCs w:val="26"/>
          <w:rtl/>
        </w:rPr>
        <w:t xml:space="preserve">         </w:t>
      </w:r>
    </w:p>
    <w:p w14:paraId="05B44E35" w14:textId="77777777" w:rsidR="00A34797" w:rsidRPr="000F2247" w:rsidRDefault="00A34797" w:rsidP="00693301">
      <w:pPr>
        <w:jc w:val="right"/>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128ED77" w14:textId="77777777" w:rsidR="00A34797" w:rsidRPr="000F2247" w:rsidRDefault="00A34797" w:rsidP="00A34797">
      <w:pPr>
        <w:jc w:val="center"/>
        <w:rPr>
          <w:rFonts w:ascii="Arial" w:hAnsi="Arial"/>
          <w:b/>
          <w:bCs/>
          <w:sz w:val="26"/>
          <w:szCs w:val="26"/>
          <w:rtl/>
        </w:rPr>
      </w:pPr>
    </w:p>
    <w:p w14:paraId="4A2AE07F" w14:textId="77777777" w:rsidR="00984568" w:rsidRPr="00693301" w:rsidRDefault="00984568" w:rsidP="00693301">
      <w:pPr>
        <w:keepNext/>
        <w:rPr>
          <w:rFonts w:ascii="David" w:hAnsi="David"/>
          <w:color w:val="000000"/>
          <w:sz w:val="22"/>
          <w:szCs w:val="22"/>
          <w:rtl/>
        </w:rPr>
      </w:pPr>
    </w:p>
    <w:p w14:paraId="69F34220" w14:textId="77777777" w:rsidR="00693301" w:rsidRPr="00693301" w:rsidRDefault="00693301" w:rsidP="00693301">
      <w:pPr>
        <w:keepNext/>
        <w:rPr>
          <w:rFonts w:ascii="David" w:hAnsi="David"/>
          <w:color w:val="000000"/>
          <w:sz w:val="22"/>
          <w:szCs w:val="22"/>
          <w:rtl/>
        </w:rPr>
      </w:pPr>
      <w:r w:rsidRPr="00693301">
        <w:rPr>
          <w:rFonts w:ascii="David" w:hAnsi="David"/>
          <w:color w:val="000000"/>
          <w:sz w:val="22"/>
          <w:szCs w:val="22"/>
          <w:rtl/>
        </w:rPr>
        <w:t>גיא אבנון 54678313</w:t>
      </w:r>
    </w:p>
    <w:p w14:paraId="343CA53C" w14:textId="77777777" w:rsidR="00693301" w:rsidRDefault="00693301" w:rsidP="00693301">
      <w:r w:rsidRPr="00693301">
        <w:rPr>
          <w:color w:val="000000"/>
          <w:rtl/>
        </w:rPr>
        <w:t>נוסח מסמך זה כפוף לשינויי ניסוח ועריכה</w:t>
      </w:r>
    </w:p>
    <w:p w14:paraId="159BBFF2" w14:textId="77777777" w:rsidR="00693301" w:rsidRDefault="00693301" w:rsidP="00693301">
      <w:pPr>
        <w:rPr>
          <w:rtl/>
        </w:rPr>
      </w:pPr>
    </w:p>
    <w:p w14:paraId="131F75E4" w14:textId="77777777" w:rsidR="00693301" w:rsidRDefault="00693301" w:rsidP="00693301">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38FA708A" w14:textId="77777777" w:rsidR="00693301" w:rsidRPr="00693301" w:rsidRDefault="00693301" w:rsidP="00693301">
      <w:pPr>
        <w:jc w:val="center"/>
        <w:rPr>
          <w:color w:val="0000FF"/>
          <w:u w:val="single"/>
        </w:rPr>
      </w:pPr>
    </w:p>
    <w:sectPr w:rsidR="00693301" w:rsidRPr="00693301" w:rsidSect="00693301">
      <w:headerReference w:type="even" r:id="rId29"/>
      <w:headerReference w:type="default" r:id="rId30"/>
      <w:footerReference w:type="even" r:id="rId31"/>
      <w:footerReference w:type="default" r:id="rId32"/>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2CAA97" w14:textId="77777777" w:rsidR="00A2073D" w:rsidRDefault="00A2073D" w:rsidP="009E6DC4">
      <w:r>
        <w:separator/>
      </w:r>
    </w:p>
  </w:endnote>
  <w:endnote w:type="continuationSeparator" w:id="0">
    <w:p w14:paraId="43E53CF6" w14:textId="77777777" w:rsidR="00A2073D" w:rsidRDefault="00A2073D" w:rsidP="009E6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0162A" w14:textId="77777777" w:rsidR="00693301" w:rsidRDefault="00693301" w:rsidP="0069330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74F2844" w14:textId="77777777" w:rsidR="001D442A" w:rsidRPr="00693301" w:rsidRDefault="00693301" w:rsidP="0069330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21B08" w14:textId="77777777" w:rsidR="00693301" w:rsidRDefault="00693301" w:rsidP="0069330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E3D4C">
      <w:rPr>
        <w:rFonts w:ascii="FrankRuehl" w:hAnsi="FrankRuehl" w:cs="FrankRuehl"/>
        <w:noProof/>
        <w:rtl/>
      </w:rPr>
      <w:t>1</w:t>
    </w:r>
    <w:r>
      <w:rPr>
        <w:rFonts w:ascii="FrankRuehl" w:hAnsi="FrankRuehl" w:cs="FrankRuehl"/>
        <w:rtl/>
      </w:rPr>
      <w:fldChar w:fldCharType="end"/>
    </w:r>
  </w:p>
  <w:p w14:paraId="7B53F0F2" w14:textId="77777777" w:rsidR="001D442A" w:rsidRPr="00693301" w:rsidRDefault="00693301" w:rsidP="0069330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A4A4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3B19F9" w14:textId="77777777" w:rsidR="00A2073D" w:rsidRDefault="00A2073D" w:rsidP="009E6DC4">
      <w:r>
        <w:separator/>
      </w:r>
    </w:p>
  </w:footnote>
  <w:footnote w:type="continuationSeparator" w:id="0">
    <w:p w14:paraId="3658DE1E" w14:textId="77777777" w:rsidR="00A2073D" w:rsidRDefault="00A2073D" w:rsidP="009E6D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37A0E" w14:textId="77777777" w:rsidR="00693301" w:rsidRPr="00693301" w:rsidRDefault="00693301" w:rsidP="0069330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12493-02-23</w:t>
    </w:r>
    <w:r>
      <w:rPr>
        <w:rFonts w:ascii="David" w:hAnsi="David"/>
        <w:color w:val="000000"/>
        <w:sz w:val="22"/>
        <w:szCs w:val="22"/>
        <w:rtl/>
      </w:rPr>
      <w:tab/>
      <w:t xml:space="preserve"> מדינת ישראל נ' מאגד לימון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3E36E" w14:textId="77777777" w:rsidR="00693301" w:rsidRPr="00693301" w:rsidRDefault="00693301" w:rsidP="0069330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12493-02-23</w:t>
    </w:r>
    <w:r>
      <w:rPr>
        <w:rFonts w:ascii="David" w:hAnsi="David"/>
        <w:color w:val="000000"/>
        <w:sz w:val="22"/>
        <w:szCs w:val="22"/>
        <w:rtl/>
      </w:rPr>
      <w:tab/>
      <w:t xml:space="preserve"> מדינת ישראל נ' מאגד לימון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34797"/>
    <w:rsid w:val="001C6075"/>
    <w:rsid w:val="001D442A"/>
    <w:rsid w:val="00290086"/>
    <w:rsid w:val="002A2CE6"/>
    <w:rsid w:val="003A7F0B"/>
    <w:rsid w:val="003E3D4C"/>
    <w:rsid w:val="00693301"/>
    <w:rsid w:val="0087581C"/>
    <w:rsid w:val="00951EE6"/>
    <w:rsid w:val="00984568"/>
    <w:rsid w:val="009A4E4C"/>
    <w:rsid w:val="009E6DC4"/>
    <w:rsid w:val="00A2073D"/>
    <w:rsid w:val="00A34797"/>
    <w:rsid w:val="00AC02B6"/>
    <w:rsid w:val="00B62D09"/>
    <w:rsid w:val="00D57E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88EFA2"/>
  <w15:chartTrackingRefBased/>
  <w15:docId w15:val="{F33F7E86-1534-4088-B013-702550AF8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3479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34797"/>
    <w:pPr>
      <w:tabs>
        <w:tab w:val="center" w:pos="4153"/>
        <w:tab w:val="right" w:pos="8306"/>
      </w:tabs>
    </w:pPr>
  </w:style>
  <w:style w:type="character" w:customStyle="1" w:styleId="a4">
    <w:name w:val="כותרת עליונה תו"/>
    <w:link w:val="a3"/>
    <w:rsid w:val="00A34797"/>
    <w:rPr>
      <w:rFonts w:ascii="Times New Roman" w:eastAsia="Times New Roman" w:hAnsi="Times New Roman" w:cs="David"/>
      <w:sz w:val="24"/>
      <w:szCs w:val="24"/>
    </w:rPr>
  </w:style>
  <w:style w:type="paragraph" w:styleId="a5">
    <w:name w:val="footer"/>
    <w:basedOn w:val="a"/>
    <w:link w:val="a6"/>
    <w:rsid w:val="00A34797"/>
    <w:pPr>
      <w:tabs>
        <w:tab w:val="center" w:pos="4153"/>
        <w:tab w:val="right" w:pos="8306"/>
      </w:tabs>
    </w:pPr>
  </w:style>
  <w:style w:type="character" w:customStyle="1" w:styleId="a6">
    <w:name w:val="כותרת תחתונה תו"/>
    <w:link w:val="a5"/>
    <w:rsid w:val="00A34797"/>
    <w:rPr>
      <w:rFonts w:ascii="Times New Roman" w:eastAsia="Times New Roman" w:hAnsi="Times New Roman" w:cs="David"/>
      <w:sz w:val="24"/>
      <w:szCs w:val="24"/>
    </w:rPr>
  </w:style>
  <w:style w:type="character" w:styleId="a7">
    <w:name w:val="page number"/>
    <w:rsid w:val="00A34797"/>
  </w:style>
  <w:style w:type="character" w:styleId="Hyperlink">
    <w:name w:val="Hyperlink"/>
    <w:rsid w:val="006933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27472496" TargetMode="External"/><Relationship Id="rId26" Type="http://schemas.openxmlformats.org/officeDocument/2006/relationships/hyperlink" Target="http://www.nevo.co.il/law/90721" TargetMode="External"/><Relationship Id="rId3" Type="http://schemas.openxmlformats.org/officeDocument/2006/relationships/webSettings" Target="webSettings.xml"/><Relationship Id="rId21" Type="http://schemas.openxmlformats.org/officeDocument/2006/relationships/hyperlink" Target="http://www.nevo.co.il/case/27796716" TargetMode="External"/><Relationship Id="rId34" Type="http://schemas.openxmlformats.org/officeDocument/2006/relationships/theme" Target="theme/theme1.xml"/><Relationship Id="rId7" Type="http://schemas.openxmlformats.org/officeDocument/2006/relationships/hyperlink" Target="http://www.nevo.co.il/law/90721/12.1" TargetMode="External"/><Relationship Id="rId12" Type="http://schemas.openxmlformats.org/officeDocument/2006/relationships/hyperlink" Target="http://www.nevo.co.il/law/90721" TargetMode="External"/><Relationship Id="rId17" Type="http://schemas.openxmlformats.org/officeDocument/2006/relationships/hyperlink" Target="http://www.nevo.co.il/case/25760654" TargetMode="External"/><Relationship Id="rId25" Type="http://schemas.openxmlformats.org/officeDocument/2006/relationships/hyperlink" Target="http://www.nevo.co.il/case/5878120"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case/27910054" TargetMode="External"/><Relationship Id="rId20" Type="http://schemas.openxmlformats.org/officeDocument/2006/relationships/hyperlink" Target="http://www.nevo.co.il/case/27381393"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90721" TargetMode="External"/><Relationship Id="rId11" Type="http://schemas.openxmlformats.org/officeDocument/2006/relationships/hyperlink" Target="http://www.nevo.co.il/law/90721/12.1" TargetMode="External"/><Relationship Id="rId24" Type="http://schemas.openxmlformats.org/officeDocument/2006/relationships/hyperlink" Target="http://www.nevo.co.il/case/13023134"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244" TargetMode="External"/><Relationship Id="rId23" Type="http://schemas.openxmlformats.org/officeDocument/2006/relationships/hyperlink" Target="http://www.nevo.co.il/case/27925239"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244" TargetMode="External"/><Relationship Id="rId19" Type="http://schemas.openxmlformats.org/officeDocument/2006/relationships/hyperlink" Target="http://www.nevo.co.il/case/27018143"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7150100" TargetMode="External"/><Relationship Id="rId27" Type="http://schemas.openxmlformats.org/officeDocument/2006/relationships/hyperlink" Target="http://www.nevo.co.il/law/90721" TargetMode="External"/><Relationship Id="rId30" Type="http://schemas.openxmlformats.org/officeDocument/2006/relationships/header" Target="header2.xml"/><Relationship Id="rId8"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1823</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10921</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7864430</vt:i4>
      </vt:variant>
      <vt:variant>
        <vt:i4>63</vt:i4>
      </vt:variant>
      <vt:variant>
        <vt:i4>0</vt:i4>
      </vt:variant>
      <vt:variant>
        <vt:i4>5</vt:i4>
      </vt:variant>
      <vt:variant>
        <vt:lpwstr>http://www.nevo.co.il/law/90721</vt:lpwstr>
      </vt:variant>
      <vt:variant>
        <vt:lpwstr/>
      </vt:variant>
      <vt:variant>
        <vt:i4>7864430</vt:i4>
      </vt:variant>
      <vt:variant>
        <vt:i4>60</vt:i4>
      </vt:variant>
      <vt:variant>
        <vt:i4>0</vt:i4>
      </vt:variant>
      <vt:variant>
        <vt:i4>5</vt:i4>
      </vt:variant>
      <vt:variant>
        <vt:lpwstr>http://www.nevo.co.il/law/90721</vt:lpwstr>
      </vt:variant>
      <vt:variant>
        <vt:lpwstr/>
      </vt:variant>
      <vt:variant>
        <vt:i4>3342454</vt:i4>
      </vt:variant>
      <vt:variant>
        <vt:i4>57</vt:i4>
      </vt:variant>
      <vt:variant>
        <vt:i4>0</vt:i4>
      </vt:variant>
      <vt:variant>
        <vt:i4>5</vt:i4>
      </vt:variant>
      <vt:variant>
        <vt:lpwstr>http://www.nevo.co.il/case/5878120</vt:lpwstr>
      </vt:variant>
      <vt:variant>
        <vt:lpwstr/>
      </vt:variant>
      <vt:variant>
        <vt:i4>3211380</vt:i4>
      </vt:variant>
      <vt:variant>
        <vt:i4>54</vt:i4>
      </vt:variant>
      <vt:variant>
        <vt:i4>0</vt:i4>
      </vt:variant>
      <vt:variant>
        <vt:i4>5</vt:i4>
      </vt:variant>
      <vt:variant>
        <vt:lpwstr>http://www.nevo.co.il/case/13023134</vt:lpwstr>
      </vt:variant>
      <vt:variant>
        <vt:lpwstr/>
      </vt:variant>
      <vt:variant>
        <vt:i4>3997811</vt:i4>
      </vt:variant>
      <vt:variant>
        <vt:i4>51</vt:i4>
      </vt:variant>
      <vt:variant>
        <vt:i4>0</vt:i4>
      </vt:variant>
      <vt:variant>
        <vt:i4>5</vt:i4>
      </vt:variant>
      <vt:variant>
        <vt:lpwstr>http://www.nevo.co.il/case/27925239</vt:lpwstr>
      </vt:variant>
      <vt:variant>
        <vt:lpwstr/>
      </vt:variant>
      <vt:variant>
        <vt:i4>3342455</vt:i4>
      </vt:variant>
      <vt:variant>
        <vt:i4>48</vt:i4>
      </vt:variant>
      <vt:variant>
        <vt:i4>0</vt:i4>
      </vt:variant>
      <vt:variant>
        <vt:i4>5</vt:i4>
      </vt:variant>
      <vt:variant>
        <vt:lpwstr>http://www.nevo.co.il/case/27150100</vt:lpwstr>
      </vt:variant>
      <vt:variant>
        <vt:lpwstr/>
      </vt:variant>
      <vt:variant>
        <vt:i4>3276925</vt:i4>
      </vt:variant>
      <vt:variant>
        <vt:i4>45</vt:i4>
      </vt:variant>
      <vt:variant>
        <vt:i4>0</vt:i4>
      </vt:variant>
      <vt:variant>
        <vt:i4>5</vt:i4>
      </vt:variant>
      <vt:variant>
        <vt:lpwstr>http://www.nevo.co.il/case/27796716</vt:lpwstr>
      </vt:variant>
      <vt:variant>
        <vt:lpwstr/>
      </vt:variant>
      <vt:variant>
        <vt:i4>3735672</vt:i4>
      </vt:variant>
      <vt:variant>
        <vt:i4>42</vt:i4>
      </vt:variant>
      <vt:variant>
        <vt:i4>0</vt:i4>
      </vt:variant>
      <vt:variant>
        <vt:i4>5</vt:i4>
      </vt:variant>
      <vt:variant>
        <vt:lpwstr>http://www.nevo.co.il/case/27381393</vt:lpwstr>
      </vt:variant>
      <vt:variant>
        <vt:lpwstr/>
      </vt:variant>
      <vt:variant>
        <vt:i4>4063347</vt:i4>
      </vt:variant>
      <vt:variant>
        <vt:i4>39</vt:i4>
      </vt:variant>
      <vt:variant>
        <vt:i4>0</vt:i4>
      </vt:variant>
      <vt:variant>
        <vt:i4>5</vt:i4>
      </vt:variant>
      <vt:variant>
        <vt:lpwstr>http://www.nevo.co.il/case/27018143</vt:lpwstr>
      </vt:variant>
      <vt:variant>
        <vt:lpwstr/>
      </vt:variant>
      <vt:variant>
        <vt:i4>3997808</vt:i4>
      </vt:variant>
      <vt:variant>
        <vt:i4>36</vt:i4>
      </vt:variant>
      <vt:variant>
        <vt:i4>0</vt:i4>
      </vt:variant>
      <vt:variant>
        <vt:i4>5</vt:i4>
      </vt:variant>
      <vt:variant>
        <vt:lpwstr>http://www.nevo.co.il/case/27472496</vt:lpwstr>
      </vt:variant>
      <vt:variant>
        <vt:lpwstr/>
      </vt:variant>
      <vt:variant>
        <vt:i4>3145841</vt:i4>
      </vt:variant>
      <vt:variant>
        <vt:i4>33</vt:i4>
      </vt:variant>
      <vt:variant>
        <vt:i4>0</vt:i4>
      </vt:variant>
      <vt:variant>
        <vt:i4>5</vt:i4>
      </vt:variant>
      <vt:variant>
        <vt:lpwstr>http://www.nevo.co.il/case/25760654</vt:lpwstr>
      </vt:variant>
      <vt:variant>
        <vt:lpwstr/>
      </vt:variant>
      <vt:variant>
        <vt:i4>4063346</vt:i4>
      </vt:variant>
      <vt:variant>
        <vt:i4>30</vt:i4>
      </vt:variant>
      <vt:variant>
        <vt:i4>0</vt:i4>
      </vt:variant>
      <vt:variant>
        <vt:i4>5</vt:i4>
      </vt:variant>
      <vt:variant>
        <vt:lpwstr>http://www.nevo.co.il/case/27910054</vt:lpwstr>
      </vt:variant>
      <vt:variant>
        <vt:lpwstr/>
      </vt:variant>
      <vt:variant>
        <vt:i4>6357095</vt:i4>
      </vt:variant>
      <vt:variant>
        <vt:i4>27</vt:i4>
      </vt:variant>
      <vt:variant>
        <vt:i4>0</vt:i4>
      </vt:variant>
      <vt:variant>
        <vt:i4>5</vt:i4>
      </vt:variant>
      <vt:variant>
        <vt:lpwstr>http://www.nevo.co.il/law/70301/244</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7864430</vt:i4>
      </vt:variant>
      <vt:variant>
        <vt:i4>18</vt:i4>
      </vt:variant>
      <vt:variant>
        <vt:i4>0</vt:i4>
      </vt:variant>
      <vt:variant>
        <vt:i4>5</vt:i4>
      </vt:variant>
      <vt:variant>
        <vt:lpwstr>http://www.nevo.co.il/law/90721</vt:lpwstr>
      </vt:variant>
      <vt:variant>
        <vt:lpwstr/>
      </vt:variant>
      <vt:variant>
        <vt:i4>5505088</vt:i4>
      </vt:variant>
      <vt:variant>
        <vt:i4>15</vt:i4>
      </vt:variant>
      <vt:variant>
        <vt:i4>0</vt:i4>
      </vt:variant>
      <vt:variant>
        <vt:i4>5</vt:i4>
      </vt:variant>
      <vt:variant>
        <vt:lpwstr>http://www.nevo.co.il/law/90721/12.1</vt:lpwstr>
      </vt:variant>
      <vt:variant>
        <vt:lpwstr/>
      </vt:variant>
      <vt:variant>
        <vt:i4>6357095</vt:i4>
      </vt:variant>
      <vt:variant>
        <vt:i4>12</vt:i4>
      </vt:variant>
      <vt:variant>
        <vt:i4>0</vt:i4>
      </vt:variant>
      <vt:variant>
        <vt:i4>5</vt:i4>
      </vt:variant>
      <vt:variant>
        <vt:lpwstr>http://www.nevo.co.il/law/70301/244</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7995492</vt:i4>
      </vt:variant>
      <vt:variant>
        <vt:i4>6</vt:i4>
      </vt:variant>
      <vt:variant>
        <vt:i4>0</vt:i4>
      </vt:variant>
      <vt:variant>
        <vt:i4>5</vt:i4>
      </vt:variant>
      <vt:variant>
        <vt:lpwstr>http://www.nevo.co.il/law/70301</vt:lpwstr>
      </vt:variant>
      <vt:variant>
        <vt:lpwstr/>
      </vt:variant>
      <vt:variant>
        <vt:i4>5505088</vt:i4>
      </vt:variant>
      <vt:variant>
        <vt:i4>3</vt:i4>
      </vt:variant>
      <vt:variant>
        <vt:i4>0</vt:i4>
      </vt:variant>
      <vt:variant>
        <vt:i4>5</vt:i4>
      </vt:variant>
      <vt:variant>
        <vt:lpwstr>http://www.nevo.co.il/law/90721/12.1</vt:lpwstr>
      </vt:variant>
      <vt:variant>
        <vt:lpwstr/>
      </vt:variant>
      <vt:variant>
        <vt:i4>7864430</vt:i4>
      </vt:variant>
      <vt:variant>
        <vt:i4>0</vt:i4>
      </vt:variant>
      <vt:variant>
        <vt:i4>0</vt:i4>
      </vt:variant>
      <vt:variant>
        <vt:i4>5</vt:i4>
      </vt:variant>
      <vt:variant>
        <vt:lpwstr>http://www.nevo.co.il/law/90721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2025-01-19T17:52:00Z</dcterms:created>
  <dcterms:modified xsi:type="dcterms:W3CDTF">2025-01-19T17:52:00Z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12493</vt:lpwstr>
  </property>
  <property fmtid="{D5CDD505-2E9C-101B-9397-08002B2CF9AE}" pid="6" name="NEWPARTB">
    <vt:lpwstr>02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מאגד לימון</vt:lpwstr>
  </property>
  <property fmtid="{D5CDD505-2E9C-101B-9397-08002B2CF9AE}" pid="10" name="LAWYER">
    <vt:lpwstr>שני מלול;מואנס יונס</vt:lpwstr>
  </property>
  <property fmtid="{D5CDD505-2E9C-101B-9397-08002B2CF9AE}" pid="11" name="JUDGE">
    <vt:lpwstr>גיא אבנון</vt:lpwstr>
  </property>
  <property fmtid="{D5CDD505-2E9C-101B-9397-08002B2CF9AE}" pid="12" name="CITY">
    <vt:lpwstr>נת'</vt:lpwstr>
  </property>
  <property fmtid="{D5CDD505-2E9C-101B-9397-08002B2CF9AE}" pid="13" name="DATE">
    <vt:lpwstr>20230321</vt:lpwstr>
  </property>
  <property fmtid="{D5CDD505-2E9C-101B-9397-08002B2CF9AE}" pid="14" name="TYPE_N_DATE">
    <vt:lpwstr>38020230321</vt:lpwstr>
  </property>
  <property fmtid="{D5CDD505-2E9C-101B-9397-08002B2CF9AE}" pid="15" name="WORDNUMPAGES">
    <vt:lpwstr>6</vt:lpwstr>
  </property>
  <property fmtid="{D5CDD505-2E9C-101B-9397-08002B2CF9AE}" pid="16" name="TYPE_ABS_DATE">
    <vt:lpwstr>380020230321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27910054;25760654;27472496;27018143;27381393;27796716;27150100;27925239;13023134;5878120</vt:lpwstr>
  </property>
  <property fmtid="{D5CDD505-2E9C-101B-9397-08002B2CF9AE}" pid="36" name="LAWLISTTMP1">
    <vt:lpwstr>90721/012.1</vt:lpwstr>
  </property>
  <property fmtid="{D5CDD505-2E9C-101B-9397-08002B2CF9AE}" pid="37" name="LAWLISTTMP2">
    <vt:lpwstr>70301/144.b;244</vt:lpwstr>
  </property>
</Properties>
</file>