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9"/>
        <w:gridCol w:w="3660"/>
        <w:gridCol w:w="99"/>
      </w:tblGrid>
      <w:tr w:rsidR="00180228" w:rsidRPr="00293DA0" w14:paraId="6EA36AD7" w14:textId="77777777" w:rsidTr="00DC1B1E">
        <w:trPr>
          <w:gridAfter w:val="1"/>
          <w:wAfter w:w="99" w:type="dxa"/>
          <w:trHeight w:hRule="exact" w:val="418"/>
          <w:jc w:val="center"/>
        </w:trPr>
        <w:tc>
          <w:tcPr>
            <w:tcW w:w="8721" w:type="dxa"/>
            <w:gridSpan w:val="4"/>
          </w:tcPr>
          <w:p w14:paraId="625193E4" w14:textId="77777777" w:rsidR="00180228" w:rsidRPr="00293DA0" w:rsidRDefault="00180228" w:rsidP="007C3B95">
            <w:pPr>
              <w:pStyle w:val="a3"/>
              <w:jc w:val="center"/>
              <w:rPr>
                <w:rFonts w:ascii="Tahoma" w:hAnsi="Tahoma" w:cs="Tahoma"/>
                <w:color w:val="000080"/>
                <w:rtl/>
              </w:rPr>
            </w:pPr>
            <w:bookmarkStart w:id="0" w:name="FirstLawyer"/>
            <w:r w:rsidRPr="00293DA0">
              <w:rPr>
                <w:rFonts w:ascii="Tahoma" w:hAnsi="Tahoma" w:cs="Tahoma"/>
                <w:b/>
                <w:bCs/>
                <w:color w:val="000080"/>
                <w:rtl/>
              </w:rPr>
              <w:t>בית משפט השלום בבאר שבע</w:t>
            </w:r>
          </w:p>
        </w:tc>
      </w:tr>
      <w:tr w:rsidR="00180228" w:rsidRPr="00293DA0" w14:paraId="2C4E2B23" w14:textId="77777777" w:rsidTr="00DC1B1E">
        <w:trPr>
          <w:gridAfter w:val="1"/>
          <w:wAfter w:w="99" w:type="dxa"/>
          <w:trHeight w:val="337"/>
          <w:jc w:val="center"/>
        </w:trPr>
        <w:tc>
          <w:tcPr>
            <w:tcW w:w="5061" w:type="dxa"/>
            <w:gridSpan w:val="3"/>
          </w:tcPr>
          <w:p w14:paraId="0E46B238" w14:textId="77777777" w:rsidR="00180228" w:rsidRPr="00293DA0" w:rsidRDefault="00180228" w:rsidP="007C3B95">
            <w:pPr>
              <w:rPr>
                <w:rFonts w:cs="FrankRuehl"/>
                <w:sz w:val="28"/>
                <w:szCs w:val="28"/>
                <w:rtl/>
              </w:rPr>
            </w:pPr>
            <w:r w:rsidRPr="00293DA0">
              <w:rPr>
                <w:rFonts w:cs="FrankRuehl"/>
                <w:sz w:val="28"/>
                <w:szCs w:val="28"/>
                <w:rtl/>
              </w:rPr>
              <w:t>ת"פ</w:t>
            </w:r>
            <w:r w:rsidRPr="00293DA0">
              <w:rPr>
                <w:rFonts w:cs="FrankRuehl" w:hint="cs"/>
                <w:sz w:val="28"/>
                <w:szCs w:val="28"/>
                <w:rtl/>
              </w:rPr>
              <w:t xml:space="preserve"> </w:t>
            </w:r>
            <w:r w:rsidRPr="00293DA0">
              <w:rPr>
                <w:rFonts w:cs="FrankRuehl"/>
                <w:sz w:val="28"/>
                <w:szCs w:val="28"/>
                <w:rtl/>
              </w:rPr>
              <w:t>19819-03-23</w:t>
            </w:r>
            <w:r w:rsidRPr="00293DA0">
              <w:rPr>
                <w:rFonts w:cs="FrankRuehl" w:hint="cs"/>
                <w:sz w:val="28"/>
                <w:szCs w:val="28"/>
                <w:rtl/>
              </w:rPr>
              <w:t xml:space="preserve"> </w:t>
            </w:r>
            <w:r w:rsidRPr="00293DA0">
              <w:rPr>
                <w:rFonts w:cs="FrankRuehl"/>
                <w:sz w:val="28"/>
                <w:szCs w:val="28"/>
                <w:rtl/>
              </w:rPr>
              <w:t>מדינת ישראל נ' אלגרינאוי(עציר)</w:t>
            </w:r>
          </w:p>
          <w:p w14:paraId="492FC86A" w14:textId="77777777" w:rsidR="00180228" w:rsidRPr="00293DA0" w:rsidRDefault="00180228" w:rsidP="007C3B95">
            <w:pPr>
              <w:pStyle w:val="a3"/>
              <w:rPr>
                <w:rFonts w:cs="FrankRuehl"/>
                <w:sz w:val="28"/>
                <w:szCs w:val="28"/>
                <w:rtl/>
              </w:rPr>
            </w:pPr>
          </w:p>
        </w:tc>
        <w:tc>
          <w:tcPr>
            <w:tcW w:w="3660" w:type="dxa"/>
          </w:tcPr>
          <w:p w14:paraId="49285B94" w14:textId="77777777" w:rsidR="00180228" w:rsidRPr="00293DA0" w:rsidRDefault="00180228" w:rsidP="007C3B95">
            <w:pPr>
              <w:pStyle w:val="a3"/>
              <w:jc w:val="right"/>
              <w:rPr>
                <w:rFonts w:cs="FrankRuehl"/>
                <w:sz w:val="28"/>
                <w:szCs w:val="28"/>
                <w:rtl/>
              </w:rPr>
            </w:pPr>
          </w:p>
        </w:tc>
      </w:tr>
      <w:tr w:rsidR="00180228" w:rsidRPr="00293DA0" w14:paraId="700E52DD" w14:textId="77777777" w:rsidTr="00DC1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DD9A68B" w14:textId="77777777" w:rsidR="00180228" w:rsidRPr="00293DA0" w:rsidRDefault="00180228" w:rsidP="00180228">
            <w:pPr>
              <w:jc w:val="both"/>
              <w:rPr>
                <w:rFonts w:ascii="David" w:hAnsi="David"/>
                <w:sz w:val="26"/>
                <w:szCs w:val="26"/>
              </w:rPr>
            </w:pPr>
            <w:r w:rsidRPr="00293DA0">
              <w:rPr>
                <w:rFonts w:hint="cs"/>
                <w:rtl/>
              </w:rPr>
              <w:t xml:space="preserve"> </w:t>
            </w:r>
            <w:r w:rsidRPr="00293DA0">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1D7119E" w14:textId="77777777" w:rsidR="00180228" w:rsidRPr="00293DA0" w:rsidRDefault="00180228" w:rsidP="007C3B95">
            <w:pPr>
              <w:rPr>
                <w:rFonts w:ascii="David" w:hAnsi="David"/>
                <w:b/>
                <w:bCs/>
                <w:sz w:val="26"/>
                <w:szCs w:val="26"/>
                <w:rtl/>
              </w:rPr>
            </w:pPr>
            <w:r w:rsidRPr="00293DA0">
              <w:rPr>
                <w:rFonts w:ascii="David" w:hAnsi="David"/>
                <w:b/>
                <w:bCs/>
                <w:sz w:val="26"/>
                <w:szCs w:val="26"/>
                <w:rtl/>
              </w:rPr>
              <w:t>כבוד השופטת, סגנית הנשיא  ענת חולתא</w:t>
            </w:r>
          </w:p>
          <w:p w14:paraId="22CB9C30" w14:textId="77777777" w:rsidR="00180228" w:rsidRPr="00293DA0" w:rsidRDefault="00180228" w:rsidP="007C3B95">
            <w:pPr>
              <w:rPr>
                <w:rFonts w:ascii="David" w:hAnsi="David"/>
                <w:sz w:val="26"/>
                <w:szCs w:val="26"/>
                <w:rtl/>
              </w:rPr>
            </w:pPr>
          </w:p>
          <w:p w14:paraId="7833A358" w14:textId="77777777" w:rsidR="00180228" w:rsidRPr="00293DA0" w:rsidRDefault="00180228" w:rsidP="00180228">
            <w:pPr>
              <w:jc w:val="both"/>
              <w:rPr>
                <w:rFonts w:ascii="David" w:hAnsi="David"/>
                <w:sz w:val="26"/>
                <w:szCs w:val="26"/>
              </w:rPr>
            </w:pPr>
          </w:p>
        </w:tc>
      </w:tr>
      <w:tr w:rsidR="00180228" w:rsidRPr="00293DA0" w14:paraId="39E09955" w14:textId="77777777" w:rsidTr="00DC1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08DD7B3" w14:textId="77777777" w:rsidR="00180228" w:rsidRPr="00293DA0" w:rsidRDefault="00180228" w:rsidP="00180228">
            <w:pPr>
              <w:jc w:val="both"/>
              <w:rPr>
                <w:rFonts w:ascii="David" w:hAnsi="David"/>
                <w:sz w:val="26"/>
                <w:szCs w:val="26"/>
              </w:rPr>
            </w:pPr>
            <w:bookmarkStart w:id="1" w:name="FirstAppellant"/>
            <w:bookmarkStart w:id="2" w:name="LastJudge"/>
            <w:bookmarkEnd w:id="2"/>
            <w:r w:rsidRPr="00293DA0">
              <w:rPr>
                <w:rFonts w:ascii="David" w:hAnsi="David"/>
                <w:sz w:val="26"/>
                <w:szCs w:val="26"/>
                <w:rtl/>
              </w:rPr>
              <w:t>בעניין:</w:t>
            </w:r>
          </w:p>
        </w:tc>
        <w:tc>
          <w:tcPr>
            <w:tcW w:w="3219" w:type="dxa"/>
            <w:tcBorders>
              <w:top w:val="nil"/>
              <w:left w:val="nil"/>
              <w:bottom w:val="nil"/>
              <w:right w:val="nil"/>
            </w:tcBorders>
            <w:shd w:val="clear" w:color="auto" w:fill="auto"/>
          </w:tcPr>
          <w:p w14:paraId="0C98F221" w14:textId="77777777" w:rsidR="00180228" w:rsidRPr="00293DA0" w:rsidRDefault="00180228" w:rsidP="00180228">
            <w:pPr>
              <w:suppressLineNumbers/>
            </w:pPr>
            <w:r w:rsidRPr="00293DA0">
              <w:rPr>
                <w:rFonts w:ascii="Arial" w:hAnsi="Arial" w:hint="cs"/>
                <w:b/>
                <w:bCs/>
                <w:sz w:val="26"/>
                <w:szCs w:val="26"/>
                <w:rtl/>
              </w:rPr>
              <w:t>ה</w:t>
            </w:r>
            <w:r w:rsidRPr="00293DA0">
              <w:rPr>
                <w:rFonts w:ascii="Arial" w:hAnsi="Arial"/>
                <w:b/>
                <w:bCs/>
                <w:sz w:val="26"/>
                <w:szCs w:val="26"/>
                <w:rtl/>
              </w:rPr>
              <w:t>מאשימה</w:t>
            </w:r>
          </w:p>
          <w:p w14:paraId="628D9874" w14:textId="77777777" w:rsidR="00180228" w:rsidRPr="00293DA0" w:rsidRDefault="00180228" w:rsidP="007C3B9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D1E8A61" w14:textId="77777777" w:rsidR="00180228" w:rsidRPr="00293DA0" w:rsidRDefault="00180228" w:rsidP="00180228">
            <w:pPr>
              <w:suppressLineNumbers/>
            </w:pPr>
            <w:r w:rsidRPr="00293DA0">
              <w:rPr>
                <w:rFonts w:ascii="Arial" w:hAnsi="Arial"/>
                <w:b/>
                <w:bCs/>
                <w:sz w:val="26"/>
                <w:szCs w:val="26"/>
                <w:rtl/>
              </w:rPr>
              <w:t>מדינת ישראל</w:t>
            </w:r>
            <w:r w:rsidRPr="00293DA0">
              <w:rPr>
                <w:rFonts w:ascii="Arial" w:hAnsi="Arial" w:hint="cs"/>
                <w:b/>
                <w:bCs/>
                <w:sz w:val="26"/>
                <w:szCs w:val="26"/>
                <w:rtl/>
              </w:rPr>
              <w:t xml:space="preserve"> </w:t>
            </w:r>
            <w:r w:rsidRPr="00293DA0">
              <w:rPr>
                <w:rFonts w:ascii="Arial" w:hAnsi="Arial"/>
                <w:b/>
                <w:bCs/>
                <w:sz w:val="26"/>
                <w:szCs w:val="26"/>
                <w:rtl/>
              </w:rPr>
              <w:t>ע"י ב"כ עוה"ד</w:t>
            </w:r>
            <w:r w:rsidRPr="00293DA0">
              <w:rPr>
                <w:rFonts w:hint="cs"/>
                <w:rtl/>
              </w:rPr>
              <w:t xml:space="preserve"> </w:t>
            </w:r>
            <w:r w:rsidRPr="00293DA0">
              <w:rPr>
                <w:rFonts w:hint="cs"/>
                <w:b/>
                <w:bCs/>
                <w:rtl/>
              </w:rPr>
              <w:t>אדר בכר סאסי</w:t>
            </w:r>
          </w:p>
          <w:p w14:paraId="47AFAF30" w14:textId="77777777" w:rsidR="00180228" w:rsidRPr="00293DA0" w:rsidRDefault="00180228" w:rsidP="007C3B95">
            <w:pPr>
              <w:rPr>
                <w:rFonts w:ascii="David" w:hAnsi="David"/>
                <w:sz w:val="26"/>
                <w:szCs w:val="26"/>
              </w:rPr>
            </w:pPr>
          </w:p>
        </w:tc>
      </w:tr>
      <w:bookmarkEnd w:id="1"/>
      <w:tr w:rsidR="00180228" w:rsidRPr="00293DA0" w14:paraId="45B5CACD" w14:textId="77777777" w:rsidTr="00DC1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6723FF" w14:textId="77777777" w:rsidR="00180228" w:rsidRPr="00293DA0" w:rsidRDefault="00180228" w:rsidP="00180228">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7DCF0D7" w14:textId="77777777" w:rsidR="00180228" w:rsidRPr="00293DA0" w:rsidRDefault="00180228" w:rsidP="00180228">
            <w:pPr>
              <w:jc w:val="center"/>
              <w:rPr>
                <w:rFonts w:ascii="David" w:hAnsi="David"/>
                <w:b/>
                <w:bCs/>
                <w:sz w:val="26"/>
                <w:szCs w:val="26"/>
                <w:rtl/>
              </w:rPr>
            </w:pPr>
          </w:p>
          <w:p w14:paraId="62101DAD" w14:textId="77777777" w:rsidR="00180228" w:rsidRPr="00293DA0" w:rsidRDefault="00180228" w:rsidP="00180228">
            <w:pPr>
              <w:jc w:val="center"/>
              <w:rPr>
                <w:rFonts w:ascii="David" w:hAnsi="David"/>
                <w:b/>
                <w:bCs/>
                <w:sz w:val="26"/>
                <w:szCs w:val="26"/>
                <w:rtl/>
              </w:rPr>
            </w:pPr>
            <w:r w:rsidRPr="00293DA0">
              <w:rPr>
                <w:rFonts w:ascii="David" w:hAnsi="David"/>
                <w:b/>
                <w:bCs/>
                <w:sz w:val="26"/>
                <w:szCs w:val="26"/>
                <w:rtl/>
              </w:rPr>
              <w:t>נגד</w:t>
            </w:r>
          </w:p>
          <w:p w14:paraId="1F4F712F" w14:textId="77777777" w:rsidR="00180228" w:rsidRPr="00293DA0" w:rsidRDefault="00180228" w:rsidP="00180228">
            <w:pPr>
              <w:jc w:val="both"/>
              <w:rPr>
                <w:rFonts w:ascii="David" w:hAnsi="David"/>
                <w:sz w:val="26"/>
                <w:szCs w:val="26"/>
              </w:rPr>
            </w:pPr>
          </w:p>
        </w:tc>
      </w:tr>
      <w:tr w:rsidR="00180228" w:rsidRPr="00293DA0" w14:paraId="3AFC558D" w14:textId="77777777" w:rsidTr="00DC1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A31F32F" w14:textId="77777777" w:rsidR="00180228" w:rsidRPr="00293DA0" w:rsidRDefault="00180228" w:rsidP="007C3B95">
            <w:pPr>
              <w:rPr>
                <w:rFonts w:ascii="David" w:hAnsi="David"/>
                <w:sz w:val="26"/>
                <w:szCs w:val="26"/>
                <w:rtl/>
              </w:rPr>
            </w:pPr>
          </w:p>
        </w:tc>
        <w:tc>
          <w:tcPr>
            <w:tcW w:w="3219" w:type="dxa"/>
            <w:tcBorders>
              <w:top w:val="nil"/>
              <w:left w:val="nil"/>
              <w:bottom w:val="nil"/>
              <w:right w:val="nil"/>
            </w:tcBorders>
            <w:shd w:val="clear" w:color="auto" w:fill="auto"/>
          </w:tcPr>
          <w:p w14:paraId="194B54AD" w14:textId="77777777" w:rsidR="00180228" w:rsidRPr="00293DA0" w:rsidRDefault="00180228" w:rsidP="007C3B95">
            <w:pPr>
              <w:rPr>
                <w:rFonts w:ascii="Arial" w:hAnsi="Arial"/>
                <w:b/>
                <w:bCs/>
                <w:sz w:val="26"/>
                <w:szCs w:val="26"/>
                <w:rtl/>
              </w:rPr>
            </w:pPr>
            <w:r w:rsidRPr="00293DA0">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9FC3B53" w14:textId="77777777" w:rsidR="00180228" w:rsidRPr="00293DA0" w:rsidRDefault="00180228" w:rsidP="00180228">
            <w:pPr>
              <w:suppressLineNumbers/>
            </w:pPr>
            <w:r w:rsidRPr="00293DA0">
              <w:rPr>
                <w:rFonts w:ascii="Arial" w:hAnsi="Arial"/>
                <w:b/>
                <w:bCs/>
                <w:sz w:val="26"/>
                <w:szCs w:val="26"/>
                <w:rtl/>
              </w:rPr>
              <w:t>סאלב אלגרינאוי (עציר)</w:t>
            </w:r>
            <w:r w:rsidRPr="00293DA0">
              <w:rPr>
                <w:rFonts w:ascii="Arial" w:hAnsi="Arial" w:hint="cs"/>
                <w:b/>
                <w:bCs/>
                <w:sz w:val="26"/>
                <w:szCs w:val="26"/>
                <w:rtl/>
              </w:rPr>
              <w:t xml:space="preserve"> </w:t>
            </w:r>
            <w:r w:rsidRPr="00293DA0">
              <w:rPr>
                <w:rFonts w:ascii="Arial" w:hAnsi="Arial"/>
                <w:b/>
                <w:bCs/>
                <w:sz w:val="26"/>
                <w:szCs w:val="26"/>
                <w:rtl/>
              </w:rPr>
              <w:t>ע"י ב"כ עוה"ד</w:t>
            </w:r>
            <w:r w:rsidRPr="00293DA0">
              <w:rPr>
                <w:rFonts w:hint="cs"/>
                <w:rtl/>
              </w:rPr>
              <w:t xml:space="preserve"> </w:t>
            </w:r>
            <w:r w:rsidRPr="00293DA0">
              <w:rPr>
                <w:rFonts w:hint="cs"/>
                <w:b/>
                <w:bCs/>
                <w:rtl/>
              </w:rPr>
              <w:t>אפרת צרפתי</w:t>
            </w:r>
          </w:p>
          <w:p w14:paraId="5C7CCE1F" w14:textId="77777777" w:rsidR="00180228" w:rsidRPr="00293DA0" w:rsidRDefault="00180228" w:rsidP="007C3B95">
            <w:pPr>
              <w:rPr>
                <w:rFonts w:ascii="David" w:hAnsi="David"/>
                <w:sz w:val="26"/>
                <w:szCs w:val="26"/>
              </w:rPr>
            </w:pPr>
          </w:p>
        </w:tc>
      </w:tr>
    </w:tbl>
    <w:p w14:paraId="7D6AD756" w14:textId="77777777" w:rsidR="00DC1B1E" w:rsidRDefault="00DC1B1E" w:rsidP="00293DA0">
      <w:pPr>
        <w:rPr>
          <w:sz w:val="26"/>
          <w:szCs w:val="26"/>
          <w:rtl/>
        </w:rPr>
      </w:pPr>
    </w:p>
    <w:p w14:paraId="06D40BA3" w14:textId="77777777" w:rsidR="00DC1B1E" w:rsidRPr="00DC1B1E" w:rsidRDefault="00DC1B1E" w:rsidP="00DC1B1E">
      <w:pPr>
        <w:spacing w:after="120" w:line="240" w:lineRule="exact"/>
        <w:ind w:left="283" w:hanging="283"/>
        <w:jc w:val="both"/>
        <w:rPr>
          <w:rFonts w:ascii="FrankRuehl" w:hAnsi="FrankRuehl" w:cs="FrankRuehl"/>
          <w:rtl/>
        </w:rPr>
      </w:pPr>
    </w:p>
    <w:p w14:paraId="0FCF1667" w14:textId="77777777" w:rsidR="00B30C32" w:rsidRPr="00B30C32" w:rsidRDefault="00B30C32" w:rsidP="00B30C32">
      <w:pPr>
        <w:spacing w:before="120" w:after="120" w:line="240" w:lineRule="exact"/>
        <w:ind w:left="283" w:hanging="283"/>
        <w:jc w:val="both"/>
        <w:rPr>
          <w:rFonts w:ascii="FrankRuehl" w:hAnsi="FrankRuehl" w:cs="FrankRuehl"/>
          <w:rtl/>
        </w:rPr>
      </w:pPr>
    </w:p>
    <w:p w14:paraId="169B2B03" w14:textId="77777777" w:rsidR="009767C1" w:rsidRDefault="009767C1" w:rsidP="009767C1">
      <w:pPr>
        <w:rPr>
          <w:sz w:val="26"/>
          <w:szCs w:val="26"/>
          <w:rtl/>
        </w:rPr>
      </w:pPr>
      <w:bookmarkStart w:id="3" w:name="LawTable"/>
      <w:bookmarkEnd w:id="3"/>
    </w:p>
    <w:p w14:paraId="59CDD167" w14:textId="77777777" w:rsidR="009767C1" w:rsidRPr="009767C1" w:rsidRDefault="009767C1" w:rsidP="009767C1">
      <w:pPr>
        <w:spacing w:before="120" w:after="120" w:line="240" w:lineRule="exact"/>
        <w:ind w:left="283" w:hanging="283"/>
        <w:jc w:val="both"/>
        <w:rPr>
          <w:rFonts w:ascii="FrankRuehl" w:hAnsi="FrankRuehl" w:cs="FrankRuehl"/>
          <w:rtl/>
        </w:rPr>
      </w:pPr>
    </w:p>
    <w:p w14:paraId="47E748EA" w14:textId="77777777" w:rsidR="009767C1" w:rsidRPr="009767C1" w:rsidRDefault="009767C1" w:rsidP="009767C1">
      <w:pPr>
        <w:spacing w:before="120" w:after="120" w:line="240" w:lineRule="exact"/>
        <w:ind w:left="283" w:hanging="283"/>
        <w:jc w:val="both"/>
        <w:rPr>
          <w:rFonts w:ascii="FrankRuehl" w:hAnsi="FrankRuehl" w:cs="FrankRuehl"/>
          <w:rtl/>
        </w:rPr>
      </w:pPr>
    </w:p>
    <w:p w14:paraId="0EE51373" w14:textId="77777777" w:rsidR="009767C1" w:rsidRPr="009767C1" w:rsidRDefault="009767C1" w:rsidP="009767C1">
      <w:pPr>
        <w:spacing w:before="120" w:after="120" w:line="240" w:lineRule="exact"/>
        <w:ind w:left="283" w:hanging="283"/>
        <w:jc w:val="both"/>
        <w:rPr>
          <w:rFonts w:ascii="FrankRuehl" w:hAnsi="FrankRuehl" w:cs="FrankRuehl"/>
          <w:rtl/>
        </w:rPr>
      </w:pPr>
      <w:r w:rsidRPr="009767C1">
        <w:rPr>
          <w:rFonts w:ascii="FrankRuehl" w:hAnsi="FrankRuehl" w:cs="FrankRuehl"/>
          <w:rtl/>
        </w:rPr>
        <w:t xml:space="preserve">חקיקה שאוזכרה: </w:t>
      </w:r>
    </w:p>
    <w:p w14:paraId="0527DF79" w14:textId="77777777" w:rsidR="009767C1" w:rsidRPr="009767C1" w:rsidRDefault="009767C1" w:rsidP="009767C1">
      <w:pPr>
        <w:spacing w:before="120" w:after="120" w:line="240" w:lineRule="exact"/>
        <w:ind w:left="283" w:hanging="283"/>
        <w:jc w:val="both"/>
        <w:rPr>
          <w:rFonts w:ascii="FrankRuehl" w:hAnsi="FrankRuehl" w:cs="FrankRuehl"/>
          <w:rtl/>
        </w:rPr>
      </w:pPr>
      <w:hyperlink r:id="rId7" w:history="1">
        <w:r w:rsidRPr="009767C1">
          <w:rPr>
            <w:rFonts w:ascii="FrankRuehl" w:hAnsi="FrankRuehl" w:cs="FrankRuehl"/>
            <w:color w:val="0000FF"/>
            <w:rtl/>
          </w:rPr>
          <w:t>חוק העונשין, תשל"ז-1977</w:t>
        </w:r>
      </w:hyperlink>
      <w:r w:rsidRPr="009767C1">
        <w:rPr>
          <w:rFonts w:ascii="FrankRuehl" w:hAnsi="FrankRuehl" w:cs="FrankRuehl"/>
          <w:rtl/>
        </w:rPr>
        <w:t xml:space="preserve">: סע'  </w:t>
      </w:r>
      <w:hyperlink r:id="rId8" w:history="1">
        <w:r w:rsidRPr="009767C1">
          <w:rPr>
            <w:rFonts w:ascii="FrankRuehl" w:hAnsi="FrankRuehl" w:cs="FrankRuehl"/>
            <w:color w:val="0000FF"/>
            <w:rtl/>
          </w:rPr>
          <w:t>144 (א)</w:t>
        </w:r>
      </w:hyperlink>
    </w:p>
    <w:p w14:paraId="65B4DD60" w14:textId="77777777" w:rsidR="009767C1" w:rsidRPr="009767C1" w:rsidRDefault="009767C1" w:rsidP="009767C1">
      <w:pPr>
        <w:rPr>
          <w:sz w:val="26"/>
          <w:szCs w:val="26"/>
          <w:rtl/>
        </w:rPr>
      </w:pPr>
      <w:bookmarkStart w:id="4" w:name="LawTable_End"/>
      <w:bookmarkEnd w:id="4"/>
    </w:p>
    <w:p w14:paraId="669DA375" w14:textId="77777777" w:rsidR="00180228" w:rsidRPr="00B30C32" w:rsidRDefault="00180228" w:rsidP="00B30C32">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80228" w14:paraId="4EE530AC" w14:textId="77777777" w:rsidTr="00180228">
        <w:trPr>
          <w:trHeight w:val="355"/>
          <w:jc w:val="center"/>
        </w:trPr>
        <w:tc>
          <w:tcPr>
            <w:tcW w:w="8820" w:type="dxa"/>
            <w:tcBorders>
              <w:top w:val="nil"/>
              <w:left w:val="nil"/>
              <w:bottom w:val="nil"/>
              <w:right w:val="nil"/>
            </w:tcBorders>
            <w:shd w:val="clear" w:color="auto" w:fill="auto"/>
          </w:tcPr>
          <w:p w14:paraId="4894BBCF" w14:textId="77777777" w:rsidR="00293DA0" w:rsidRPr="00293DA0" w:rsidRDefault="00293DA0" w:rsidP="00293DA0">
            <w:pPr>
              <w:jc w:val="center"/>
              <w:rPr>
                <w:rFonts w:ascii="David" w:hAnsi="David"/>
                <w:b/>
                <w:bCs/>
                <w:sz w:val="32"/>
                <w:szCs w:val="32"/>
                <w:u w:val="single"/>
                <w:rtl/>
              </w:rPr>
            </w:pPr>
            <w:bookmarkStart w:id="5" w:name="PsakDin" w:colFirst="0" w:colLast="0"/>
            <w:bookmarkEnd w:id="0"/>
            <w:r w:rsidRPr="00293DA0">
              <w:rPr>
                <w:rFonts w:ascii="David" w:hAnsi="David"/>
                <w:b/>
                <w:bCs/>
                <w:sz w:val="32"/>
                <w:szCs w:val="32"/>
                <w:u w:val="single"/>
                <w:rtl/>
              </w:rPr>
              <w:t>גזר דין</w:t>
            </w:r>
          </w:p>
          <w:p w14:paraId="0CF5DB27" w14:textId="77777777" w:rsidR="00180228" w:rsidRPr="00293DA0" w:rsidRDefault="00180228" w:rsidP="00293DA0">
            <w:pPr>
              <w:jc w:val="center"/>
              <w:rPr>
                <w:rFonts w:ascii="David" w:hAnsi="David"/>
                <w:bCs/>
                <w:sz w:val="32"/>
                <w:szCs w:val="32"/>
                <w:u w:val="single"/>
                <w:rtl/>
              </w:rPr>
            </w:pPr>
          </w:p>
        </w:tc>
      </w:tr>
      <w:bookmarkEnd w:id="5"/>
    </w:tbl>
    <w:p w14:paraId="49891797" w14:textId="77777777" w:rsidR="00180228" w:rsidRPr="000F2247" w:rsidRDefault="00180228" w:rsidP="00180228">
      <w:pPr>
        <w:rPr>
          <w:rFonts w:ascii="Arial" w:hAnsi="Arial"/>
          <w:b/>
          <w:bCs/>
          <w:sz w:val="26"/>
          <w:szCs w:val="26"/>
          <w:rtl/>
        </w:rPr>
      </w:pPr>
    </w:p>
    <w:p w14:paraId="2B5AE548" w14:textId="77777777" w:rsidR="00180228" w:rsidRPr="000F2247" w:rsidRDefault="00180228" w:rsidP="00180228">
      <w:pPr>
        <w:rPr>
          <w:rFonts w:ascii="Arial" w:hAnsi="Arial"/>
          <w:b/>
          <w:bCs/>
          <w:sz w:val="26"/>
          <w:szCs w:val="26"/>
          <w:rtl/>
        </w:rPr>
      </w:pPr>
    </w:p>
    <w:p w14:paraId="591AC46F" w14:textId="77777777" w:rsidR="00180228" w:rsidRDefault="00180228" w:rsidP="00180228">
      <w:pPr>
        <w:spacing w:line="360" w:lineRule="auto"/>
        <w:jc w:val="both"/>
        <w:rPr>
          <w:rFonts w:ascii="David" w:hAnsi="David"/>
          <w:rtl/>
        </w:rPr>
      </w:pPr>
      <w:r>
        <w:rPr>
          <w:rFonts w:ascii="David" w:hAnsi="David"/>
          <w:b/>
          <w:bCs/>
          <w:u w:val="single"/>
          <w:rtl/>
        </w:rPr>
        <w:t>רקע:</w:t>
      </w:r>
    </w:p>
    <w:p w14:paraId="72EEC8E3" w14:textId="77777777" w:rsidR="00180228" w:rsidRDefault="00180228" w:rsidP="00180228">
      <w:pPr>
        <w:spacing w:line="360" w:lineRule="auto"/>
        <w:jc w:val="both"/>
        <w:rPr>
          <w:rFonts w:ascii="David" w:hAnsi="David"/>
          <w:rtl/>
        </w:rPr>
      </w:pPr>
      <w:bookmarkStart w:id="6" w:name="ABSTRACT_START"/>
      <w:bookmarkEnd w:id="6"/>
    </w:p>
    <w:p w14:paraId="4D9DA240" w14:textId="77777777" w:rsidR="00180228" w:rsidRDefault="00180228" w:rsidP="00180228">
      <w:pPr>
        <w:pStyle w:val="ab"/>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הורשע ביום 22.5.23, על פי הודאתו בעובדות כתב האישום המתוקן, בעבירה של </w:t>
      </w:r>
      <w:r>
        <w:rPr>
          <w:rFonts w:ascii="David" w:hAnsi="David" w:cs="David"/>
          <w:b/>
          <w:bCs/>
          <w:sz w:val="24"/>
          <w:szCs w:val="24"/>
          <w:rtl/>
        </w:rPr>
        <w:t xml:space="preserve">החזקת נשק </w:t>
      </w:r>
      <w:r>
        <w:rPr>
          <w:rFonts w:ascii="David" w:hAnsi="David" w:cs="David"/>
          <w:sz w:val="24"/>
          <w:szCs w:val="24"/>
          <w:rtl/>
        </w:rPr>
        <w:t xml:space="preserve"> בניגוד לסעיפים </w:t>
      </w:r>
      <w:hyperlink r:id="rId9" w:history="1">
        <w:r w:rsidR="00DC1B1E" w:rsidRPr="00DC1B1E">
          <w:rPr>
            <w:rStyle w:val="Hyperlink"/>
            <w:rFonts w:ascii="David" w:hAnsi="David" w:cs="David"/>
            <w:sz w:val="24"/>
            <w:szCs w:val="24"/>
            <w:rtl/>
          </w:rPr>
          <w:t>144 (א)</w:t>
        </w:r>
      </w:hyperlink>
      <w:r>
        <w:rPr>
          <w:rFonts w:ascii="David" w:hAnsi="David" w:cs="David"/>
          <w:sz w:val="24"/>
          <w:szCs w:val="24"/>
          <w:rtl/>
        </w:rPr>
        <w:t xml:space="preserve"> </w:t>
      </w:r>
      <w:r>
        <w:rPr>
          <w:rFonts w:ascii="David" w:hAnsi="David" w:cs="David"/>
          <w:b/>
          <w:bCs/>
          <w:sz w:val="24"/>
          <w:szCs w:val="24"/>
          <w:rtl/>
        </w:rPr>
        <w:t>רישא + סיפא</w:t>
      </w:r>
      <w:r>
        <w:rPr>
          <w:rFonts w:ascii="David" w:hAnsi="David" w:cs="David"/>
          <w:sz w:val="24"/>
          <w:szCs w:val="24"/>
          <w:rtl/>
        </w:rPr>
        <w:t xml:space="preserve"> ל</w:t>
      </w:r>
      <w:hyperlink r:id="rId10" w:history="1">
        <w:r w:rsidR="00293DA0" w:rsidRPr="00293DA0">
          <w:rPr>
            <w:rFonts w:ascii="David" w:hAnsi="David" w:cs="David"/>
            <w:color w:val="0000FF"/>
            <w:sz w:val="24"/>
            <w:szCs w:val="24"/>
            <w:u w:val="single"/>
            <w:rtl/>
          </w:rPr>
          <w:t>חוק העונשין</w:t>
        </w:r>
      </w:hyperlink>
      <w:r>
        <w:rPr>
          <w:rFonts w:ascii="David" w:hAnsi="David" w:cs="David"/>
          <w:sz w:val="24"/>
          <w:szCs w:val="24"/>
          <w:rtl/>
        </w:rPr>
        <w:t xml:space="preserve"> התשל"ז-1977. </w:t>
      </w:r>
    </w:p>
    <w:p w14:paraId="33665FC5" w14:textId="77777777" w:rsidR="00180228" w:rsidRDefault="00180228" w:rsidP="00180228">
      <w:pPr>
        <w:pStyle w:val="ab"/>
        <w:spacing w:line="360" w:lineRule="auto"/>
        <w:jc w:val="both"/>
        <w:rPr>
          <w:rFonts w:ascii="David" w:hAnsi="David" w:cs="David"/>
          <w:sz w:val="24"/>
          <w:szCs w:val="24"/>
        </w:rPr>
      </w:pPr>
    </w:p>
    <w:p w14:paraId="7974DF55"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על פי עובדות כתב האישום המתוקן, בתאריך 15.2.23 בסמוך לשעה 13:04 במסגרת חיפוש שנערך בביתו של הנאשם ברהט, נתפסו:</w:t>
      </w:r>
    </w:p>
    <w:p w14:paraId="13A8A6C2" w14:textId="77777777" w:rsidR="00180228" w:rsidRDefault="00180228" w:rsidP="00180228">
      <w:pPr>
        <w:pStyle w:val="ab"/>
        <w:spacing w:line="360" w:lineRule="auto"/>
        <w:jc w:val="both"/>
        <w:rPr>
          <w:rFonts w:ascii="David" w:hAnsi="David" w:cs="David"/>
          <w:sz w:val="24"/>
          <w:szCs w:val="24"/>
        </w:rPr>
      </w:pPr>
    </w:p>
    <w:p w14:paraId="48122316" w14:textId="77777777" w:rsidR="00180228" w:rsidRDefault="00180228" w:rsidP="00180228">
      <w:pPr>
        <w:pStyle w:val="ab"/>
        <w:numPr>
          <w:ilvl w:val="0"/>
          <w:numId w:val="2"/>
        </w:numPr>
        <w:spacing w:line="360" w:lineRule="auto"/>
        <w:jc w:val="both"/>
        <w:rPr>
          <w:rFonts w:ascii="David" w:hAnsi="David" w:cs="David"/>
          <w:sz w:val="24"/>
          <w:szCs w:val="24"/>
          <w:rtl/>
        </w:rPr>
      </w:pPr>
      <w:bookmarkStart w:id="7" w:name="ABSTRACT_END"/>
      <w:bookmarkEnd w:id="7"/>
      <w:r>
        <w:rPr>
          <w:rFonts w:ascii="David" w:hAnsi="David" w:cs="David"/>
          <w:sz w:val="24"/>
          <w:szCs w:val="24"/>
          <w:rtl/>
        </w:rPr>
        <w:t xml:space="preserve">נשק דמוי רובה סער </w:t>
      </w:r>
      <w:r>
        <w:rPr>
          <w:rFonts w:ascii="David" w:hAnsi="David" w:cs="David"/>
          <w:sz w:val="24"/>
          <w:szCs w:val="24"/>
        </w:rPr>
        <w:t>W300326</w:t>
      </w:r>
      <w:r>
        <w:rPr>
          <w:rFonts w:ascii="David" w:hAnsi="David" w:cs="David"/>
          <w:sz w:val="24"/>
          <w:szCs w:val="24"/>
          <w:rtl/>
        </w:rPr>
        <w:t xml:space="preserve"> מסוג </w:t>
      </w:r>
      <w:r>
        <w:rPr>
          <w:rFonts w:ascii="David" w:hAnsi="David" w:cs="David"/>
          <w:sz w:val="24"/>
          <w:szCs w:val="24"/>
        </w:rPr>
        <w:t>M</w:t>
      </w:r>
      <w:r>
        <w:rPr>
          <w:rFonts w:ascii="David" w:hAnsi="David" w:cs="David"/>
          <w:sz w:val="24"/>
          <w:szCs w:val="24"/>
          <w:rtl/>
        </w:rPr>
        <w:t>-16 – רובה אויר שהוסב לירי תחמושת בקליבר 5.56</w:t>
      </w:r>
      <w:r>
        <w:rPr>
          <w:rFonts w:ascii="David" w:hAnsi="David" w:cs="David"/>
          <w:sz w:val="24"/>
          <w:szCs w:val="24"/>
        </w:rPr>
        <w:t>X</w:t>
      </w:r>
      <w:r>
        <w:rPr>
          <w:rFonts w:ascii="David" w:hAnsi="David" w:cs="David"/>
          <w:sz w:val="24"/>
          <w:szCs w:val="24"/>
          <w:rtl/>
        </w:rPr>
        <w:t>45 - עטוף בשקית שחורה מעל ארון, שהיה מעל מקרר המטבח בבית.</w:t>
      </w:r>
    </w:p>
    <w:p w14:paraId="7AD8EF2F" w14:textId="77777777" w:rsidR="00180228" w:rsidRDefault="00180228" w:rsidP="00180228">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שלוש מחסניות המכילות כמה עשרות כדורי 5.56 מ"מ. </w:t>
      </w:r>
    </w:p>
    <w:p w14:paraId="6F5CE95D" w14:textId="77777777" w:rsidR="00180228" w:rsidRDefault="00180228" w:rsidP="00180228">
      <w:pPr>
        <w:pStyle w:val="ab"/>
        <w:spacing w:line="360" w:lineRule="auto"/>
        <w:ind w:left="1352"/>
        <w:jc w:val="both"/>
        <w:rPr>
          <w:rFonts w:ascii="David" w:hAnsi="David" w:cs="David"/>
          <w:sz w:val="24"/>
          <w:szCs w:val="24"/>
        </w:rPr>
      </w:pPr>
    </w:p>
    <w:p w14:paraId="5A718866" w14:textId="77777777" w:rsidR="00180228" w:rsidRDefault="00180228" w:rsidP="00180228">
      <w:pPr>
        <w:pStyle w:val="ab"/>
        <w:numPr>
          <w:ilvl w:val="0"/>
          <w:numId w:val="1"/>
        </w:numPr>
        <w:spacing w:line="360" w:lineRule="auto"/>
        <w:jc w:val="both"/>
        <w:rPr>
          <w:rFonts w:ascii="David" w:hAnsi="David" w:cs="David"/>
          <w:sz w:val="24"/>
          <w:szCs w:val="24"/>
        </w:rPr>
      </w:pPr>
      <w:r>
        <w:rPr>
          <w:rFonts w:ascii="David" w:hAnsi="David" w:cs="David"/>
          <w:sz w:val="24"/>
          <w:szCs w:val="24"/>
          <w:rtl/>
        </w:rPr>
        <w:lastRenderedPageBreak/>
        <w:t>בהתאם להסדר הדיוני [</w:t>
      </w:r>
      <w:r>
        <w:rPr>
          <w:rFonts w:ascii="David" w:hAnsi="David" w:cs="David"/>
          <w:b/>
          <w:bCs/>
          <w:sz w:val="24"/>
          <w:szCs w:val="24"/>
          <w:rtl/>
        </w:rPr>
        <w:t>ת/1</w:t>
      </w:r>
      <w:r>
        <w:rPr>
          <w:rFonts w:ascii="David" w:hAnsi="David" w:cs="David"/>
          <w:sz w:val="24"/>
          <w:szCs w:val="24"/>
          <w:rtl/>
        </w:rPr>
        <w:t>] אליו הגיעו הצדדים, הנאשם הודה והורשע בעובדות כתב האישום המתוקן והתיק נדחה לטיעון לעונש, ללא הסכמות בין הצדדים לעניין העונש.</w:t>
      </w:r>
    </w:p>
    <w:p w14:paraId="508A9562" w14:textId="77777777" w:rsidR="00180228" w:rsidRDefault="00180228" w:rsidP="00180228">
      <w:pPr>
        <w:pStyle w:val="ab"/>
        <w:spacing w:line="360" w:lineRule="auto"/>
        <w:jc w:val="both"/>
        <w:rPr>
          <w:rFonts w:ascii="David" w:hAnsi="David" w:cs="David"/>
          <w:sz w:val="24"/>
          <w:szCs w:val="24"/>
        </w:rPr>
      </w:pPr>
    </w:p>
    <w:p w14:paraId="6F91B2C1" w14:textId="77777777" w:rsidR="00180228" w:rsidRDefault="00180228" w:rsidP="00180228">
      <w:pPr>
        <w:spacing w:line="360" w:lineRule="auto"/>
        <w:jc w:val="both"/>
        <w:rPr>
          <w:rFonts w:ascii="David" w:hAnsi="David"/>
          <w:b/>
          <w:bCs/>
          <w:u w:val="single"/>
          <w:rtl/>
        </w:rPr>
      </w:pPr>
      <w:r>
        <w:rPr>
          <w:rFonts w:ascii="David" w:hAnsi="David"/>
          <w:b/>
          <w:bCs/>
          <w:u w:val="single"/>
          <w:rtl/>
        </w:rPr>
        <w:t>טענות הצדדים:</w:t>
      </w:r>
    </w:p>
    <w:p w14:paraId="4383945E" w14:textId="77777777" w:rsidR="00180228" w:rsidRDefault="00180228" w:rsidP="00180228">
      <w:pPr>
        <w:spacing w:line="360" w:lineRule="auto"/>
        <w:jc w:val="both"/>
        <w:rPr>
          <w:rFonts w:ascii="David" w:hAnsi="David"/>
          <w:b/>
          <w:bCs/>
          <w:u w:val="single"/>
        </w:rPr>
      </w:pPr>
    </w:p>
    <w:p w14:paraId="29DFB689" w14:textId="77777777" w:rsidR="00180228" w:rsidRDefault="00180228" w:rsidP="00180228">
      <w:pPr>
        <w:pStyle w:val="ab"/>
        <w:numPr>
          <w:ilvl w:val="0"/>
          <w:numId w:val="1"/>
        </w:numPr>
        <w:spacing w:line="360" w:lineRule="auto"/>
        <w:jc w:val="both"/>
        <w:rPr>
          <w:rFonts w:ascii="David" w:hAnsi="David" w:cs="David"/>
          <w:b/>
          <w:bCs/>
          <w:sz w:val="24"/>
          <w:szCs w:val="24"/>
          <w:u w:val="single"/>
          <w:rtl/>
        </w:rPr>
      </w:pPr>
      <w:r>
        <w:rPr>
          <w:rFonts w:ascii="David" w:hAnsi="David" w:cs="David"/>
          <w:sz w:val="24"/>
          <w:szCs w:val="24"/>
          <w:rtl/>
        </w:rPr>
        <w:t>בתאריך 30.5.23 נשמעו טיעונים לעונש. המאשימה הגישה את טיעוניה בכתב [</w:t>
      </w:r>
      <w:r>
        <w:rPr>
          <w:rFonts w:ascii="David" w:hAnsi="David" w:cs="David"/>
          <w:b/>
          <w:bCs/>
          <w:sz w:val="24"/>
          <w:szCs w:val="24"/>
          <w:rtl/>
        </w:rPr>
        <w:t>במ/1</w:t>
      </w:r>
      <w:r>
        <w:rPr>
          <w:rFonts w:ascii="David" w:hAnsi="David" w:cs="David"/>
          <w:sz w:val="24"/>
          <w:szCs w:val="24"/>
          <w:rtl/>
        </w:rPr>
        <w:t xml:space="preserve">]. ההגנה טענה בעל פה וכן הגישה אסופת פסיקה ואסופת מסמכים רפואיים של הנאשם ושל אשתו </w:t>
      </w:r>
      <w:r>
        <w:rPr>
          <w:rFonts w:ascii="David" w:hAnsi="David" w:cs="David"/>
          <w:b/>
          <w:bCs/>
          <w:sz w:val="24"/>
          <w:szCs w:val="24"/>
          <w:rtl/>
        </w:rPr>
        <w:t>[נ/</w:t>
      </w:r>
      <w:r>
        <w:rPr>
          <w:rFonts w:ascii="David" w:hAnsi="David" w:cs="David"/>
          <w:sz w:val="24"/>
          <w:szCs w:val="24"/>
          <w:rtl/>
        </w:rPr>
        <w:t>1].</w:t>
      </w:r>
    </w:p>
    <w:p w14:paraId="066A7E30" w14:textId="77777777" w:rsidR="00180228" w:rsidRPr="00180228" w:rsidRDefault="00180228" w:rsidP="00180228">
      <w:pPr>
        <w:pStyle w:val="ab"/>
        <w:spacing w:line="360" w:lineRule="auto"/>
        <w:jc w:val="both"/>
        <w:rPr>
          <w:rStyle w:val="a7"/>
        </w:rPr>
      </w:pPr>
      <w:r>
        <w:rPr>
          <w:rFonts w:ascii="David" w:hAnsi="David" w:cs="David"/>
          <w:sz w:val="24"/>
          <w:szCs w:val="24"/>
          <w:rtl/>
        </w:rPr>
        <w:t xml:space="preserve">על פי המסמכים הרפואיים לנאשם פציעה מתאונת דרכים שהצריכה שתל ברגלו וכן מדווח על כאבי ראש ועל </w:t>
      </w:r>
      <w:r>
        <w:rPr>
          <w:rFonts w:ascii="David" w:hAnsi="David" w:cs="David"/>
          <w:sz w:val="24"/>
          <w:szCs w:val="24"/>
        </w:rPr>
        <w:t>PTSD</w:t>
      </w:r>
      <w:r>
        <w:rPr>
          <w:rFonts w:ascii="David" w:hAnsi="David" w:cs="David"/>
          <w:sz w:val="24"/>
          <w:szCs w:val="24"/>
          <w:rtl/>
        </w:rPr>
        <w:t xml:space="preserve"> כתוצאה מהתאונה. בנוסף, הנאשם ואשתו מצויים בטיפולי פוריות.</w:t>
      </w:r>
    </w:p>
    <w:p w14:paraId="3E77B7CD" w14:textId="77777777" w:rsidR="00180228" w:rsidRDefault="00180228" w:rsidP="00180228">
      <w:pPr>
        <w:pStyle w:val="ab"/>
        <w:spacing w:line="360" w:lineRule="auto"/>
        <w:jc w:val="both"/>
        <w:rPr>
          <w:rFonts w:ascii="David" w:hAnsi="David" w:cs="David"/>
          <w:b/>
          <w:bCs/>
          <w:sz w:val="24"/>
          <w:szCs w:val="24"/>
          <w:rtl/>
        </w:rPr>
      </w:pPr>
    </w:p>
    <w:p w14:paraId="11D30E70" w14:textId="77777777" w:rsidR="00180228" w:rsidRDefault="00180228" w:rsidP="00180228">
      <w:pPr>
        <w:pStyle w:val="ab"/>
        <w:numPr>
          <w:ilvl w:val="0"/>
          <w:numId w:val="1"/>
        </w:numPr>
        <w:spacing w:line="360" w:lineRule="auto"/>
        <w:jc w:val="both"/>
        <w:rPr>
          <w:rFonts w:ascii="David" w:hAnsi="David" w:cs="David"/>
          <w:sz w:val="24"/>
          <w:szCs w:val="24"/>
        </w:rPr>
      </w:pPr>
      <w:r>
        <w:rPr>
          <w:rFonts w:ascii="David" w:hAnsi="David" w:cs="David"/>
          <w:b/>
          <w:bCs/>
          <w:sz w:val="24"/>
          <w:szCs w:val="24"/>
          <w:rtl/>
        </w:rPr>
        <w:t>המאשימה</w:t>
      </w:r>
      <w:r>
        <w:rPr>
          <w:rFonts w:ascii="David" w:hAnsi="David" w:cs="David"/>
          <w:sz w:val="24"/>
          <w:szCs w:val="24"/>
          <w:rtl/>
        </w:rPr>
        <w:t xml:space="preserve"> מפנה לערכים המוגנים אשר נפגעו כתוצאה ממעשי הנאשם ובהם, שלום הציבור ובטחונו, שמירה על גופו וחיוו של אדם, שמירת תחושת בטחון היחיד והרבים וכן השמירה על שלטון החוק והסדר הציבורי. נטען, כי בעבירות הנשק, מעצם טיבן, טמונה חומרה יתרה, הנובעת מהסיכון הרב הכרוך בשימוש בו והעלול להביא לפגיעה בגוף ובחיי אדם. עוד נטען, כי בתקופה זו התוצאות החמורות של שימוש בנשק בלתי חוקי נראות ברחבי המדינה, הן ביחס לפתרון סכסוכים פנימיים והן ביחס לאנשים המבקשים את רעתה של מדינת ישראל.</w:t>
      </w:r>
    </w:p>
    <w:p w14:paraId="68DDA5CB" w14:textId="77777777" w:rsidR="00180228" w:rsidRDefault="00180228" w:rsidP="00180228">
      <w:pPr>
        <w:pStyle w:val="ab"/>
        <w:spacing w:line="360" w:lineRule="auto"/>
        <w:jc w:val="both"/>
        <w:rPr>
          <w:rFonts w:ascii="David" w:hAnsi="David" w:cs="David"/>
          <w:sz w:val="24"/>
          <w:szCs w:val="24"/>
        </w:rPr>
      </w:pPr>
      <w:r>
        <w:rPr>
          <w:rFonts w:ascii="David" w:hAnsi="David" w:cs="David"/>
          <w:sz w:val="24"/>
          <w:szCs w:val="24"/>
          <w:rtl/>
        </w:rPr>
        <w:t>נטען, כי בית המשפט העליון עמד על החומרה בענישה שיש לנקוט כלפי אלו שמבצעים עבירות נשק. המאשימה הפנתה ל</w:t>
      </w:r>
      <w:hyperlink r:id="rId11" w:history="1">
        <w:r w:rsidR="00293DA0" w:rsidRPr="00293DA0">
          <w:rPr>
            <w:rFonts w:ascii="David" w:hAnsi="David" w:cs="David"/>
            <w:color w:val="0000FF"/>
            <w:sz w:val="24"/>
            <w:szCs w:val="24"/>
            <w:u w:val="single"/>
            <w:rtl/>
          </w:rPr>
          <w:t>ע"פ 2368/11</w:t>
        </w:r>
      </w:hyperlink>
      <w:r>
        <w:rPr>
          <w:rFonts w:ascii="David" w:hAnsi="David" w:cs="David"/>
          <w:sz w:val="24"/>
          <w:szCs w:val="24"/>
          <w:rtl/>
        </w:rPr>
        <w:t xml:space="preserve"> </w:t>
      </w:r>
      <w:r>
        <w:rPr>
          <w:rFonts w:ascii="David" w:hAnsi="David" w:cs="David"/>
          <w:b/>
          <w:bCs/>
          <w:sz w:val="24"/>
          <w:szCs w:val="24"/>
          <w:rtl/>
        </w:rPr>
        <w:t>נפאע נ' מ</w:t>
      </w:r>
      <w:r>
        <w:rPr>
          <w:rFonts w:ascii="David" w:hAnsi="David" w:cs="David" w:hint="cs"/>
          <w:b/>
          <w:bCs/>
          <w:sz w:val="24"/>
          <w:szCs w:val="24"/>
          <w:rtl/>
        </w:rPr>
        <w:t>דינת ישראל</w:t>
      </w:r>
      <w:r>
        <w:rPr>
          <w:rFonts w:ascii="David" w:hAnsi="David" w:cs="David"/>
          <w:sz w:val="24"/>
          <w:szCs w:val="24"/>
          <w:rtl/>
        </w:rPr>
        <w:t xml:space="preserve"> וטענה כי לולא עבירות החזקת הנשק, עבירות הסחר בנשק בלתי חוקי, לא היו מתבצעות. כן הפנתה לעניין זה גם ל</w:t>
      </w:r>
      <w:hyperlink r:id="rId12" w:history="1">
        <w:r w:rsidR="00293DA0" w:rsidRPr="00293DA0">
          <w:rPr>
            <w:rFonts w:ascii="David" w:hAnsi="David" w:cs="David"/>
            <w:color w:val="0000FF"/>
            <w:sz w:val="24"/>
            <w:szCs w:val="24"/>
            <w:u w:val="single"/>
            <w:rtl/>
          </w:rPr>
          <w:t>ע"פ 3288/14</w:t>
        </w:r>
      </w:hyperlink>
      <w:r>
        <w:rPr>
          <w:rFonts w:ascii="David" w:hAnsi="David" w:cs="David"/>
          <w:sz w:val="24"/>
          <w:szCs w:val="24"/>
          <w:rtl/>
        </w:rPr>
        <w:t xml:space="preserve"> </w:t>
      </w:r>
      <w:r>
        <w:rPr>
          <w:rFonts w:ascii="David" w:hAnsi="David" w:cs="David"/>
          <w:b/>
          <w:bCs/>
          <w:sz w:val="24"/>
          <w:szCs w:val="24"/>
          <w:rtl/>
        </w:rPr>
        <w:t>מ</w:t>
      </w:r>
      <w:r>
        <w:rPr>
          <w:rFonts w:ascii="David" w:hAnsi="David" w:cs="David" w:hint="cs"/>
          <w:b/>
          <w:bCs/>
          <w:sz w:val="24"/>
          <w:szCs w:val="24"/>
          <w:rtl/>
        </w:rPr>
        <w:t>דינת ישראל</w:t>
      </w:r>
      <w:r>
        <w:rPr>
          <w:rFonts w:ascii="David" w:hAnsi="David" w:cs="David"/>
          <w:b/>
          <w:bCs/>
          <w:sz w:val="24"/>
          <w:szCs w:val="24"/>
          <w:rtl/>
        </w:rPr>
        <w:t xml:space="preserve"> נ' קריספל</w:t>
      </w:r>
      <w:r>
        <w:rPr>
          <w:rFonts w:ascii="David" w:hAnsi="David" w:cs="David"/>
          <w:sz w:val="24"/>
          <w:szCs w:val="24"/>
          <w:rtl/>
        </w:rPr>
        <w:t xml:space="preserve">, </w:t>
      </w:r>
      <w:hyperlink r:id="rId13" w:history="1">
        <w:r w:rsidR="00293DA0" w:rsidRPr="00293DA0">
          <w:rPr>
            <w:rFonts w:ascii="David" w:hAnsi="David" w:cs="David"/>
            <w:color w:val="0000FF"/>
            <w:sz w:val="24"/>
            <w:szCs w:val="24"/>
            <w:u w:val="single"/>
            <w:rtl/>
          </w:rPr>
          <w:t>ע"פ 4945/13</w:t>
        </w:r>
      </w:hyperlink>
      <w:r>
        <w:rPr>
          <w:rFonts w:ascii="David" w:hAnsi="David" w:cs="David"/>
          <w:sz w:val="24"/>
          <w:szCs w:val="24"/>
          <w:rtl/>
        </w:rPr>
        <w:t xml:space="preserve"> </w:t>
      </w:r>
      <w:r>
        <w:rPr>
          <w:rFonts w:ascii="David" w:hAnsi="David" w:cs="David"/>
          <w:b/>
          <w:bCs/>
          <w:sz w:val="24"/>
          <w:szCs w:val="24"/>
          <w:rtl/>
        </w:rPr>
        <w:t>סלימאן נ' מ</w:t>
      </w:r>
      <w:r>
        <w:rPr>
          <w:rFonts w:ascii="David" w:hAnsi="David" w:cs="David" w:hint="cs"/>
          <w:b/>
          <w:bCs/>
          <w:sz w:val="24"/>
          <w:szCs w:val="24"/>
          <w:rtl/>
        </w:rPr>
        <w:t>דינת ישראל</w:t>
      </w:r>
      <w:r>
        <w:rPr>
          <w:rFonts w:ascii="David" w:hAnsi="David" w:cs="David"/>
          <w:b/>
          <w:bCs/>
          <w:sz w:val="24"/>
          <w:szCs w:val="24"/>
          <w:rtl/>
        </w:rPr>
        <w:t xml:space="preserve"> </w:t>
      </w:r>
      <w:r>
        <w:rPr>
          <w:rFonts w:ascii="David" w:hAnsi="David" w:cs="David"/>
          <w:sz w:val="24"/>
          <w:szCs w:val="24"/>
          <w:rtl/>
        </w:rPr>
        <w:t>ו</w:t>
      </w:r>
      <w:hyperlink r:id="rId14" w:history="1">
        <w:r w:rsidR="00293DA0" w:rsidRPr="00293DA0">
          <w:rPr>
            <w:rFonts w:ascii="David" w:hAnsi="David" w:cs="David"/>
            <w:color w:val="0000FF"/>
            <w:sz w:val="24"/>
            <w:szCs w:val="24"/>
            <w:u w:val="single"/>
            <w:rtl/>
          </w:rPr>
          <w:t>ע"פ 5522/20</w:t>
        </w:r>
      </w:hyperlink>
      <w:r>
        <w:rPr>
          <w:rFonts w:ascii="David" w:hAnsi="David" w:cs="David"/>
          <w:sz w:val="24"/>
          <w:szCs w:val="24"/>
          <w:rtl/>
        </w:rPr>
        <w:t xml:space="preserve"> </w:t>
      </w:r>
      <w:r>
        <w:rPr>
          <w:rFonts w:ascii="David" w:hAnsi="David" w:cs="David"/>
          <w:b/>
          <w:bCs/>
          <w:sz w:val="24"/>
          <w:szCs w:val="24"/>
          <w:rtl/>
        </w:rPr>
        <w:t>חלייחל נ' מ</w:t>
      </w:r>
      <w:r>
        <w:rPr>
          <w:rFonts w:ascii="David" w:hAnsi="David" w:cs="David" w:hint="cs"/>
          <w:b/>
          <w:bCs/>
          <w:sz w:val="24"/>
          <w:szCs w:val="24"/>
          <w:rtl/>
        </w:rPr>
        <w:t>דינת ישראל</w:t>
      </w:r>
      <w:r>
        <w:rPr>
          <w:rFonts w:ascii="David" w:hAnsi="David" w:cs="David"/>
          <w:sz w:val="24"/>
          <w:szCs w:val="24"/>
          <w:rtl/>
        </w:rPr>
        <w:t>. כן הפנתה המאשימה בהקשר למדיניות ההחמרה בענישה להנחיית פרקליט המדינה.</w:t>
      </w:r>
    </w:p>
    <w:p w14:paraId="1A2E450D"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 xml:space="preserve">המדינה טוענת כי מידת הפגיעה בערכים המוגנים במקרה זה משמעותית. כן מפנה לסכנות הטמונות בנשק מתוצרת עצמית - </w:t>
      </w:r>
      <w:hyperlink r:id="rId15" w:history="1">
        <w:r w:rsidR="00293DA0" w:rsidRPr="00293DA0">
          <w:rPr>
            <w:rFonts w:ascii="David" w:hAnsi="David" w:cs="David"/>
            <w:color w:val="0000FF"/>
            <w:sz w:val="24"/>
            <w:szCs w:val="24"/>
            <w:u w:val="single"/>
            <w:rtl/>
          </w:rPr>
          <w:t>ת"פ (ב"ש) 7544-11-16</w:t>
        </w:r>
      </w:hyperlink>
      <w:r>
        <w:rPr>
          <w:rFonts w:ascii="David" w:hAnsi="David" w:cs="David"/>
          <w:sz w:val="24"/>
          <w:szCs w:val="24"/>
          <w:rtl/>
        </w:rPr>
        <w:t xml:space="preserve"> </w:t>
      </w:r>
      <w:r>
        <w:rPr>
          <w:rFonts w:ascii="David" w:hAnsi="David" w:cs="David"/>
          <w:b/>
          <w:bCs/>
          <w:sz w:val="24"/>
          <w:szCs w:val="24"/>
          <w:rtl/>
        </w:rPr>
        <w:t>מ</w:t>
      </w:r>
      <w:r>
        <w:rPr>
          <w:rFonts w:ascii="David" w:hAnsi="David" w:cs="David" w:hint="cs"/>
          <w:b/>
          <w:bCs/>
          <w:sz w:val="24"/>
          <w:szCs w:val="24"/>
          <w:rtl/>
        </w:rPr>
        <w:t>דינת ישראל</w:t>
      </w:r>
      <w:r>
        <w:rPr>
          <w:rFonts w:ascii="David" w:hAnsi="David" w:cs="David"/>
          <w:b/>
          <w:bCs/>
          <w:sz w:val="24"/>
          <w:szCs w:val="24"/>
          <w:rtl/>
        </w:rPr>
        <w:t xml:space="preserve"> נ' אלאסד</w:t>
      </w:r>
      <w:r>
        <w:rPr>
          <w:rFonts w:ascii="David" w:hAnsi="David" w:cs="David"/>
          <w:sz w:val="24"/>
          <w:szCs w:val="24"/>
          <w:rtl/>
        </w:rPr>
        <w:t xml:space="preserve">. </w:t>
      </w:r>
    </w:p>
    <w:p w14:paraId="7C1BB133" w14:textId="77777777" w:rsidR="00180228" w:rsidRDefault="00180228" w:rsidP="00180228">
      <w:pPr>
        <w:pStyle w:val="ab"/>
        <w:spacing w:line="360" w:lineRule="auto"/>
        <w:jc w:val="both"/>
        <w:rPr>
          <w:rFonts w:ascii="David" w:hAnsi="David" w:cs="David"/>
          <w:sz w:val="24"/>
          <w:szCs w:val="24"/>
          <w:rtl/>
        </w:rPr>
      </w:pPr>
    </w:p>
    <w:p w14:paraId="4D69FB8B"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בעניין נסיבות הקשורות בביצוע העבירה המדינה טוענת, כי ניתן ללמוד מנסיבות ההחזקה - מקום אחסון הנשק והמחסניות – כי מדובר בעבירה שבוצעה מתוך תכנון והבנה מלאה של הפסול במעשים. המאשימה טענה לפוטנציאל הנזק הרב הכרוך בהחזקת נשק ובפרט הסכנה כי יועבר למחוללי פשיעה או טרור וכי ייעשה בו שימוש.</w:t>
      </w:r>
    </w:p>
    <w:p w14:paraId="75E3F3D0" w14:textId="77777777" w:rsidR="00180228" w:rsidRDefault="00180228" w:rsidP="00180228">
      <w:pPr>
        <w:pStyle w:val="ab"/>
        <w:spacing w:line="360" w:lineRule="auto"/>
        <w:jc w:val="both"/>
        <w:rPr>
          <w:rFonts w:ascii="David" w:hAnsi="David" w:cs="David"/>
          <w:sz w:val="24"/>
          <w:szCs w:val="24"/>
          <w:rtl/>
        </w:rPr>
      </w:pPr>
    </w:p>
    <w:p w14:paraId="450D571E"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המאשימה הפנתה לאסמכתאות הבאות מן הפסיקה:</w:t>
      </w:r>
    </w:p>
    <w:p w14:paraId="2BD3EABF" w14:textId="77777777" w:rsidR="00180228" w:rsidRDefault="00293DA0" w:rsidP="00180228">
      <w:pPr>
        <w:pStyle w:val="ab"/>
        <w:numPr>
          <w:ilvl w:val="0"/>
          <w:numId w:val="3"/>
        </w:numPr>
        <w:spacing w:line="360" w:lineRule="auto"/>
        <w:jc w:val="both"/>
        <w:rPr>
          <w:rFonts w:ascii="David" w:hAnsi="David" w:cs="David"/>
          <w:sz w:val="24"/>
          <w:szCs w:val="24"/>
          <w:rtl/>
        </w:rPr>
      </w:pPr>
      <w:hyperlink r:id="rId16" w:history="1">
        <w:r w:rsidRPr="00293DA0">
          <w:rPr>
            <w:rFonts w:ascii="David" w:hAnsi="David" w:cs="David"/>
            <w:color w:val="0000FF"/>
            <w:sz w:val="24"/>
            <w:szCs w:val="24"/>
            <w:u w:val="single"/>
            <w:rtl/>
          </w:rPr>
          <w:t xml:space="preserve">ע''פ  </w:t>
        </w:r>
      </w:hyperlink>
      <w:r w:rsidR="00180228">
        <w:rPr>
          <w:rFonts w:ascii="David" w:hAnsi="David" w:cs="David"/>
          <w:sz w:val="24"/>
          <w:szCs w:val="24"/>
          <w:rtl/>
        </w:rPr>
        <w:t xml:space="preserve"> 2482/22 </w:t>
      </w:r>
      <w:r w:rsidR="00180228">
        <w:rPr>
          <w:rFonts w:ascii="David" w:hAnsi="David" w:cs="David"/>
          <w:b/>
          <w:bCs/>
          <w:sz w:val="24"/>
          <w:szCs w:val="24"/>
          <w:rtl/>
        </w:rPr>
        <w:t>מדינת ישראל נ' קדורה:</w:t>
      </w:r>
      <w:r w:rsidR="00180228">
        <w:rPr>
          <w:rFonts w:ascii="David" w:hAnsi="David" w:cs="David"/>
          <w:sz w:val="24"/>
          <w:szCs w:val="24"/>
          <w:rtl/>
        </w:rPr>
        <w:t xml:space="preserve"> נאשם שהורשע על פי הודאתו במסגרת הסדר טיעון בהחזקת נשק בצוותא בכך שהחזיק עבור אחר אקדח, כדורים ורימון הלם. בית המשפט המחוזי קבע מתחם הנע בין 36-10 חודשי מאסר. הנאשם נידון ל־10 חודשי מאסר. ערעור המאשימה לבית המשפט העליון על קולת העונש התקבל, ועונשו הוחמר ל־18 חודשי מאסר</w:t>
      </w:r>
    </w:p>
    <w:p w14:paraId="7BE17AD9" w14:textId="77777777" w:rsidR="00180228" w:rsidRDefault="00180228" w:rsidP="00180228">
      <w:pPr>
        <w:pStyle w:val="ab"/>
        <w:numPr>
          <w:ilvl w:val="0"/>
          <w:numId w:val="3"/>
        </w:numPr>
        <w:spacing w:after="0" w:line="360" w:lineRule="auto"/>
        <w:jc w:val="both"/>
        <w:rPr>
          <w:rFonts w:ascii="David" w:hAnsi="David" w:cs="David"/>
          <w:sz w:val="24"/>
          <w:szCs w:val="24"/>
        </w:rPr>
      </w:pPr>
      <w:r>
        <w:rPr>
          <w:rFonts w:ascii="David" w:hAnsi="David" w:cs="David"/>
          <w:sz w:val="24"/>
          <w:szCs w:val="24"/>
          <w:rtl/>
        </w:rPr>
        <w:t xml:space="preserve">ת''פ 16541-01-21 </w:t>
      </w:r>
      <w:r>
        <w:rPr>
          <w:rFonts w:ascii="David" w:hAnsi="David" w:cs="David"/>
          <w:b/>
          <w:bCs/>
          <w:sz w:val="24"/>
          <w:szCs w:val="24"/>
          <w:rtl/>
        </w:rPr>
        <w:t>מדינת ישראל נ' אלנעאמי:</w:t>
      </w:r>
      <w:r>
        <w:rPr>
          <w:rFonts w:ascii="David" w:hAnsi="David" w:cs="David"/>
          <w:sz w:val="24"/>
          <w:szCs w:val="24"/>
          <w:rtl/>
        </w:rPr>
        <w:t xml:space="preserve"> נידון בפני מותב זה. נאשם שהורשע בהחזקת נשק וסמים בכך שהחזיק בביתו אקדח, רובה לא תקין, מחסניות, כדורים וסם קנביס. נקבע מתחם הנע בין 48-22 חודשי מאסר בפועל. הנאשם, צעיר, נעדר עבר פלילי, נידון ל־30 חודשי מאסר בפועל.    </w:t>
      </w:r>
    </w:p>
    <w:p w14:paraId="1432D264" w14:textId="77777777" w:rsidR="00180228" w:rsidRDefault="00180228" w:rsidP="00180228">
      <w:pPr>
        <w:pStyle w:val="ab"/>
        <w:numPr>
          <w:ilvl w:val="0"/>
          <w:numId w:val="3"/>
        </w:numPr>
        <w:spacing w:after="0" w:line="360" w:lineRule="auto"/>
        <w:jc w:val="both"/>
        <w:rPr>
          <w:rFonts w:ascii="David" w:hAnsi="David" w:cs="David"/>
          <w:sz w:val="24"/>
          <w:szCs w:val="24"/>
        </w:rPr>
      </w:pPr>
      <w:r>
        <w:rPr>
          <w:rFonts w:ascii="David" w:hAnsi="David" w:cs="David"/>
          <w:sz w:val="24"/>
          <w:szCs w:val="24"/>
          <w:rtl/>
        </w:rPr>
        <w:t xml:space="preserve">ת"פ 35396-04-22 </w:t>
      </w:r>
      <w:r>
        <w:rPr>
          <w:rFonts w:ascii="David" w:hAnsi="David" w:cs="David"/>
          <w:b/>
          <w:bCs/>
          <w:sz w:val="24"/>
          <w:szCs w:val="24"/>
          <w:rtl/>
        </w:rPr>
        <w:t>מדינת ישראל נ' אלהוזייל</w:t>
      </w:r>
      <w:r>
        <w:rPr>
          <w:rFonts w:ascii="David" w:hAnsi="David" w:cs="David"/>
          <w:sz w:val="24"/>
          <w:szCs w:val="24"/>
          <w:rtl/>
        </w:rPr>
        <w:t>: נידון בפני מותב זה. הנאשם, נעדר עבר פלילי, הורשע על פי הודאתו בכתב אישום מתוקן בהחזקת אקדח חצי אוטומטי ומחסנית תואמת טעונה בשישה כדורים וכן בהתנגדות למעצר. הנאשם החזיק את המחסנית בכיסו ואת האקדח הטמין בשיחים. בית המשפט קבע כי מתחם העונש ההולם הוא 20-40 חודשי מאסר בפועל ועונשים נלווים. על הנאשם הוטלו 24 חודשי מאסר בפועל. הנאשם חזר בו מערעור על חומרת העונש בהמלצת בית המשפט.</w:t>
      </w:r>
    </w:p>
    <w:p w14:paraId="7CBE0E08" w14:textId="77777777" w:rsidR="00180228" w:rsidRDefault="00293DA0" w:rsidP="00180228">
      <w:pPr>
        <w:pStyle w:val="ab"/>
        <w:numPr>
          <w:ilvl w:val="0"/>
          <w:numId w:val="3"/>
        </w:numPr>
        <w:spacing w:line="360" w:lineRule="auto"/>
        <w:jc w:val="both"/>
        <w:rPr>
          <w:rFonts w:ascii="David" w:hAnsi="David" w:cs="David"/>
          <w:b/>
          <w:bCs/>
          <w:sz w:val="24"/>
          <w:szCs w:val="24"/>
        </w:rPr>
      </w:pPr>
      <w:hyperlink r:id="rId17" w:history="1">
        <w:r w:rsidRPr="00293DA0">
          <w:rPr>
            <w:rFonts w:ascii="David" w:hAnsi="David" w:cs="David"/>
            <w:color w:val="0000FF"/>
            <w:sz w:val="24"/>
            <w:szCs w:val="24"/>
            <w:u w:val="single"/>
            <w:rtl/>
          </w:rPr>
          <w:t>עפ"ג 2024-04-21</w:t>
        </w:r>
      </w:hyperlink>
      <w:r w:rsidR="00180228">
        <w:rPr>
          <w:rFonts w:ascii="David" w:hAnsi="David" w:cs="David"/>
          <w:sz w:val="24"/>
          <w:szCs w:val="24"/>
          <w:rtl/>
        </w:rPr>
        <w:t xml:space="preserve"> </w:t>
      </w:r>
      <w:r w:rsidR="00180228">
        <w:rPr>
          <w:rFonts w:ascii="David" w:hAnsi="David" w:cs="David"/>
          <w:b/>
          <w:bCs/>
          <w:sz w:val="24"/>
          <w:szCs w:val="24"/>
          <w:rtl/>
        </w:rPr>
        <w:t xml:space="preserve">מ"י נ' מנדורי: </w:t>
      </w:r>
      <w:r w:rsidR="00180228">
        <w:rPr>
          <w:rFonts w:ascii="David" w:hAnsi="David" w:cs="David"/>
          <w:sz w:val="24"/>
          <w:szCs w:val="24"/>
          <w:rtl/>
        </w:rPr>
        <w:t xml:space="preserve">בית המשפט המחוזי קיבל את ערעור המדינה, והחמיר בעונשו של הנאשם שהורשע בהחזקת רובה סער דמוי </w:t>
      </w:r>
      <w:r w:rsidR="00180228">
        <w:rPr>
          <w:rFonts w:ascii="David" w:hAnsi="David" w:cs="David"/>
          <w:sz w:val="24"/>
          <w:szCs w:val="24"/>
        </w:rPr>
        <w:t>M16</w:t>
      </w:r>
      <w:r w:rsidR="00180228">
        <w:rPr>
          <w:rFonts w:ascii="David" w:hAnsi="David" w:cs="David"/>
          <w:sz w:val="24"/>
          <w:szCs w:val="24"/>
          <w:rtl/>
        </w:rPr>
        <w:t xml:space="preserve"> שהוסב מירי כדורי פלסטיק לירי תחמושת חיה, הכולל גם חלקים תקניים וכן החזיק חלקי רובה </w:t>
      </w:r>
      <w:r w:rsidR="00180228">
        <w:rPr>
          <w:rFonts w:ascii="David" w:hAnsi="David" w:cs="David"/>
          <w:sz w:val="24"/>
          <w:szCs w:val="24"/>
        </w:rPr>
        <w:t>M16</w:t>
      </w:r>
      <w:r w:rsidR="00180228">
        <w:rPr>
          <w:rFonts w:ascii="David" w:hAnsi="David" w:cs="David"/>
          <w:sz w:val="24"/>
          <w:szCs w:val="24"/>
          <w:rtl/>
        </w:rPr>
        <w:t xml:space="preserve"> נוספים ומחסנית תואמת ובה 30 כדורי תחמושת.  נקבע מתחם של 18-36 חודשי מאסר בפועל. נגזרו על הנאשם 20 חודשי מאסר בפועל. </w:t>
      </w:r>
      <w:r w:rsidR="00180228">
        <w:rPr>
          <w:rFonts w:ascii="David" w:hAnsi="David" w:cs="David"/>
          <w:b/>
          <w:bCs/>
          <w:sz w:val="24"/>
          <w:szCs w:val="24"/>
          <w:rtl/>
        </w:rPr>
        <w:t xml:space="preserve"> </w:t>
      </w:r>
    </w:p>
    <w:p w14:paraId="222D4298" w14:textId="77777777" w:rsidR="00180228" w:rsidRDefault="00180228" w:rsidP="00180228">
      <w:pPr>
        <w:pStyle w:val="ab"/>
        <w:numPr>
          <w:ilvl w:val="0"/>
          <w:numId w:val="3"/>
        </w:numPr>
        <w:spacing w:line="360" w:lineRule="auto"/>
        <w:jc w:val="both"/>
        <w:rPr>
          <w:rFonts w:ascii="David" w:hAnsi="David" w:cs="David"/>
          <w:b/>
          <w:bCs/>
          <w:sz w:val="24"/>
          <w:szCs w:val="24"/>
        </w:rPr>
      </w:pPr>
      <w:r>
        <w:rPr>
          <w:rFonts w:ascii="David" w:hAnsi="David" w:cs="David"/>
          <w:sz w:val="24"/>
          <w:szCs w:val="24"/>
          <w:rtl/>
        </w:rPr>
        <w:t xml:space="preserve">ת"פ 548070-01-21 </w:t>
      </w:r>
      <w:r>
        <w:rPr>
          <w:rFonts w:ascii="David" w:hAnsi="David" w:cs="David"/>
          <w:b/>
          <w:bCs/>
          <w:sz w:val="24"/>
          <w:szCs w:val="24"/>
          <w:rtl/>
        </w:rPr>
        <w:t>מ"י נ' זהר אלבחירי</w:t>
      </w:r>
      <w:r>
        <w:rPr>
          <w:rFonts w:ascii="David" w:hAnsi="David" w:cs="David"/>
          <w:sz w:val="24"/>
          <w:szCs w:val="24"/>
          <w:rtl/>
        </w:rPr>
        <w:t xml:space="preserve">: שם הורשע הנאשם, צעיר נעדר עבר פלילי, בכך שהחזיק בתוך מזוודה מעל ארון המטבח, באקדח מסוג </w:t>
      </w:r>
      <w:r>
        <w:rPr>
          <w:rFonts w:ascii="David" w:hAnsi="David" w:cs="David"/>
          <w:sz w:val="24"/>
          <w:szCs w:val="24"/>
        </w:rPr>
        <w:t>FN</w:t>
      </w:r>
      <w:r>
        <w:rPr>
          <w:rFonts w:ascii="David" w:hAnsi="David" w:cs="David"/>
          <w:sz w:val="24"/>
          <w:szCs w:val="24"/>
          <w:rtl/>
        </w:rPr>
        <w:t xml:space="preserve"> שבתוכו מחסנית, וכן במחסנית נוספת של אקדח ובחמש קופסאות תחמושת שהכילו 213 כדורי 9 מ"מ. בית המשפט קבע מתחם עונש הולם שנע בין 12 ל- 36 חודשי מאסר, וגזר על הנאשם 18 חודשי מאסר בפועל, בליווי מאסר מותנה וקנס. </w:t>
      </w:r>
    </w:p>
    <w:p w14:paraId="3D607418" w14:textId="77777777" w:rsidR="00180228" w:rsidRDefault="00180228" w:rsidP="00180228">
      <w:pPr>
        <w:spacing w:line="360" w:lineRule="auto"/>
        <w:ind w:left="720"/>
        <w:jc w:val="both"/>
        <w:rPr>
          <w:rFonts w:ascii="David" w:hAnsi="David"/>
        </w:rPr>
      </w:pPr>
    </w:p>
    <w:p w14:paraId="3852A35F" w14:textId="77777777" w:rsidR="00180228" w:rsidRDefault="00180228" w:rsidP="00180228">
      <w:pPr>
        <w:spacing w:line="360" w:lineRule="auto"/>
        <w:ind w:left="720"/>
        <w:jc w:val="both"/>
        <w:rPr>
          <w:rFonts w:ascii="David" w:hAnsi="David"/>
          <w:rtl/>
        </w:rPr>
      </w:pPr>
      <w:r>
        <w:rPr>
          <w:rFonts w:ascii="David" w:hAnsi="David"/>
          <w:rtl/>
        </w:rPr>
        <w:t>המאשימה מדגישה בטיעונה כי מרבית האסמכתאות ניתנו לפני התיקון לחוק וכי מהתיקון לחוק מתחייבת מדיניות ענישה וקביעת מתחם שתחתיתו לא תפחת מ-21 חודשי מאסר.</w:t>
      </w:r>
    </w:p>
    <w:p w14:paraId="55524781" w14:textId="77777777" w:rsidR="00180228" w:rsidRDefault="00180228" w:rsidP="00180228">
      <w:pPr>
        <w:spacing w:line="360" w:lineRule="auto"/>
        <w:ind w:left="720"/>
        <w:jc w:val="both"/>
        <w:rPr>
          <w:rFonts w:ascii="David" w:hAnsi="David"/>
          <w:rtl/>
        </w:rPr>
      </w:pPr>
    </w:p>
    <w:p w14:paraId="508E1174" w14:textId="77777777" w:rsidR="00180228" w:rsidRDefault="00180228" w:rsidP="00180228">
      <w:pPr>
        <w:spacing w:line="360" w:lineRule="auto"/>
        <w:ind w:left="720"/>
        <w:jc w:val="both"/>
        <w:rPr>
          <w:rFonts w:ascii="David" w:hAnsi="David"/>
          <w:rtl/>
        </w:rPr>
      </w:pPr>
      <w:r>
        <w:rPr>
          <w:rFonts w:ascii="David" w:hAnsi="David"/>
          <w:rtl/>
        </w:rPr>
        <w:t>המאשימה מבקשת לקבוע, כי בהחזקת הנשק, נסיבות החזקתו וכן החזקת תחמושת תואמת, יש לקבו מתחם של 28-56 חודשי מאסר בפועל, וזאת לצד מאסר על תנאי משמעותי וקנס.</w:t>
      </w:r>
    </w:p>
    <w:p w14:paraId="75407710"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המאשימה סבורה, כי בשים לב לנסיבות הנאשם, נעדר הרשעות קודמות, תקופת מעצרו והודאתו במיוחס לו שהביאה לחיסכון בזמן שיפוטי, יש להטיל על הנאשם עונש בחלקו התחתון של המתחם אך לא בתחתיתו ממש.</w:t>
      </w:r>
    </w:p>
    <w:p w14:paraId="45249E8B"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לעניין זה נטען, כי עבירות הנשק הפכו ל"מצב חירום של ממש", כאשר הן פוגעות ביטחון האישי ובאיכות החיים של אזרחים חפים מפשע, אשר חיים בבעתה מתמידה באזור מגוריהם. על כן, מתחייבת החמרה בענישת הנאשם גם משיקולי הרתעת הרבים.</w:t>
      </w:r>
    </w:p>
    <w:p w14:paraId="28E30C8B" w14:textId="77777777" w:rsidR="00180228" w:rsidRDefault="00180228" w:rsidP="00180228">
      <w:pPr>
        <w:pStyle w:val="ab"/>
        <w:spacing w:line="360" w:lineRule="auto"/>
        <w:jc w:val="both"/>
        <w:rPr>
          <w:rFonts w:ascii="David" w:hAnsi="David" w:cs="David"/>
          <w:sz w:val="24"/>
          <w:szCs w:val="24"/>
          <w:rtl/>
        </w:rPr>
      </w:pPr>
    </w:p>
    <w:p w14:paraId="2965065E" w14:textId="77777777" w:rsidR="00180228" w:rsidRDefault="00180228" w:rsidP="00180228">
      <w:pPr>
        <w:pStyle w:val="ab"/>
        <w:numPr>
          <w:ilvl w:val="0"/>
          <w:numId w:val="1"/>
        </w:numPr>
        <w:spacing w:line="360" w:lineRule="auto"/>
        <w:jc w:val="both"/>
        <w:rPr>
          <w:rFonts w:ascii="David" w:hAnsi="David" w:cs="David"/>
          <w:sz w:val="24"/>
          <w:szCs w:val="24"/>
          <w:rtl/>
        </w:rPr>
      </w:pPr>
      <w:r>
        <w:rPr>
          <w:rFonts w:ascii="David" w:hAnsi="David" w:cs="David"/>
          <w:b/>
          <w:bCs/>
          <w:sz w:val="24"/>
          <w:szCs w:val="24"/>
          <w:rtl/>
        </w:rPr>
        <w:t xml:space="preserve">ההגנה </w:t>
      </w:r>
      <w:r>
        <w:rPr>
          <w:rFonts w:ascii="David" w:hAnsi="David" w:cs="David"/>
          <w:sz w:val="24"/>
          <w:szCs w:val="24"/>
          <w:rtl/>
        </w:rPr>
        <w:t xml:space="preserve">הפנתה לתיקון בכתב האישום על רקע קושי ראייתי. </w:t>
      </w:r>
    </w:p>
    <w:p w14:paraId="23B1FDC5" w14:textId="77777777" w:rsidR="00180228" w:rsidRDefault="00180228" w:rsidP="00180228">
      <w:pPr>
        <w:pStyle w:val="ab"/>
        <w:spacing w:line="360" w:lineRule="auto"/>
        <w:jc w:val="both"/>
        <w:rPr>
          <w:rFonts w:ascii="David" w:hAnsi="David" w:cs="David"/>
          <w:sz w:val="24"/>
          <w:szCs w:val="24"/>
        </w:rPr>
      </w:pPr>
      <w:r>
        <w:rPr>
          <w:rFonts w:ascii="David" w:hAnsi="David" w:cs="David"/>
          <w:sz w:val="24"/>
          <w:szCs w:val="24"/>
          <w:rtl/>
        </w:rPr>
        <w:t xml:space="preserve">נטען, כי האסמכתאות אליהן הפנתה המאשימה אינן תואמות את עתירתה העונשית, גם בהינתן פסקי הדין שניתנו לאחר התיקון לחוק. </w:t>
      </w:r>
    </w:p>
    <w:p w14:paraId="7E613C30"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 xml:space="preserve">ההגנה הפנתה לכך, כי הנאשם הודה ולקח אחריות על מעשיו כבר בעת חקירתו. נטען, כי אין כל אינדיקציה לכך שהנשק הוחזק לצורך שימוש פלילי. </w:t>
      </w:r>
    </w:p>
    <w:p w14:paraId="734F0488"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נטען, כי הנאשם נעדר הרשעות קודמות, מרקע נורמטיבי, עובד במקום מסודר, נשוי. בעת הטיעון לעונש אשתו של הנאשם בהריון לאחר טיפולי פוריות ארוכים.</w:t>
      </w:r>
    </w:p>
    <w:p w14:paraId="396DC26D"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לדעת ההגנה יש לקבוע מתחם מתון הרבה יותר מזה שהמאשימה עותרת לו.</w:t>
      </w:r>
    </w:p>
    <w:p w14:paraId="42C8B487"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ההגנה הפנתה לאסמכתאות:</w:t>
      </w:r>
    </w:p>
    <w:p w14:paraId="28C26C39" w14:textId="77777777" w:rsidR="00180228" w:rsidRDefault="00180228" w:rsidP="00180228">
      <w:pPr>
        <w:pStyle w:val="ab"/>
        <w:spacing w:line="360" w:lineRule="auto"/>
        <w:jc w:val="both"/>
        <w:rPr>
          <w:rFonts w:ascii="David" w:hAnsi="David" w:cs="David"/>
          <w:sz w:val="24"/>
          <w:szCs w:val="24"/>
          <w:rtl/>
        </w:rPr>
      </w:pPr>
    </w:p>
    <w:p w14:paraId="45BE7DA1" w14:textId="77777777" w:rsidR="00180228" w:rsidRDefault="00293DA0" w:rsidP="00180228">
      <w:pPr>
        <w:pStyle w:val="ab"/>
        <w:spacing w:line="360" w:lineRule="auto"/>
        <w:jc w:val="both"/>
        <w:rPr>
          <w:rFonts w:ascii="David" w:hAnsi="David" w:cs="David"/>
          <w:sz w:val="24"/>
          <w:szCs w:val="24"/>
          <w:rtl/>
        </w:rPr>
      </w:pPr>
      <w:hyperlink r:id="rId18" w:history="1">
        <w:r w:rsidRPr="00293DA0">
          <w:rPr>
            <w:rFonts w:ascii="David" w:hAnsi="David" w:cs="David"/>
            <w:color w:val="0000FF"/>
            <w:sz w:val="24"/>
            <w:szCs w:val="24"/>
            <w:u w:val="single"/>
            <w:rtl/>
          </w:rPr>
          <w:t>ת"פ 55056-10-22</w:t>
        </w:r>
      </w:hyperlink>
      <w:r w:rsidR="00180228">
        <w:rPr>
          <w:rFonts w:ascii="David" w:hAnsi="David" w:cs="David"/>
          <w:sz w:val="24"/>
          <w:szCs w:val="24"/>
          <w:rtl/>
        </w:rPr>
        <w:t xml:space="preserve"> </w:t>
      </w:r>
      <w:r w:rsidR="00180228">
        <w:rPr>
          <w:rFonts w:ascii="David" w:hAnsi="David" w:cs="David"/>
          <w:b/>
          <w:bCs/>
          <w:sz w:val="24"/>
          <w:szCs w:val="24"/>
          <w:rtl/>
        </w:rPr>
        <w:t xml:space="preserve">מ"י נ' וואסים אלקרינאוי: </w:t>
      </w:r>
      <w:r w:rsidR="00180228">
        <w:rPr>
          <w:rFonts w:ascii="David" w:hAnsi="David" w:cs="David"/>
          <w:sz w:val="24"/>
          <w:szCs w:val="24"/>
          <w:rtl/>
        </w:rPr>
        <w:t xml:space="preserve">ניתן על ידי מותב זה. שם הורשע הנאשם בהחזקת תת מקלע מאולתר מסוג "קרלו". שם נקבע מתחם עונש הולם של  15-36 חודשי מאסר. על הנאשם הוטלו 17 חודשי מאסר בפועל. </w:t>
      </w:r>
    </w:p>
    <w:p w14:paraId="37E668CC" w14:textId="77777777" w:rsidR="00180228" w:rsidRDefault="00180228" w:rsidP="00180228">
      <w:pPr>
        <w:pStyle w:val="ab"/>
        <w:spacing w:line="360" w:lineRule="auto"/>
        <w:jc w:val="both"/>
        <w:rPr>
          <w:rFonts w:ascii="David" w:hAnsi="David" w:cs="David"/>
          <w:sz w:val="24"/>
          <w:szCs w:val="24"/>
          <w:rtl/>
        </w:rPr>
      </w:pPr>
    </w:p>
    <w:p w14:paraId="1D4F35C0" w14:textId="77777777" w:rsidR="00180228" w:rsidRDefault="00293DA0" w:rsidP="00180228">
      <w:pPr>
        <w:pStyle w:val="ab"/>
        <w:spacing w:line="360" w:lineRule="auto"/>
        <w:jc w:val="both"/>
        <w:rPr>
          <w:rFonts w:ascii="David" w:hAnsi="David" w:cs="David"/>
          <w:sz w:val="24"/>
          <w:szCs w:val="24"/>
          <w:rtl/>
        </w:rPr>
      </w:pPr>
      <w:hyperlink r:id="rId19" w:history="1">
        <w:r w:rsidRPr="00293DA0">
          <w:rPr>
            <w:rFonts w:ascii="David" w:hAnsi="David" w:cs="David"/>
            <w:color w:val="0000FF"/>
            <w:sz w:val="24"/>
            <w:szCs w:val="24"/>
            <w:u w:val="single"/>
            <w:rtl/>
          </w:rPr>
          <w:t>ת"פ 22526-03-22</w:t>
        </w:r>
      </w:hyperlink>
      <w:r w:rsidR="00180228">
        <w:rPr>
          <w:rFonts w:ascii="David" w:hAnsi="David" w:cs="David"/>
          <w:sz w:val="24"/>
          <w:szCs w:val="24"/>
          <w:rtl/>
        </w:rPr>
        <w:t xml:space="preserve"> </w:t>
      </w:r>
      <w:r w:rsidR="00180228">
        <w:rPr>
          <w:rFonts w:ascii="David" w:hAnsi="David" w:cs="David"/>
          <w:b/>
          <w:bCs/>
          <w:sz w:val="24"/>
          <w:szCs w:val="24"/>
          <w:rtl/>
        </w:rPr>
        <w:t>מ"י נ' אבו אלעקיס:</w:t>
      </w:r>
      <w:r w:rsidR="00180228">
        <w:rPr>
          <w:rFonts w:ascii="David" w:hAnsi="David" w:cs="David"/>
          <w:sz w:val="24"/>
          <w:szCs w:val="24"/>
          <w:rtl/>
        </w:rPr>
        <w:t xml:space="preserve"> ניתן על ידי מותב זה. הנאשם הורשע בהחזקת רובה סער דמוי </w:t>
      </w:r>
      <w:r w:rsidR="00180228">
        <w:rPr>
          <w:rFonts w:ascii="David" w:hAnsi="David" w:cs="David"/>
          <w:sz w:val="24"/>
          <w:szCs w:val="24"/>
        </w:rPr>
        <w:t>M16</w:t>
      </w:r>
      <w:r w:rsidR="00180228">
        <w:rPr>
          <w:rFonts w:ascii="David" w:hAnsi="David" w:cs="David"/>
          <w:sz w:val="24"/>
          <w:szCs w:val="24"/>
          <w:rtl/>
        </w:rPr>
        <w:t>. נקבע מתחם עונש הולם של 18-36 חודשי מאסר ועל הנאשם הוטלו 18 חודשי מאסר.</w:t>
      </w:r>
    </w:p>
    <w:p w14:paraId="02CDBFD9" w14:textId="77777777" w:rsidR="00180228" w:rsidRDefault="00180228" w:rsidP="00180228">
      <w:pPr>
        <w:pStyle w:val="ab"/>
        <w:spacing w:line="360" w:lineRule="auto"/>
        <w:jc w:val="both"/>
        <w:rPr>
          <w:rFonts w:ascii="David" w:hAnsi="David" w:cs="David"/>
          <w:sz w:val="24"/>
          <w:szCs w:val="24"/>
          <w:rtl/>
        </w:rPr>
      </w:pPr>
    </w:p>
    <w:p w14:paraId="2A45AB0B" w14:textId="77777777" w:rsidR="00180228" w:rsidRDefault="00293DA0" w:rsidP="00180228">
      <w:pPr>
        <w:pStyle w:val="ab"/>
        <w:spacing w:line="360" w:lineRule="auto"/>
        <w:jc w:val="both"/>
        <w:rPr>
          <w:rFonts w:ascii="David" w:hAnsi="David" w:cs="David"/>
          <w:sz w:val="24"/>
          <w:szCs w:val="24"/>
          <w:rtl/>
        </w:rPr>
      </w:pPr>
      <w:hyperlink r:id="rId20" w:history="1">
        <w:r w:rsidRPr="00293DA0">
          <w:rPr>
            <w:rFonts w:ascii="David" w:hAnsi="David" w:cs="David"/>
            <w:color w:val="0000FF"/>
            <w:sz w:val="24"/>
            <w:szCs w:val="24"/>
            <w:u w:val="single"/>
            <w:rtl/>
          </w:rPr>
          <w:t>ת"פ 52091-02-20</w:t>
        </w:r>
      </w:hyperlink>
      <w:r w:rsidR="00180228">
        <w:rPr>
          <w:rFonts w:ascii="David" w:hAnsi="David" w:cs="David"/>
          <w:sz w:val="24"/>
          <w:szCs w:val="24"/>
          <w:rtl/>
        </w:rPr>
        <w:t xml:space="preserve"> </w:t>
      </w:r>
      <w:r w:rsidR="00180228">
        <w:rPr>
          <w:rFonts w:ascii="David" w:hAnsi="David" w:cs="David"/>
          <w:b/>
          <w:bCs/>
          <w:sz w:val="24"/>
          <w:szCs w:val="24"/>
          <w:rtl/>
        </w:rPr>
        <w:t>מ"י</w:t>
      </w:r>
      <w:r w:rsidR="00180228">
        <w:rPr>
          <w:rFonts w:ascii="David" w:hAnsi="David" w:cs="David"/>
          <w:sz w:val="24"/>
          <w:szCs w:val="24"/>
          <w:rtl/>
        </w:rPr>
        <w:t xml:space="preserve"> </w:t>
      </w:r>
      <w:r w:rsidR="00180228">
        <w:rPr>
          <w:rFonts w:ascii="David" w:hAnsi="David" w:cs="David"/>
          <w:b/>
          <w:bCs/>
          <w:sz w:val="24"/>
          <w:szCs w:val="24"/>
          <w:rtl/>
        </w:rPr>
        <w:t>נ' אל אעאסם</w:t>
      </w:r>
      <w:r w:rsidR="00180228">
        <w:rPr>
          <w:rFonts w:ascii="David" w:hAnsi="David" w:cs="David"/>
          <w:sz w:val="24"/>
          <w:szCs w:val="24"/>
          <w:rtl/>
        </w:rPr>
        <w:t>: שם הורשע הנאשם בהחזקת תת מקלע מאולתר ותחמושת והוטלו עליו 18 חודשי מאסר בפועל.</w:t>
      </w:r>
    </w:p>
    <w:p w14:paraId="4DBF9C37" w14:textId="77777777" w:rsidR="00180228" w:rsidRDefault="00180228" w:rsidP="00180228">
      <w:pPr>
        <w:pStyle w:val="ab"/>
        <w:spacing w:line="360" w:lineRule="auto"/>
        <w:jc w:val="both"/>
        <w:rPr>
          <w:rFonts w:ascii="David" w:hAnsi="David" w:cs="David"/>
          <w:sz w:val="24"/>
          <w:szCs w:val="24"/>
          <w:rtl/>
        </w:rPr>
      </w:pPr>
    </w:p>
    <w:p w14:paraId="4AD8C4F1" w14:textId="77777777" w:rsidR="00180228" w:rsidRDefault="00293DA0" w:rsidP="00180228">
      <w:pPr>
        <w:pStyle w:val="ab"/>
        <w:spacing w:line="360" w:lineRule="auto"/>
        <w:jc w:val="both"/>
        <w:rPr>
          <w:rFonts w:ascii="David" w:hAnsi="David" w:cs="David"/>
          <w:sz w:val="24"/>
          <w:szCs w:val="24"/>
          <w:rtl/>
        </w:rPr>
      </w:pPr>
      <w:hyperlink r:id="rId21" w:history="1">
        <w:r w:rsidRPr="00293DA0">
          <w:rPr>
            <w:rFonts w:ascii="David" w:hAnsi="David" w:cs="David"/>
            <w:color w:val="0000FF"/>
            <w:sz w:val="24"/>
            <w:szCs w:val="24"/>
            <w:u w:val="single"/>
            <w:rtl/>
          </w:rPr>
          <w:t>ת"פ 57672-03-21</w:t>
        </w:r>
      </w:hyperlink>
      <w:r w:rsidR="00180228">
        <w:rPr>
          <w:rFonts w:ascii="David" w:hAnsi="David" w:cs="David"/>
          <w:sz w:val="24"/>
          <w:szCs w:val="24"/>
          <w:rtl/>
        </w:rPr>
        <w:t xml:space="preserve"> </w:t>
      </w:r>
      <w:r w:rsidR="00180228">
        <w:rPr>
          <w:rFonts w:ascii="David" w:hAnsi="David" w:cs="David"/>
          <w:b/>
          <w:bCs/>
          <w:sz w:val="24"/>
          <w:szCs w:val="24"/>
          <w:rtl/>
        </w:rPr>
        <w:t xml:space="preserve">מ"י נ' קאצאעי </w:t>
      </w:r>
      <w:r w:rsidR="00180228">
        <w:rPr>
          <w:rFonts w:ascii="David" w:hAnsi="David" w:cs="David"/>
          <w:sz w:val="24"/>
          <w:szCs w:val="24"/>
          <w:rtl/>
        </w:rPr>
        <w:t>שם הורשע הנאשם בהחזקת רובה סער מאולתר ומחסניות תואמות. נקבע מתחם ענישה של 20-30 חודשי מאסר ועל הנאשם הוטלו 22 חודשי מאסר.</w:t>
      </w:r>
    </w:p>
    <w:p w14:paraId="79083F05" w14:textId="77777777" w:rsidR="00180228" w:rsidRDefault="00180228" w:rsidP="00180228">
      <w:pPr>
        <w:pStyle w:val="ab"/>
        <w:spacing w:line="360" w:lineRule="auto"/>
        <w:jc w:val="both"/>
        <w:rPr>
          <w:rFonts w:ascii="David" w:hAnsi="David" w:cs="David"/>
          <w:sz w:val="24"/>
          <w:szCs w:val="24"/>
          <w:rtl/>
        </w:rPr>
      </w:pPr>
    </w:p>
    <w:p w14:paraId="4C668B1E" w14:textId="77777777" w:rsidR="00180228" w:rsidRDefault="00293DA0" w:rsidP="00180228">
      <w:pPr>
        <w:pStyle w:val="ab"/>
        <w:spacing w:line="360" w:lineRule="auto"/>
        <w:jc w:val="both"/>
        <w:rPr>
          <w:rFonts w:ascii="David" w:hAnsi="David" w:cs="David"/>
          <w:sz w:val="24"/>
          <w:szCs w:val="24"/>
          <w:rtl/>
        </w:rPr>
      </w:pPr>
      <w:hyperlink r:id="rId22" w:history="1">
        <w:r w:rsidRPr="00293DA0">
          <w:rPr>
            <w:rFonts w:ascii="David" w:hAnsi="David" w:cs="David"/>
            <w:color w:val="0000FF"/>
            <w:sz w:val="24"/>
            <w:szCs w:val="24"/>
            <w:u w:val="single"/>
            <w:rtl/>
          </w:rPr>
          <w:t>ת"פ 4133-01-20</w:t>
        </w:r>
      </w:hyperlink>
      <w:r w:rsidR="00180228">
        <w:rPr>
          <w:rFonts w:ascii="David" w:hAnsi="David" w:cs="David"/>
          <w:sz w:val="24"/>
          <w:szCs w:val="24"/>
          <w:rtl/>
        </w:rPr>
        <w:t xml:space="preserve"> </w:t>
      </w:r>
      <w:r w:rsidR="00180228">
        <w:rPr>
          <w:rFonts w:ascii="David" w:hAnsi="David" w:cs="David"/>
          <w:b/>
          <w:bCs/>
          <w:sz w:val="24"/>
          <w:szCs w:val="24"/>
          <w:rtl/>
        </w:rPr>
        <w:t>מ"י נ' אל סנע</w:t>
      </w:r>
      <w:r w:rsidR="00180228">
        <w:rPr>
          <w:rFonts w:ascii="David" w:hAnsi="David" w:cs="David"/>
          <w:sz w:val="24"/>
          <w:szCs w:val="24"/>
          <w:rtl/>
        </w:rPr>
        <w:t xml:space="preserve"> שם הורשע הנאשם בהחזקת תת מקלע טעון, בעת שניסה להעבירו לאחר בעת חיפוש בביתו. נקבע מתחם של 16-36 חודשי מאסר, ועל הנאשם הוטלו 17 חודשי מאסר.</w:t>
      </w:r>
    </w:p>
    <w:p w14:paraId="14F3D1BF" w14:textId="77777777" w:rsidR="00180228" w:rsidRDefault="00293DA0" w:rsidP="00180228">
      <w:pPr>
        <w:pStyle w:val="ab"/>
        <w:spacing w:line="360" w:lineRule="auto"/>
        <w:jc w:val="both"/>
        <w:rPr>
          <w:rFonts w:ascii="David" w:hAnsi="David" w:cs="David"/>
          <w:sz w:val="24"/>
          <w:szCs w:val="24"/>
          <w:rtl/>
        </w:rPr>
      </w:pPr>
      <w:hyperlink r:id="rId23" w:history="1">
        <w:r w:rsidRPr="00293DA0">
          <w:rPr>
            <w:rFonts w:ascii="David" w:hAnsi="David" w:cs="David"/>
            <w:color w:val="0000FF"/>
            <w:sz w:val="24"/>
            <w:szCs w:val="24"/>
            <w:u w:val="single"/>
            <w:rtl/>
          </w:rPr>
          <w:t>ת"פ 23708-03-19</w:t>
        </w:r>
      </w:hyperlink>
      <w:r w:rsidR="00180228">
        <w:rPr>
          <w:rFonts w:ascii="David" w:hAnsi="David" w:cs="David"/>
          <w:sz w:val="24"/>
          <w:szCs w:val="24"/>
          <w:rtl/>
        </w:rPr>
        <w:t xml:space="preserve"> </w:t>
      </w:r>
      <w:r w:rsidR="00180228">
        <w:rPr>
          <w:rFonts w:ascii="David" w:hAnsi="David" w:cs="David"/>
          <w:b/>
          <w:bCs/>
          <w:sz w:val="24"/>
          <w:szCs w:val="24"/>
          <w:rtl/>
        </w:rPr>
        <w:t xml:space="preserve">מ"י נ' עתאיקה: </w:t>
      </w:r>
      <w:r w:rsidR="00180228">
        <w:rPr>
          <w:rFonts w:ascii="David" w:hAnsi="David" w:cs="David"/>
          <w:sz w:val="24"/>
          <w:szCs w:val="24"/>
          <w:rtl/>
        </w:rPr>
        <w:t>שם הורשע הנאשם בהחזקת קלצ'ניקוב ואקדח עם תחמושת והוטלו עליו 15 חודשי מאסר בפועל.</w:t>
      </w:r>
    </w:p>
    <w:p w14:paraId="68C249AD" w14:textId="77777777" w:rsidR="00180228" w:rsidRDefault="00180228" w:rsidP="00180228">
      <w:pPr>
        <w:pStyle w:val="ab"/>
        <w:spacing w:line="360" w:lineRule="auto"/>
        <w:jc w:val="both"/>
        <w:rPr>
          <w:rFonts w:ascii="David" w:hAnsi="David" w:cs="David"/>
          <w:sz w:val="24"/>
          <w:szCs w:val="24"/>
          <w:rtl/>
        </w:rPr>
      </w:pPr>
    </w:p>
    <w:p w14:paraId="00916205"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נוכח כל האמור לעיל, עותרת ההגנה לקביעת מתחם ענישה של 12-20 חודשי מאסר ולמקם את הנאשם במרכז המתחם.</w:t>
      </w:r>
    </w:p>
    <w:p w14:paraId="646A0A11" w14:textId="77777777" w:rsidR="00180228" w:rsidRDefault="00180228" w:rsidP="00180228">
      <w:pPr>
        <w:spacing w:line="360" w:lineRule="auto"/>
        <w:jc w:val="both"/>
        <w:rPr>
          <w:rFonts w:ascii="David" w:hAnsi="David"/>
          <w:rtl/>
        </w:rPr>
      </w:pPr>
    </w:p>
    <w:p w14:paraId="53112D7B" w14:textId="77777777" w:rsidR="00180228" w:rsidRDefault="00180228" w:rsidP="00180228">
      <w:pPr>
        <w:pStyle w:val="ab"/>
        <w:numPr>
          <w:ilvl w:val="0"/>
          <w:numId w:val="1"/>
        </w:numPr>
        <w:spacing w:line="360" w:lineRule="auto"/>
        <w:jc w:val="both"/>
        <w:rPr>
          <w:rFonts w:ascii="David" w:hAnsi="David" w:cs="David"/>
          <w:sz w:val="24"/>
          <w:szCs w:val="24"/>
          <w:rtl/>
        </w:rPr>
      </w:pPr>
      <w:r>
        <w:rPr>
          <w:rFonts w:ascii="David" w:hAnsi="David" w:cs="David"/>
          <w:b/>
          <w:bCs/>
          <w:sz w:val="24"/>
          <w:szCs w:val="24"/>
          <w:rtl/>
        </w:rPr>
        <w:t>הנאשם</w:t>
      </w:r>
      <w:r>
        <w:rPr>
          <w:rFonts w:ascii="David" w:hAnsi="David" w:cs="David"/>
          <w:sz w:val="24"/>
          <w:szCs w:val="24"/>
          <w:rtl/>
        </w:rPr>
        <w:t xml:space="preserve"> עצמו, מסר בדבריו האחרונים, שהוא מצטער על שעשה, והביע תקווה להמשיך בחייו עם משפחתו. </w:t>
      </w:r>
    </w:p>
    <w:p w14:paraId="550A9DED" w14:textId="77777777" w:rsidR="00180228" w:rsidRDefault="00180228" w:rsidP="00180228">
      <w:pPr>
        <w:pStyle w:val="ab"/>
        <w:spacing w:line="360" w:lineRule="auto"/>
        <w:jc w:val="both"/>
        <w:rPr>
          <w:rFonts w:ascii="David" w:hAnsi="David" w:cs="David"/>
          <w:sz w:val="24"/>
          <w:szCs w:val="24"/>
          <w:rtl/>
        </w:rPr>
      </w:pPr>
    </w:p>
    <w:p w14:paraId="13596990" w14:textId="77777777" w:rsidR="00180228" w:rsidRDefault="00180228" w:rsidP="00180228">
      <w:pPr>
        <w:pStyle w:val="ab"/>
        <w:spacing w:line="360" w:lineRule="auto"/>
        <w:jc w:val="both"/>
        <w:rPr>
          <w:rFonts w:ascii="David" w:hAnsi="David" w:cs="David"/>
          <w:sz w:val="24"/>
          <w:szCs w:val="24"/>
          <w:rtl/>
        </w:rPr>
      </w:pPr>
    </w:p>
    <w:p w14:paraId="68337255" w14:textId="77777777" w:rsidR="00180228" w:rsidRDefault="00180228" w:rsidP="00180228">
      <w:pPr>
        <w:pStyle w:val="ab"/>
        <w:spacing w:line="360" w:lineRule="auto"/>
        <w:jc w:val="both"/>
        <w:rPr>
          <w:rFonts w:ascii="David" w:hAnsi="David" w:cs="David"/>
          <w:sz w:val="24"/>
          <w:szCs w:val="24"/>
          <w:rtl/>
        </w:rPr>
      </w:pPr>
    </w:p>
    <w:p w14:paraId="18B6097D" w14:textId="77777777" w:rsidR="00180228" w:rsidRDefault="00180228" w:rsidP="00180228">
      <w:pPr>
        <w:spacing w:line="360" w:lineRule="auto"/>
        <w:jc w:val="both"/>
        <w:rPr>
          <w:rFonts w:ascii="David" w:hAnsi="David"/>
          <w:b/>
          <w:bCs/>
          <w:u w:val="single"/>
          <w:rtl/>
        </w:rPr>
      </w:pPr>
      <w:r>
        <w:rPr>
          <w:rFonts w:ascii="David" w:hAnsi="David"/>
          <w:b/>
          <w:bCs/>
          <w:u w:val="single"/>
          <w:rtl/>
        </w:rPr>
        <w:t>קביעת מתחם העונש ההולם:</w:t>
      </w:r>
    </w:p>
    <w:p w14:paraId="1A96B563" w14:textId="77777777" w:rsidR="00180228" w:rsidRDefault="00180228" w:rsidP="00180228">
      <w:pPr>
        <w:spacing w:line="360" w:lineRule="auto"/>
        <w:jc w:val="both"/>
        <w:rPr>
          <w:rFonts w:ascii="David" w:hAnsi="David"/>
          <w:b/>
          <w:bCs/>
          <w:u w:val="single"/>
          <w:rtl/>
        </w:rPr>
      </w:pPr>
    </w:p>
    <w:p w14:paraId="22B95A8D" w14:textId="77777777" w:rsidR="00180228" w:rsidRDefault="00180228" w:rsidP="00180228">
      <w:pPr>
        <w:pStyle w:val="ab"/>
        <w:numPr>
          <w:ilvl w:val="0"/>
          <w:numId w:val="1"/>
        </w:numPr>
        <w:spacing w:line="360" w:lineRule="auto"/>
        <w:jc w:val="both"/>
        <w:rPr>
          <w:rFonts w:ascii="David" w:hAnsi="David" w:cs="David"/>
          <w:sz w:val="24"/>
          <w:szCs w:val="24"/>
        </w:rPr>
      </w:pPr>
      <w:r>
        <w:rPr>
          <w:rFonts w:ascii="David" w:hAnsi="David" w:cs="David"/>
          <w:sz w:val="24"/>
          <w:szCs w:val="24"/>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3BD3A6EB" w14:textId="77777777" w:rsidR="00180228" w:rsidRDefault="00180228" w:rsidP="00180228">
      <w:pPr>
        <w:pStyle w:val="ab"/>
        <w:spacing w:line="360" w:lineRule="auto"/>
        <w:jc w:val="both"/>
        <w:rPr>
          <w:rFonts w:ascii="David" w:hAnsi="David" w:cs="David"/>
          <w:sz w:val="24"/>
          <w:szCs w:val="24"/>
          <w:rtl/>
        </w:rPr>
      </w:pPr>
    </w:p>
    <w:p w14:paraId="41B75B17" w14:textId="77777777" w:rsidR="00180228" w:rsidRDefault="00180228" w:rsidP="00180228">
      <w:pPr>
        <w:pStyle w:val="ab"/>
        <w:numPr>
          <w:ilvl w:val="0"/>
          <w:numId w:val="1"/>
        </w:numPr>
        <w:spacing w:line="360" w:lineRule="auto"/>
        <w:jc w:val="both"/>
        <w:rPr>
          <w:rFonts w:ascii="David" w:hAnsi="David" w:cs="David"/>
          <w:sz w:val="24"/>
          <w:szCs w:val="24"/>
        </w:rPr>
      </w:pPr>
      <w:r>
        <w:rPr>
          <w:rFonts w:ascii="David" w:hAnsi="David" w:cs="David"/>
          <w:color w:val="000000"/>
          <w:sz w:val="24"/>
          <w:szCs w:val="24"/>
          <w:rtl/>
        </w:rPr>
        <w:t xml:space="preserve">בתי המשפט בכלל הערכאות חוזרים ומדגישים את החומרה המיוחדת שבהחזקה אסורה כלי נשק. המדובר בעבירות המצויות בבסיס מעשי טרור, חבלה, עבריינות מאורגנת, חיסולי חשבונות ואלימות רחוב שארצנו שטופה בהן. בפסקי הדין חוזרים ומצטטים בתי המשפט את ההלכות הקוראות להחמרה בענישה בגין עבירות אלה ואת מצוות המחוקק. הקריאה להחמרה היא תולדה של הפגיעות הקשות בגוף, ברכוש, בנפש ובמשילות כתוצאה מריבוי העבירות, ובגין פוטנציאל הפגיעות הגדול עוד יותר כתוצאה מאלה. </w:t>
      </w:r>
    </w:p>
    <w:p w14:paraId="322E5367" w14:textId="77777777" w:rsidR="00180228" w:rsidRDefault="00180228" w:rsidP="00180228">
      <w:pPr>
        <w:pStyle w:val="ab"/>
        <w:spacing w:line="360" w:lineRule="auto"/>
        <w:jc w:val="both"/>
        <w:rPr>
          <w:rFonts w:ascii="David" w:hAnsi="David" w:cs="David"/>
          <w:sz w:val="24"/>
          <w:szCs w:val="24"/>
        </w:rPr>
      </w:pPr>
    </w:p>
    <w:p w14:paraId="36426C49"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 xml:space="preserve">מגמת ההחמרה בענישה, וההנחיה להטיל עונשי מאסר משמעותיים מאחורי סורג ובריח בעבירות אלה הוחלה בתקופה האחרונה גם על צעירים, על נעדרי עבר פלילי ועל מי שבבחינת כל היבט אחר של חייהם מוגדרים כ"נורמטיביים". זאת, גם במצבים בהם ניתנות המלצות של שירות המבחן להסתפק בענישה שיקומית או בעונשים לריצוי בעבודות שירות. </w:t>
      </w:r>
    </w:p>
    <w:p w14:paraId="2D410C81" w14:textId="77777777" w:rsidR="00180228" w:rsidRDefault="00180228" w:rsidP="00180228">
      <w:pPr>
        <w:spacing w:line="360" w:lineRule="auto"/>
        <w:ind w:left="360"/>
        <w:contextualSpacing/>
        <w:jc w:val="both"/>
        <w:rPr>
          <w:rFonts w:ascii="David" w:hAnsi="David"/>
        </w:rPr>
      </w:pPr>
    </w:p>
    <w:p w14:paraId="33897E7D" w14:textId="77777777" w:rsidR="00180228" w:rsidRDefault="00180228" w:rsidP="00180228">
      <w:pPr>
        <w:spacing w:line="360" w:lineRule="auto"/>
        <w:ind w:left="360" w:firstLine="360"/>
        <w:contextualSpacing/>
        <w:jc w:val="both"/>
        <w:rPr>
          <w:rFonts w:ascii="David" w:hAnsi="David"/>
          <w:b/>
          <w:bCs/>
          <w:shd w:val="clear" w:color="auto" w:fill="FFFFFF"/>
          <w:rtl/>
        </w:rPr>
      </w:pPr>
      <w:r>
        <w:rPr>
          <w:rFonts w:ascii="David" w:hAnsi="David"/>
          <w:rtl/>
        </w:rPr>
        <w:t xml:space="preserve">ראו, למשל, </w:t>
      </w:r>
      <w:hyperlink r:id="rId24" w:history="1">
        <w:r w:rsidR="00293DA0" w:rsidRPr="00293DA0">
          <w:rPr>
            <w:rFonts w:ascii="David" w:hAnsi="David"/>
            <w:color w:val="0000FF"/>
            <w:u w:val="single"/>
            <w:shd w:val="clear" w:color="auto" w:fill="FFFFFF"/>
            <w:rtl/>
          </w:rPr>
          <w:t>ע"פ 2482-22</w:t>
        </w:r>
      </w:hyperlink>
      <w:r>
        <w:rPr>
          <w:rFonts w:ascii="David" w:hAnsi="David"/>
          <w:shd w:val="clear" w:color="auto" w:fill="FFFFFF"/>
          <w:rtl/>
        </w:rPr>
        <w:t xml:space="preserve"> </w:t>
      </w:r>
      <w:r>
        <w:rPr>
          <w:rFonts w:ascii="David" w:hAnsi="David"/>
          <w:b/>
          <w:bCs/>
          <w:shd w:val="clear" w:color="auto" w:fill="FFFFFF"/>
          <w:rtl/>
        </w:rPr>
        <w:t xml:space="preserve">מדינת ישראל נ' קדורה: </w:t>
      </w:r>
    </w:p>
    <w:p w14:paraId="3CC66225" w14:textId="77777777" w:rsidR="00180228" w:rsidRDefault="00180228" w:rsidP="00180228">
      <w:pPr>
        <w:spacing w:line="360" w:lineRule="auto"/>
        <w:ind w:left="360"/>
        <w:contextualSpacing/>
        <w:jc w:val="both"/>
        <w:rPr>
          <w:rFonts w:ascii="David" w:hAnsi="David"/>
          <w:b/>
          <w:bCs/>
          <w:shd w:val="clear" w:color="auto" w:fill="FFFFFF"/>
          <w:rtl/>
        </w:rPr>
      </w:pPr>
    </w:p>
    <w:p w14:paraId="21AFEC07" w14:textId="77777777" w:rsidR="00180228" w:rsidRDefault="00180228" w:rsidP="00180228">
      <w:pPr>
        <w:spacing w:line="360" w:lineRule="auto"/>
        <w:ind w:left="935" w:right="851"/>
        <w:contextualSpacing/>
        <w:jc w:val="both"/>
        <w:rPr>
          <w:rFonts w:ascii="David" w:hAnsi="David"/>
          <w:b/>
          <w:bCs/>
          <w:rtl/>
        </w:rPr>
      </w:pPr>
      <w:r>
        <w:rPr>
          <w:rFonts w:ascii="David" w:hAnsi="David"/>
          <w:b/>
          <w:bCs/>
          <w:shd w:val="clear" w:color="auto" w:fill="FFFFFF"/>
          <w:rtl/>
        </w:rPr>
        <w:t>"[בית המשפט] כבר עמד על החומרה הרבה הטמונה בעבירות נשק, עבירות שהפכו ל"מכת מדינה" ומגלמות סכנה ממשית לשלום הציבור ולביטחונו. בהתאם, ניכרת במהלך השנים מגמה של החמרה בענישה לצורך מיגור עבירות אלו, תוך מתן משקל לשיקולי הרתעה; ידע כל מי שמחזיק בנשק בלתי חוקי כי צפוי הוא להיענש בחומרה, בבחינת "אם מחזיקים – למאסר נשלחים</w:t>
      </w:r>
      <w:r>
        <w:rPr>
          <w:rFonts w:ascii="David" w:hAnsi="David"/>
          <w:b/>
          <w:bCs/>
          <w:shd w:val="clear" w:color="auto" w:fill="FFFFFF"/>
        </w:rPr>
        <w:t>"</w:t>
      </w:r>
      <w:r>
        <w:rPr>
          <w:rFonts w:ascii="David" w:hAnsi="David"/>
          <w:b/>
          <w:bCs/>
          <w:rtl/>
        </w:rPr>
        <w:t>".</w:t>
      </w:r>
    </w:p>
    <w:p w14:paraId="74FE8010" w14:textId="77777777" w:rsidR="00180228" w:rsidRDefault="00180228" w:rsidP="00180228">
      <w:pPr>
        <w:spacing w:line="360" w:lineRule="auto"/>
        <w:ind w:right="851"/>
        <w:jc w:val="both"/>
        <w:rPr>
          <w:rFonts w:ascii="David" w:eastAsia="Calibri" w:hAnsi="David"/>
          <w:b/>
          <w:bCs/>
          <w:rtl/>
        </w:rPr>
      </w:pPr>
    </w:p>
    <w:p w14:paraId="6283D681" w14:textId="77777777" w:rsidR="00180228" w:rsidRDefault="00180228" w:rsidP="00180228">
      <w:pPr>
        <w:spacing w:line="360" w:lineRule="auto"/>
        <w:ind w:left="368" w:right="851"/>
        <w:jc w:val="both"/>
        <w:rPr>
          <w:rFonts w:ascii="David" w:eastAsia="Calibri" w:hAnsi="David"/>
          <w:color w:val="000000"/>
          <w:rtl/>
        </w:rPr>
      </w:pPr>
      <w:r>
        <w:rPr>
          <w:rFonts w:ascii="David" w:eastAsia="Calibri" w:hAnsi="David"/>
          <w:rtl/>
        </w:rPr>
        <w:t xml:space="preserve">ראו גם </w:t>
      </w:r>
      <w:hyperlink r:id="rId25" w:history="1">
        <w:r w:rsidR="00293DA0" w:rsidRPr="00293DA0">
          <w:rPr>
            <w:rFonts w:ascii="David" w:eastAsia="Calibri" w:hAnsi="David"/>
            <w:color w:val="0000FF"/>
            <w:u w:val="single"/>
            <w:rtl/>
          </w:rPr>
          <w:t>עפ"ג 2024-04-21</w:t>
        </w:r>
      </w:hyperlink>
      <w:r w:rsidR="00293DA0">
        <w:rPr>
          <w:rFonts w:ascii="David" w:eastAsia="Calibri" w:hAnsi="David"/>
          <w:color w:val="000000"/>
          <w:rtl/>
        </w:rPr>
        <w:t xml:space="preserve"> </w:t>
      </w:r>
      <w:r>
        <w:rPr>
          <w:rFonts w:ascii="David" w:eastAsia="Calibri" w:hAnsi="David"/>
          <w:b/>
          <w:bCs/>
          <w:color w:val="000000"/>
          <w:rtl/>
        </w:rPr>
        <w:t>מדינת ישראל נ' מנדורי</w:t>
      </w:r>
      <w:r>
        <w:rPr>
          <w:rFonts w:ascii="David" w:eastAsia="Calibri" w:hAnsi="David"/>
          <w:color w:val="000000"/>
          <w:rtl/>
        </w:rPr>
        <w:t xml:space="preserve">: </w:t>
      </w:r>
    </w:p>
    <w:p w14:paraId="76C8F3E4" w14:textId="77777777" w:rsidR="00180228" w:rsidRDefault="00180228" w:rsidP="00180228">
      <w:pPr>
        <w:spacing w:line="360" w:lineRule="auto"/>
        <w:ind w:left="368" w:right="851"/>
        <w:jc w:val="both"/>
        <w:rPr>
          <w:rFonts w:ascii="David" w:eastAsia="Calibri" w:hAnsi="David"/>
          <w:color w:val="000000"/>
          <w:rtl/>
        </w:rPr>
      </w:pPr>
    </w:p>
    <w:p w14:paraId="16417AA6" w14:textId="77777777" w:rsidR="00180228" w:rsidRDefault="00180228" w:rsidP="00180228">
      <w:pPr>
        <w:spacing w:line="360" w:lineRule="auto"/>
        <w:ind w:left="935" w:right="851"/>
        <w:jc w:val="both"/>
        <w:rPr>
          <w:rFonts w:ascii="David" w:eastAsia="Calibri" w:hAnsi="David"/>
          <w:b/>
          <w:bCs/>
          <w:rtl/>
        </w:rPr>
      </w:pPr>
      <w:r>
        <w:rPr>
          <w:rFonts w:ascii="David" w:eastAsia="Calibri" w:hAnsi="David"/>
          <w:b/>
          <w:bCs/>
          <w:color w:val="000000"/>
          <w:rtl/>
        </w:rPr>
        <w:t>"בית המשפט העליון נקט בשנים האחרונות מגמה מוצהרת של החמרה בענישה בעבירות נשק, ועמד על כך פעמים רבות בשורה ארוכה של פסקי דין. כך גם בתי משפט השלום ובתי המשפט המחוזיים עליהם נמנה בית משפט זה; כל זאת על מנת למגר את התופעה הקשה והחמורה של שימוש בנשק, כאמצעי לפתרון סכסוכים או לשם ביצוע עבירות אלימות קשות. מאבק זה אמור לבוא לידי ביטוי בהטלת ענישה מחמירה הכוללת מאסר של ממש לתקופות ממושכות גם על אלה המחזיקים נשק באופן לא חוקי, ולא רק על מבצעי עבירות בנשק ברף גבוה יותר של חומרה</w:t>
      </w:r>
      <w:r>
        <w:rPr>
          <w:rFonts w:ascii="David" w:eastAsia="Calibri" w:hAnsi="David"/>
          <w:b/>
          <w:bCs/>
          <w:color w:val="000000"/>
        </w:rPr>
        <w:t>."</w:t>
      </w:r>
    </w:p>
    <w:p w14:paraId="690AFFDA" w14:textId="77777777" w:rsidR="00180228" w:rsidRDefault="00180228" w:rsidP="00180228">
      <w:pPr>
        <w:spacing w:line="360" w:lineRule="auto"/>
        <w:ind w:right="851"/>
        <w:jc w:val="both"/>
        <w:rPr>
          <w:rFonts w:ascii="David" w:eastAsia="Calibri" w:hAnsi="David"/>
        </w:rPr>
      </w:pPr>
    </w:p>
    <w:p w14:paraId="66064E52" w14:textId="77777777" w:rsidR="00180228" w:rsidRDefault="00180228" w:rsidP="00180228">
      <w:pPr>
        <w:spacing w:line="360" w:lineRule="auto"/>
        <w:ind w:left="226" w:right="851"/>
        <w:jc w:val="both"/>
        <w:rPr>
          <w:rFonts w:ascii="David" w:eastAsia="Calibri" w:hAnsi="David"/>
          <w:rtl/>
        </w:rPr>
      </w:pPr>
      <w:r>
        <w:rPr>
          <w:rFonts w:ascii="David" w:eastAsia="Calibri" w:hAnsi="David"/>
          <w:rtl/>
        </w:rPr>
        <w:t>ראו עוד ב</w:t>
      </w:r>
      <w:hyperlink r:id="rId26" w:history="1">
        <w:r w:rsidR="00293DA0" w:rsidRPr="00293DA0">
          <w:rPr>
            <w:rFonts w:ascii="David" w:eastAsia="Calibri" w:hAnsi="David"/>
            <w:color w:val="0000FF"/>
            <w:u w:val="single"/>
            <w:rtl/>
          </w:rPr>
          <w:t>רע"פ 3619/21</w:t>
        </w:r>
      </w:hyperlink>
      <w:r>
        <w:rPr>
          <w:rFonts w:ascii="David" w:eastAsia="Calibri" w:hAnsi="David"/>
          <w:rtl/>
        </w:rPr>
        <w:t xml:space="preserve"> </w:t>
      </w:r>
      <w:r>
        <w:rPr>
          <w:rFonts w:ascii="David" w:eastAsia="Calibri" w:hAnsi="David"/>
          <w:b/>
          <w:bCs/>
          <w:rtl/>
        </w:rPr>
        <w:t>אבו הלאל נ' מדינת ישראל:</w:t>
      </w:r>
      <w:r>
        <w:rPr>
          <w:rFonts w:ascii="David" w:eastAsia="Calibri" w:hAnsi="David"/>
          <w:rtl/>
        </w:rPr>
        <w:t xml:space="preserve"> </w:t>
      </w:r>
    </w:p>
    <w:p w14:paraId="1AF790DC" w14:textId="77777777" w:rsidR="00180228" w:rsidRDefault="00180228" w:rsidP="00180228">
      <w:pPr>
        <w:spacing w:line="360" w:lineRule="auto"/>
        <w:ind w:left="226" w:right="851"/>
        <w:jc w:val="both"/>
        <w:rPr>
          <w:rFonts w:ascii="David" w:eastAsia="Calibri" w:hAnsi="David"/>
          <w:rtl/>
        </w:rPr>
      </w:pPr>
    </w:p>
    <w:p w14:paraId="267CFF12" w14:textId="77777777" w:rsidR="00180228" w:rsidRDefault="00180228" w:rsidP="00180228">
      <w:pPr>
        <w:spacing w:line="360" w:lineRule="auto"/>
        <w:ind w:left="935" w:right="851"/>
        <w:jc w:val="both"/>
        <w:rPr>
          <w:rFonts w:ascii="David" w:eastAsia="Calibri" w:hAnsi="David"/>
          <w:b/>
          <w:bCs/>
          <w:rtl/>
        </w:rPr>
      </w:pPr>
      <w:r>
        <w:rPr>
          <w:rFonts w:ascii="David" w:eastAsia="Calibri" w:hAnsi="David"/>
          <w:b/>
          <w:bCs/>
          <w:rtl/>
        </w:rPr>
        <w:t>"אנו עדים פעם אחר פעם לשכיחותן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27" w:history="1">
        <w:r w:rsidR="00293DA0" w:rsidRPr="00293DA0">
          <w:rPr>
            <w:rFonts w:ascii="David" w:eastAsia="Calibri" w:hAnsi="David"/>
            <w:b/>
            <w:bCs/>
            <w:color w:val="0000FF"/>
            <w:u w:val="single"/>
            <w:rtl/>
          </w:rPr>
          <w:t>רע"פ 5613/20</w:t>
        </w:r>
      </w:hyperlink>
      <w:r>
        <w:rPr>
          <w:rFonts w:ascii="David" w:eastAsia="Calibri" w:hAnsi="David"/>
          <w:b/>
          <w:bCs/>
          <w:rtl/>
        </w:rPr>
        <w:t xml:space="preserve"> אלהוזייל נ' מדינת ישראל; </w:t>
      </w:r>
      <w:hyperlink r:id="rId28" w:history="1">
        <w:r w:rsidR="00293DA0" w:rsidRPr="00293DA0">
          <w:rPr>
            <w:rFonts w:ascii="David" w:eastAsia="Calibri" w:hAnsi="David"/>
            <w:b/>
            <w:bCs/>
            <w:color w:val="0000FF"/>
            <w:u w:val="single"/>
            <w:rtl/>
          </w:rPr>
          <w:t>רע"פ 4065/18</w:t>
        </w:r>
      </w:hyperlink>
      <w:r>
        <w:rPr>
          <w:rFonts w:ascii="David" w:eastAsia="Calibri" w:hAnsi="David"/>
          <w:b/>
          <w:bCs/>
          <w:rtl/>
        </w:rPr>
        <w:t xml:space="preserve"> איאסו נ' מדינת ישראל)".</w:t>
      </w:r>
    </w:p>
    <w:p w14:paraId="24522364" w14:textId="77777777" w:rsidR="00180228" w:rsidRDefault="00180228" w:rsidP="00180228">
      <w:pPr>
        <w:spacing w:line="360" w:lineRule="auto"/>
        <w:ind w:left="1218" w:right="851"/>
        <w:contextualSpacing/>
        <w:jc w:val="both"/>
        <w:rPr>
          <w:rFonts w:ascii="David" w:hAnsi="David"/>
        </w:rPr>
      </w:pPr>
    </w:p>
    <w:p w14:paraId="7E248299" w14:textId="77777777" w:rsidR="00180228" w:rsidRDefault="00180228" w:rsidP="00180228">
      <w:pPr>
        <w:pStyle w:val="ab"/>
        <w:numPr>
          <w:ilvl w:val="0"/>
          <w:numId w:val="1"/>
        </w:numPr>
        <w:tabs>
          <w:tab w:val="left" w:pos="8164"/>
        </w:tabs>
        <w:spacing w:after="0" w:line="360" w:lineRule="auto"/>
        <w:ind w:right="142"/>
        <w:jc w:val="both"/>
        <w:rPr>
          <w:rFonts w:ascii="David" w:hAnsi="David" w:cs="David"/>
          <w:sz w:val="24"/>
          <w:szCs w:val="24"/>
          <w:shd w:val="clear" w:color="auto" w:fill="FFFFFF"/>
        </w:rPr>
      </w:pPr>
      <w:r>
        <w:rPr>
          <w:rFonts w:ascii="David" w:hAnsi="David" w:cs="David"/>
          <w:sz w:val="24"/>
          <w:szCs w:val="24"/>
          <w:shd w:val="clear" w:color="auto" w:fill="FFFFFF"/>
          <w:rtl/>
        </w:rPr>
        <w:t>המחוקק הורה, כי העיקרון המנחה בענישה הינו "הלימה". "הלימה" זו שתי משמעויות לה: האחת, שיקול הגמול ולפיו העבריין ייענש בהתאמה למידת הרוע במעשיו. השנייה, מתן ביטוי מוחשי לחשיבות הערכים המוגנים שנפגעו, כשיקוף לעמדתה הערכית של החברה הישראלית הנורמטיבית, המתבטאת בקולו של המחוקק.</w:t>
      </w:r>
    </w:p>
    <w:p w14:paraId="59B32E87" w14:textId="77777777" w:rsidR="00180228" w:rsidRDefault="00180228" w:rsidP="00180228">
      <w:pPr>
        <w:tabs>
          <w:tab w:val="left" w:pos="8164"/>
        </w:tabs>
        <w:spacing w:line="360" w:lineRule="auto"/>
        <w:ind w:left="360" w:right="142"/>
        <w:contextualSpacing/>
        <w:jc w:val="both"/>
        <w:rPr>
          <w:rFonts w:ascii="David" w:hAnsi="David"/>
          <w:shd w:val="clear" w:color="auto" w:fill="FFFFFF"/>
        </w:rPr>
      </w:pPr>
    </w:p>
    <w:p w14:paraId="4A0CD020" w14:textId="77777777" w:rsidR="00180228" w:rsidRDefault="00180228" w:rsidP="00180228">
      <w:pPr>
        <w:spacing w:line="360" w:lineRule="auto"/>
        <w:ind w:left="720" w:right="142"/>
        <w:contextualSpacing/>
        <w:jc w:val="both"/>
        <w:rPr>
          <w:rFonts w:ascii="David" w:hAnsi="David"/>
          <w:rtl/>
        </w:rPr>
      </w:pPr>
      <w:r>
        <w:rPr>
          <w:rFonts w:ascii="David" w:hAnsi="David"/>
          <w:shd w:val="clear" w:color="auto" w:fill="FFFFFF"/>
          <w:rtl/>
        </w:rPr>
        <w:t xml:space="preserve">במציאות חיינו העגומה, העבירה של החזקת נשק הוגדרה זה מכבר כ"מכת מדינה" וכן כ"מכת אזור" שפגיעתה בשלום הציבור ובטחונו היא קשה. </w:t>
      </w:r>
    </w:p>
    <w:p w14:paraId="689948B8" w14:textId="77777777" w:rsidR="00180228" w:rsidRDefault="00180228" w:rsidP="00180228">
      <w:pPr>
        <w:spacing w:line="360" w:lineRule="auto"/>
        <w:ind w:left="360" w:right="142"/>
        <w:contextualSpacing/>
        <w:jc w:val="both"/>
        <w:rPr>
          <w:rFonts w:ascii="David" w:hAnsi="David"/>
          <w:shd w:val="clear" w:color="auto" w:fill="FFFFFF"/>
        </w:rPr>
      </w:pPr>
    </w:p>
    <w:p w14:paraId="5B87A6AA" w14:textId="77777777" w:rsidR="00180228" w:rsidRDefault="00180228" w:rsidP="00180228">
      <w:pPr>
        <w:spacing w:line="360" w:lineRule="auto"/>
        <w:ind w:left="720" w:right="142"/>
        <w:contextualSpacing/>
        <w:jc w:val="both"/>
        <w:rPr>
          <w:rFonts w:ascii="David" w:hAnsi="David"/>
          <w:shd w:val="clear" w:color="auto" w:fill="FFFFFF"/>
          <w:rtl/>
        </w:rPr>
      </w:pPr>
      <w:r>
        <w:rPr>
          <w:rFonts w:ascii="David" w:hAnsi="David"/>
          <w:shd w:val="clear" w:color="auto" w:fill="FFFFFF"/>
          <w:rtl/>
        </w:rPr>
        <w:t xml:space="preserve">התופעה הנרחבת הנפרסת בפני בתי המשפט מדי יום ביומו, כוללת  גם מקרים רבים של מי שמוגדרים בדרך כלל כנורמטיביים באורחות חייהם, ללא הרשעות קודמות או קשרים שוליים, ולעתים אף צעירים מאד. התופעה של ביצוע עבירות הנשק כבר מזמן אינה מנת חלקה של אוכלוסייה עבריינית או שולית בלבד. קיימת תופעה נרחבת גם בעניינם של נאשמים כדוגמת הנאשם שבפניי, המחזיקים בנשק בביתם, או מסתירים אותו עבור אחרים, בני משפחה, מכרים או חברים אחרים בקהילתם. </w:t>
      </w:r>
    </w:p>
    <w:p w14:paraId="7E11B034" w14:textId="77777777" w:rsidR="00180228" w:rsidRDefault="00180228" w:rsidP="00180228">
      <w:pPr>
        <w:spacing w:line="360" w:lineRule="auto"/>
        <w:ind w:left="360" w:right="142"/>
        <w:contextualSpacing/>
        <w:jc w:val="both"/>
        <w:rPr>
          <w:rFonts w:ascii="David" w:hAnsi="David"/>
          <w:shd w:val="clear" w:color="auto" w:fill="FFFFFF"/>
          <w:rtl/>
        </w:rPr>
      </w:pPr>
    </w:p>
    <w:p w14:paraId="07A1C30A" w14:textId="77777777" w:rsidR="00180228" w:rsidRDefault="00180228" w:rsidP="00180228">
      <w:pPr>
        <w:pStyle w:val="ab"/>
        <w:numPr>
          <w:ilvl w:val="0"/>
          <w:numId w:val="1"/>
        </w:numPr>
        <w:spacing w:after="0" w:line="360" w:lineRule="auto"/>
        <w:ind w:right="142"/>
        <w:jc w:val="both"/>
        <w:rPr>
          <w:rFonts w:ascii="David" w:hAnsi="David" w:cs="David"/>
          <w:sz w:val="24"/>
          <w:szCs w:val="24"/>
          <w:shd w:val="clear" w:color="auto" w:fill="FFFFFF"/>
          <w:rtl/>
        </w:rPr>
      </w:pPr>
      <w:r>
        <w:rPr>
          <w:rFonts w:ascii="David" w:hAnsi="David" w:cs="David"/>
          <w:sz w:val="24"/>
          <w:szCs w:val="24"/>
          <w:shd w:val="clear" w:color="auto" w:fill="FFFFFF"/>
          <w:rtl/>
        </w:rPr>
        <w:t>המחוקק הבחין במסגרת תיקון 113 ל</w:t>
      </w:r>
      <w:hyperlink r:id="rId29" w:history="1">
        <w:r w:rsidR="00293DA0" w:rsidRPr="00293DA0">
          <w:rPr>
            <w:rFonts w:ascii="David" w:hAnsi="David" w:cs="David"/>
            <w:color w:val="0000FF"/>
            <w:sz w:val="24"/>
            <w:szCs w:val="24"/>
            <w:u w:val="single"/>
            <w:shd w:val="clear" w:color="auto" w:fill="FFFFFF"/>
            <w:rtl/>
          </w:rPr>
          <w:t>חוק העונשין</w:t>
        </w:r>
      </w:hyperlink>
      <w:r>
        <w:rPr>
          <w:rFonts w:ascii="David" w:hAnsi="David" w:cs="David"/>
          <w:sz w:val="24"/>
          <w:szCs w:val="24"/>
          <w:shd w:val="clear" w:color="auto" w:fill="FFFFFF"/>
          <w:rtl/>
        </w:rPr>
        <w:t xml:space="preserve"> שעניינו הבניית שיקול הדעת בענישה, בין שיקולים אותם יש לשקול בקביעת מתחם העונש ההולם ובין שיקולים הנשקלים בקביעת העונש המתאים בתוך המתחם.</w:t>
      </w:r>
    </w:p>
    <w:p w14:paraId="63C40BC1" w14:textId="77777777" w:rsidR="00180228" w:rsidRDefault="00180228" w:rsidP="00180228">
      <w:pPr>
        <w:pStyle w:val="ab"/>
        <w:spacing w:after="0" w:line="360" w:lineRule="auto"/>
        <w:ind w:right="142"/>
        <w:jc w:val="both"/>
        <w:rPr>
          <w:rFonts w:ascii="David" w:hAnsi="David" w:cs="David"/>
          <w:sz w:val="24"/>
          <w:szCs w:val="24"/>
          <w:shd w:val="clear" w:color="auto" w:fill="FFFFFF"/>
        </w:rPr>
      </w:pPr>
    </w:p>
    <w:p w14:paraId="7303E2FF" w14:textId="77777777" w:rsidR="00180228" w:rsidRDefault="00180228" w:rsidP="00180228">
      <w:pPr>
        <w:pStyle w:val="ab"/>
        <w:spacing w:after="0" w:line="360" w:lineRule="auto"/>
        <w:ind w:right="142"/>
        <w:jc w:val="both"/>
        <w:rPr>
          <w:rFonts w:ascii="David" w:hAnsi="David" w:cs="David"/>
          <w:sz w:val="24"/>
          <w:szCs w:val="24"/>
          <w:shd w:val="clear" w:color="auto" w:fill="FFFFFF"/>
          <w:rtl/>
        </w:rPr>
      </w:pPr>
      <w:r>
        <w:rPr>
          <w:rFonts w:ascii="David" w:hAnsi="David" w:cs="David"/>
          <w:sz w:val="24"/>
          <w:szCs w:val="24"/>
          <w:shd w:val="clear" w:color="auto" w:fill="FFFFFF"/>
          <w:rtl/>
        </w:rPr>
        <w:t xml:space="preserve">בבחינת מידת הפגיעה בערכים המוגנים, מידת הנזק שנגרם כתוצאה ממעשה העבירה, ומידת פוטנציאל הנזק – שיקולים אותם שוקל בית המשפט בקביעת המתחם הענישה – נבחנים מעשים פליליים גם בהקשר הסביבתי והתקופתי שלהם. תפקידה של הערכאה הדיונית לתרגם את ההנחיות הנורמטיביות של המחוקק ושל הערכאות ערכאות הערעור, תרגום מעשי המתבטא בסעדים הניתנים בהחלטות ובפסקי הדין בפועל. </w:t>
      </w:r>
    </w:p>
    <w:p w14:paraId="77284273" w14:textId="77777777" w:rsidR="00180228" w:rsidRDefault="00180228" w:rsidP="00180228">
      <w:pPr>
        <w:pStyle w:val="ab"/>
        <w:spacing w:after="0" w:line="360" w:lineRule="auto"/>
        <w:ind w:right="142"/>
        <w:jc w:val="both"/>
        <w:rPr>
          <w:rFonts w:ascii="David" w:hAnsi="David" w:cs="David"/>
          <w:sz w:val="24"/>
          <w:szCs w:val="24"/>
          <w:shd w:val="clear" w:color="auto" w:fill="FFFFFF"/>
          <w:rtl/>
        </w:rPr>
      </w:pPr>
    </w:p>
    <w:p w14:paraId="5E8A32AE" w14:textId="77777777" w:rsidR="00180228" w:rsidRDefault="00180228" w:rsidP="00180228">
      <w:pPr>
        <w:pStyle w:val="ab"/>
        <w:spacing w:after="0" w:line="360" w:lineRule="auto"/>
        <w:ind w:right="142"/>
        <w:jc w:val="both"/>
        <w:rPr>
          <w:rFonts w:ascii="David" w:hAnsi="David" w:cs="David"/>
          <w:sz w:val="24"/>
          <w:szCs w:val="24"/>
          <w:shd w:val="clear" w:color="auto" w:fill="FFFFFF"/>
          <w:rtl/>
        </w:rPr>
      </w:pPr>
      <w:r>
        <w:rPr>
          <w:rFonts w:ascii="David" w:hAnsi="David" w:cs="David"/>
          <w:sz w:val="24"/>
          <w:szCs w:val="24"/>
          <w:shd w:val="clear" w:color="auto" w:fill="FFFFFF"/>
          <w:rtl/>
        </w:rPr>
        <w:t>המשמעות המעשית של הגדרת תופעת החזקת הנשק הלא חוקית, על כל שרשרת ההחזקה וחוליותיה, כ"מכת מדינה" היא, שבתקופת דמים זו שמדינת ישראל שרויה בה, ואזרחים חפים מפשע נפגעים ממנה, נסיבות שהיו עשויות לה</w:t>
      </w:r>
      <w:r>
        <w:rPr>
          <w:rFonts w:ascii="David" w:hAnsi="David" w:cs="David" w:hint="cs"/>
          <w:sz w:val="24"/>
          <w:szCs w:val="24"/>
          <w:shd w:val="clear" w:color="auto" w:fill="FFFFFF"/>
          <w:rtl/>
        </w:rPr>
        <w:t>י</w:t>
      </w:r>
      <w:r>
        <w:rPr>
          <w:rFonts w:ascii="David" w:hAnsi="David" w:cs="David"/>
          <w:sz w:val="24"/>
          <w:szCs w:val="24"/>
          <w:shd w:val="clear" w:color="auto" w:fill="FFFFFF"/>
          <w:rtl/>
        </w:rPr>
        <w:t>חשב בעבר כנסיבות החזקה לא מהחמורות, ושהערכת הנזק ובעיקר פוטנציאל הנזק בגינן היתה בעבר מתונה, אינה נחשב עוד ככזו במציאות הנוכחית. הדבר נכון בהערכת מידת הפגיעה בערכים המוגנים ונכון גם בהערכת מידת התובנה והאשם של מבצע העבירה, החי במציאות הדמים ופועל בתוכה.</w:t>
      </w:r>
    </w:p>
    <w:p w14:paraId="76C7359E" w14:textId="77777777" w:rsidR="00180228" w:rsidRDefault="00180228" w:rsidP="00180228">
      <w:pPr>
        <w:pStyle w:val="ab"/>
        <w:spacing w:after="0" w:line="360" w:lineRule="auto"/>
        <w:ind w:right="142"/>
        <w:jc w:val="both"/>
        <w:rPr>
          <w:rFonts w:ascii="David" w:hAnsi="David" w:cs="David"/>
          <w:sz w:val="24"/>
          <w:szCs w:val="24"/>
          <w:shd w:val="clear" w:color="auto" w:fill="FFFFFF"/>
          <w:rtl/>
        </w:rPr>
      </w:pPr>
      <w:r>
        <w:rPr>
          <w:rFonts w:ascii="David" w:hAnsi="David" w:cs="David"/>
          <w:sz w:val="24"/>
          <w:szCs w:val="24"/>
          <w:shd w:val="clear" w:color="auto" w:fill="FFFFFF"/>
          <w:rtl/>
        </w:rPr>
        <w:t>מציאות זו, שכל אזרח בישראל חשוף אליה מדי יום, חייבות לקבל ביטוי בקביעת מתחם העונש ההולם.</w:t>
      </w:r>
    </w:p>
    <w:p w14:paraId="5360EAA1" w14:textId="77777777" w:rsidR="00180228" w:rsidRDefault="00180228" w:rsidP="00180228">
      <w:pPr>
        <w:spacing w:line="360" w:lineRule="auto"/>
        <w:ind w:left="360"/>
        <w:contextualSpacing/>
        <w:jc w:val="both"/>
        <w:rPr>
          <w:rFonts w:ascii="David" w:hAnsi="David"/>
          <w:rtl/>
        </w:rPr>
      </w:pPr>
    </w:p>
    <w:p w14:paraId="4816029F" w14:textId="77777777" w:rsidR="00180228" w:rsidRDefault="00180228" w:rsidP="00180228">
      <w:pPr>
        <w:numPr>
          <w:ilvl w:val="0"/>
          <w:numId w:val="1"/>
        </w:numPr>
        <w:spacing w:line="360" w:lineRule="auto"/>
        <w:contextualSpacing/>
        <w:jc w:val="both"/>
        <w:rPr>
          <w:rFonts w:ascii="David" w:hAnsi="David"/>
          <w:rtl/>
        </w:rPr>
      </w:pPr>
      <w:r>
        <w:rPr>
          <w:rFonts w:ascii="David" w:hAnsi="David"/>
          <w:rtl/>
        </w:rPr>
        <w:t xml:space="preserve">במקרה שבפניי, ממילא לא מדובר בנסיבות החזקה שניתן לכנותן מקלות. המדובר בהחזקת של רובה דמוי רובה סער, בצד תחמושת תואמת. הרובה הוחזק בתוך בית המגורים, אמנם מעל ארון גבוה אך לא נעול ולא מאובטח, עובדה המוסיפה גם היבט של פגיעה בבטיחות ומגבירה סיכון לתקלה או תאונה (ראו, בהשוואה, גזר דין שניתן על ידי מותב זה בימים האחרונים ממש במסגרת </w:t>
      </w:r>
      <w:hyperlink r:id="rId30" w:history="1">
        <w:r w:rsidR="00293DA0" w:rsidRPr="00293DA0">
          <w:rPr>
            <w:rFonts w:ascii="David" w:hAnsi="David"/>
            <w:color w:val="0000FF"/>
            <w:u w:val="single"/>
            <w:rtl/>
          </w:rPr>
          <w:t>ת"פ 40983-10-20</w:t>
        </w:r>
      </w:hyperlink>
      <w:r>
        <w:rPr>
          <w:rFonts w:ascii="David" w:hAnsi="David"/>
          <w:rtl/>
        </w:rPr>
        <w:t xml:space="preserve"> </w:t>
      </w:r>
      <w:r>
        <w:rPr>
          <w:rFonts w:ascii="David" w:hAnsi="David"/>
          <w:b/>
          <w:bCs/>
          <w:rtl/>
        </w:rPr>
        <w:t>מדינת ישראל נ' אבו עמרה</w:t>
      </w:r>
      <w:r>
        <w:rPr>
          <w:rFonts w:ascii="David" w:hAnsi="David"/>
          <w:rtl/>
        </w:rPr>
        <w:t xml:space="preserve">). </w:t>
      </w:r>
    </w:p>
    <w:p w14:paraId="0F6F6954" w14:textId="77777777" w:rsidR="00180228" w:rsidRDefault="00180228" w:rsidP="00180228">
      <w:pPr>
        <w:spacing w:line="360" w:lineRule="auto"/>
        <w:ind w:left="360"/>
        <w:contextualSpacing/>
        <w:jc w:val="both"/>
        <w:rPr>
          <w:rFonts w:ascii="David" w:hAnsi="David"/>
          <w:rtl/>
        </w:rPr>
      </w:pPr>
    </w:p>
    <w:p w14:paraId="40286DA5" w14:textId="77777777" w:rsidR="00180228" w:rsidRDefault="00180228" w:rsidP="00180228">
      <w:pPr>
        <w:numPr>
          <w:ilvl w:val="0"/>
          <w:numId w:val="1"/>
        </w:numPr>
        <w:spacing w:line="360" w:lineRule="auto"/>
        <w:contextualSpacing/>
        <w:jc w:val="both"/>
        <w:rPr>
          <w:rFonts w:ascii="David" w:hAnsi="David"/>
          <w:rtl/>
        </w:rPr>
      </w:pPr>
      <w:r>
        <w:rPr>
          <w:rFonts w:ascii="David" w:hAnsi="David"/>
          <w:rtl/>
        </w:rPr>
        <w:t xml:space="preserve">בבחינת </w:t>
      </w:r>
      <w:r>
        <w:rPr>
          <w:rFonts w:ascii="David" w:hAnsi="David"/>
          <w:b/>
          <w:bCs/>
          <w:rtl/>
        </w:rPr>
        <w:t>מדיניות הענישה</w:t>
      </w:r>
      <w:r w:rsidR="00293DA0">
        <w:rPr>
          <w:rFonts w:ascii="David" w:hAnsi="David"/>
          <w:b/>
          <w:bCs/>
          <w:rtl/>
        </w:rPr>
        <w:t xml:space="preserve"> </w:t>
      </w:r>
      <w:r>
        <w:rPr>
          <w:rFonts w:ascii="David" w:hAnsi="David"/>
          <w:b/>
          <w:bCs/>
          <w:rtl/>
        </w:rPr>
        <w:t xml:space="preserve">הנוהגת </w:t>
      </w:r>
      <w:r>
        <w:rPr>
          <w:rFonts w:ascii="David" w:hAnsi="David"/>
          <w:rtl/>
        </w:rPr>
        <w:t>דומה, כי שני הצדדים מודעים לפער שבין עתירתם העונשית לאסמכתאות אליהן הפנו. מכל מקום, המאשימה עותרת להחמרה בענישה הנוהגת ועמדה עקרונית זו מקובלת עליי. תהליך החמרה בענישה, ככל מגמת שינוי באכיפה, צריכה להיעשות באופן מדורג ואחראי.</w:t>
      </w:r>
    </w:p>
    <w:p w14:paraId="6A031A45" w14:textId="77777777" w:rsidR="00180228" w:rsidRDefault="00180228" w:rsidP="00180228">
      <w:pPr>
        <w:spacing w:line="360" w:lineRule="auto"/>
        <w:ind w:left="360"/>
        <w:contextualSpacing/>
        <w:jc w:val="both"/>
        <w:rPr>
          <w:rFonts w:ascii="David" w:hAnsi="David"/>
        </w:rPr>
      </w:pPr>
    </w:p>
    <w:p w14:paraId="1413C646" w14:textId="77777777" w:rsidR="00180228" w:rsidRDefault="00180228" w:rsidP="00180228">
      <w:pPr>
        <w:spacing w:line="360" w:lineRule="auto"/>
        <w:jc w:val="both"/>
        <w:rPr>
          <w:rFonts w:ascii="David" w:hAnsi="David"/>
          <w:b/>
          <w:bCs/>
          <w:rtl/>
        </w:rPr>
      </w:pPr>
      <w:r>
        <w:rPr>
          <w:rFonts w:ascii="David" w:hAnsi="David"/>
          <w:b/>
          <w:bCs/>
          <w:rtl/>
        </w:rPr>
        <w:t>בהינתן כל המפורט לעיל, לאחר בחינת כלל השיקולים הרלוונטיים לקביעת המתחם מצאתי כי יש לקבוע בנסיבות מקרה זה מתחם ענישה של 24-40 חודשי מאסר בפועל ועונשים נלווים.</w:t>
      </w:r>
    </w:p>
    <w:p w14:paraId="55AA32E9" w14:textId="77777777" w:rsidR="00180228" w:rsidRDefault="00180228" w:rsidP="00180228">
      <w:pPr>
        <w:spacing w:line="360" w:lineRule="auto"/>
        <w:jc w:val="both"/>
        <w:rPr>
          <w:rFonts w:ascii="David" w:hAnsi="David"/>
          <w:b/>
          <w:bCs/>
          <w:rtl/>
        </w:rPr>
      </w:pPr>
    </w:p>
    <w:p w14:paraId="7D6FF96B" w14:textId="77777777" w:rsidR="00180228" w:rsidRDefault="00180228" w:rsidP="00180228">
      <w:pPr>
        <w:spacing w:line="360" w:lineRule="auto"/>
        <w:jc w:val="both"/>
        <w:rPr>
          <w:rFonts w:ascii="David" w:hAnsi="David"/>
          <w:b/>
          <w:bCs/>
          <w:rtl/>
        </w:rPr>
      </w:pPr>
    </w:p>
    <w:p w14:paraId="4BC089D6" w14:textId="77777777" w:rsidR="00180228" w:rsidRDefault="00180228" w:rsidP="00180228">
      <w:pPr>
        <w:spacing w:line="360" w:lineRule="auto"/>
        <w:jc w:val="both"/>
        <w:rPr>
          <w:rFonts w:ascii="David" w:hAnsi="David"/>
          <w:b/>
          <w:bCs/>
          <w:rtl/>
        </w:rPr>
      </w:pPr>
    </w:p>
    <w:p w14:paraId="3474BC45" w14:textId="77777777" w:rsidR="00180228" w:rsidRDefault="00180228" w:rsidP="00180228">
      <w:pPr>
        <w:spacing w:line="360" w:lineRule="auto"/>
        <w:jc w:val="both"/>
        <w:rPr>
          <w:rFonts w:ascii="David" w:hAnsi="David"/>
          <w:b/>
          <w:bCs/>
          <w:rtl/>
        </w:rPr>
      </w:pPr>
    </w:p>
    <w:p w14:paraId="7D67819F" w14:textId="77777777" w:rsidR="00180228" w:rsidRDefault="00180228" w:rsidP="00180228">
      <w:pPr>
        <w:spacing w:line="360" w:lineRule="auto"/>
        <w:jc w:val="both"/>
        <w:rPr>
          <w:rFonts w:ascii="David" w:hAnsi="David"/>
          <w:b/>
          <w:bCs/>
          <w:rtl/>
        </w:rPr>
      </w:pPr>
    </w:p>
    <w:p w14:paraId="06E4B9CF" w14:textId="77777777" w:rsidR="00180228" w:rsidRDefault="00180228" w:rsidP="00180228">
      <w:pPr>
        <w:spacing w:line="360" w:lineRule="auto"/>
        <w:jc w:val="both"/>
        <w:rPr>
          <w:rFonts w:ascii="David" w:hAnsi="David"/>
          <w:b/>
          <w:bCs/>
          <w:u w:val="single"/>
          <w:rtl/>
        </w:rPr>
      </w:pPr>
      <w:r>
        <w:rPr>
          <w:rFonts w:ascii="David" w:hAnsi="David"/>
          <w:b/>
          <w:bCs/>
          <w:u w:val="single"/>
          <w:rtl/>
        </w:rPr>
        <w:t>קביעת העונש המתאים בגדרי המתחם</w:t>
      </w:r>
    </w:p>
    <w:p w14:paraId="0FB8F638" w14:textId="77777777" w:rsidR="00180228" w:rsidRDefault="00180228" w:rsidP="00180228">
      <w:pPr>
        <w:spacing w:line="360" w:lineRule="auto"/>
        <w:jc w:val="both"/>
        <w:rPr>
          <w:rFonts w:ascii="David" w:hAnsi="David"/>
          <w:u w:val="single"/>
          <w:rtl/>
        </w:rPr>
      </w:pPr>
    </w:p>
    <w:p w14:paraId="45CA88C7" w14:textId="77777777" w:rsidR="00180228" w:rsidRDefault="00180228" w:rsidP="00180228">
      <w:pPr>
        <w:pStyle w:val="ab"/>
        <w:numPr>
          <w:ilvl w:val="0"/>
          <w:numId w:val="1"/>
        </w:numPr>
        <w:spacing w:line="360" w:lineRule="auto"/>
        <w:jc w:val="both"/>
        <w:rPr>
          <w:rFonts w:ascii="David" w:hAnsi="David" w:cs="David"/>
          <w:sz w:val="24"/>
          <w:szCs w:val="24"/>
          <w:rtl/>
        </w:rPr>
      </w:pPr>
      <w:r>
        <w:rPr>
          <w:rFonts w:ascii="David" w:hAnsi="David" w:cs="David"/>
          <w:sz w:val="24"/>
          <w:szCs w:val="24"/>
          <w:rt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לשיקולים הפרטניים הבאים:</w:t>
      </w:r>
    </w:p>
    <w:p w14:paraId="05EE0A3F" w14:textId="77777777" w:rsidR="00180228" w:rsidRDefault="00180228" w:rsidP="00180228">
      <w:pPr>
        <w:pStyle w:val="ab"/>
        <w:spacing w:line="360" w:lineRule="auto"/>
        <w:jc w:val="both"/>
        <w:rPr>
          <w:rFonts w:ascii="David" w:hAnsi="David" w:cs="David"/>
          <w:sz w:val="24"/>
          <w:szCs w:val="24"/>
        </w:rPr>
      </w:pPr>
      <w:r>
        <w:rPr>
          <w:rFonts w:ascii="David" w:hAnsi="David" w:cs="David"/>
          <w:sz w:val="24"/>
          <w:szCs w:val="24"/>
          <w:rtl/>
        </w:rPr>
        <w:t>הנאשם איש משפחה, נמצא בטיפולי פוריות עם אשתו תקופה משמעותית והיא צפויה ללדת את ילדם המשותף בקרוב. כליאת הנאשם צפויה לפגוע במשפחתו של הנאשם. בית המשפט לוקח בחשבון כי הטלת מאסר בפועל לתקופה משמעותית צפויה לשבש את מהלך החיים הרגיל של משפחה נורמטיבית בהיבטים שונים.</w:t>
      </w:r>
    </w:p>
    <w:p w14:paraId="180BBF19" w14:textId="77777777" w:rsidR="00180228" w:rsidRDefault="00180228" w:rsidP="00180228">
      <w:pPr>
        <w:pStyle w:val="ab"/>
        <w:spacing w:line="360" w:lineRule="auto"/>
        <w:jc w:val="both"/>
        <w:rPr>
          <w:rFonts w:ascii="David" w:hAnsi="David" w:cs="David"/>
          <w:sz w:val="24"/>
          <w:szCs w:val="24"/>
          <w:rtl/>
        </w:rPr>
      </w:pPr>
    </w:p>
    <w:p w14:paraId="15AEDC01"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לקחתי בחשבון כי הנאשם סובל ממגבלה רפואית מסוימת ויש להניח, כ בכל מקרה של תחלואה אם מוגבלות פיזית, ריצוי מאסר עלול להיות קשה ומורכב יותר ממקרה של אדם בריא לחלוטין בגופו.</w:t>
      </w:r>
    </w:p>
    <w:p w14:paraId="703AD57F" w14:textId="77777777" w:rsidR="00180228" w:rsidRDefault="00180228" w:rsidP="00180228">
      <w:pPr>
        <w:pStyle w:val="ab"/>
        <w:spacing w:line="360" w:lineRule="auto"/>
        <w:jc w:val="both"/>
        <w:rPr>
          <w:rFonts w:ascii="David" w:hAnsi="David" w:cs="David"/>
          <w:sz w:val="24"/>
          <w:szCs w:val="24"/>
          <w:rtl/>
        </w:rPr>
      </w:pPr>
    </w:p>
    <w:p w14:paraId="1C1D5FC0"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לקחתי בחשבון כי הנאשם נטל אחריות על מעשיו, הודה בעובדות כתב האישום המתוקן ובכך חסך זמן שיפוטי יקר. כן לקחתי בחשבון, כי הנאשם עצור מזה תקופה.</w:t>
      </w:r>
    </w:p>
    <w:p w14:paraId="2DEF10E8" w14:textId="77777777" w:rsidR="00180228" w:rsidRDefault="00180228" w:rsidP="00180228">
      <w:pPr>
        <w:pStyle w:val="ab"/>
        <w:spacing w:line="360" w:lineRule="auto"/>
        <w:jc w:val="both"/>
        <w:rPr>
          <w:rFonts w:ascii="David" w:hAnsi="David" w:cs="David"/>
          <w:sz w:val="24"/>
          <w:szCs w:val="24"/>
          <w:rtl/>
        </w:rPr>
      </w:pPr>
    </w:p>
    <w:p w14:paraId="47686B0C" w14:textId="77777777" w:rsidR="00180228" w:rsidRPr="00180228" w:rsidRDefault="00180228" w:rsidP="00180228">
      <w:pPr>
        <w:pStyle w:val="ab"/>
        <w:numPr>
          <w:ilvl w:val="0"/>
          <w:numId w:val="1"/>
        </w:numPr>
        <w:spacing w:line="360" w:lineRule="auto"/>
        <w:jc w:val="both"/>
        <w:rPr>
          <w:rFonts w:ascii="David" w:hAnsi="David" w:cs="David"/>
          <w:sz w:val="24"/>
          <w:szCs w:val="24"/>
          <w:rtl/>
        </w:rPr>
      </w:pPr>
      <w:r>
        <w:rPr>
          <w:rFonts w:ascii="David" w:hAnsi="David" w:cs="David"/>
          <w:sz w:val="24"/>
          <w:szCs w:val="24"/>
          <w:rtl/>
        </w:rPr>
        <w:t xml:space="preserve">בד בבד עם השיקולים הפרטניים הנשקלים בגדרי המתחם לקחתי בחשבון גם שיקולים כלליים ובראשם שיקול </w:t>
      </w:r>
      <w:r>
        <w:rPr>
          <w:rFonts w:ascii="David" w:hAnsi="David" w:cs="David"/>
          <w:b/>
          <w:bCs/>
          <w:sz w:val="24"/>
          <w:szCs w:val="24"/>
          <w:rtl/>
        </w:rPr>
        <w:t xml:space="preserve">הרתעת הרבים </w:t>
      </w:r>
      <w:r>
        <w:rPr>
          <w:rFonts w:ascii="David" w:hAnsi="David" w:cs="David"/>
          <w:sz w:val="24"/>
          <w:szCs w:val="24"/>
          <w:rtl/>
        </w:rPr>
        <w:t xml:space="preserve">המחייב בתקופה זו שינוי באיזון שבין שיקולים והטיית נקודת האיזון אל החמרה בענישה. </w:t>
      </w:r>
    </w:p>
    <w:p w14:paraId="0BDF923D" w14:textId="77777777" w:rsidR="00180228" w:rsidRDefault="00180228" w:rsidP="00180228">
      <w:pPr>
        <w:pStyle w:val="ab"/>
        <w:spacing w:line="360" w:lineRule="auto"/>
        <w:jc w:val="both"/>
        <w:rPr>
          <w:rFonts w:ascii="David" w:hAnsi="David" w:cs="David"/>
          <w:sz w:val="24"/>
          <w:szCs w:val="24"/>
        </w:rPr>
      </w:pPr>
    </w:p>
    <w:p w14:paraId="1AF9F0B3"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 xml:space="preserve">התקופה בה אנו מצויים אינה מתאפיינת אך בריבוי עבירות הנשק. היא מתאפיינת גם, ובעיקר, בריבוי עבירות הנעברות תוך שימוש בנשק. הכוונה הן לסכסוכי עבריינים, הן לסכסוכים משפחתיים או בין-משפחתיים, הן באירועי טרור ביטחוניים, הן בתקריות אלימות כלפי שוטרים, הן בפיתרון סכסוכים כספיים.  </w:t>
      </w:r>
    </w:p>
    <w:p w14:paraId="0193C1E5" w14:textId="77777777" w:rsidR="00180228" w:rsidRDefault="00180228" w:rsidP="00180228">
      <w:pPr>
        <w:pStyle w:val="ab"/>
        <w:spacing w:line="360" w:lineRule="auto"/>
        <w:jc w:val="both"/>
        <w:rPr>
          <w:rFonts w:ascii="David" w:hAnsi="David" w:cs="David"/>
          <w:sz w:val="24"/>
          <w:szCs w:val="24"/>
          <w:rtl/>
        </w:rPr>
      </w:pPr>
    </w:p>
    <w:p w14:paraId="1C8230E1"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 xml:space="preserve">המסקנה המתחייבת מכך היא, שעל בתי המשפט לתרום את תרומתם בהחמרה בענישה בפועל, הן בהעדפת שיקולי הגמול וההרתעה על פני נתוניו של היחיד והן באמירה צלולה, ברורה ואף רועמת – כי </w:t>
      </w:r>
      <w:r>
        <w:rPr>
          <w:rFonts w:ascii="David" w:hAnsi="David" w:cs="David"/>
          <w:b/>
          <w:bCs/>
          <w:sz w:val="24"/>
          <w:szCs w:val="24"/>
          <w:rtl/>
        </w:rPr>
        <w:t>החזקת נשק היא מעשה שלא יעשה ידי אדם מן היישוב</w:t>
      </w:r>
      <w:r>
        <w:rPr>
          <w:rFonts w:ascii="David" w:hAnsi="David" w:cs="David"/>
          <w:sz w:val="24"/>
          <w:szCs w:val="24"/>
          <w:rtl/>
        </w:rPr>
        <w:t xml:space="preserve">. רק כך, יוכל בית המשפט להגן באופן ממשי על אזרחים תמימים וחפים מפשע שהם קורבנות פוטנציאליים לשימוש שנעשה תדיר באמצעי לחימה המוחזקים שלא כדין בבתים ומחוצה להם. </w:t>
      </w:r>
      <w:r w:rsidR="00293DA0">
        <w:rPr>
          <w:rFonts w:ascii="David" w:hAnsi="David" w:cs="David"/>
          <w:sz w:val="24"/>
          <w:szCs w:val="24"/>
          <w:rtl/>
        </w:rPr>
        <w:t xml:space="preserve"> </w:t>
      </w:r>
      <w:r>
        <w:rPr>
          <w:rFonts w:ascii="David" w:hAnsi="David" w:cs="David"/>
          <w:sz w:val="24"/>
          <w:szCs w:val="24"/>
          <w:rtl/>
        </w:rPr>
        <w:t xml:space="preserve"> </w:t>
      </w:r>
    </w:p>
    <w:p w14:paraId="4999F48A" w14:textId="77777777" w:rsidR="00180228" w:rsidRDefault="00180228" w:rsidP="00180228">
      <w:pPr>
        <w:pStyle w:val="ab"/>
        <w:spacing w:line="360" w:lineRule="auto"/>
        <w:jc w:val="both"/>
        <w:rPr>
          <w:rFonts w:ascii="David" w:hAnsi="David" w:cs="David"/>
          <w:sz w:val="24"/>
          <w:szCs w:val="24"/>
          <w:rtl/>
        </w:rPr>
      </w:pPr>
    </w:p>
    <w:p w14:paraId="32473E71"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 xml:space="preserve">לעניין זה, וכמצוות המחוקק, בית המשפט מחויב בתקופה קשה זו, לשקול כשיקול בתוך המתחם הן את הרתעת היחיד והן את הצורך האקוטי </w:t>
      </w:r>
      <w:r>
        <w:rPr>
          <w:rFonts w:ascii="David" w:hAnsi="David" w:cs="David"/>
          <w:b/>
          <w:bCs/>
          <w:sz w:val="24"/>
          <w:szCs w:val="24"/>
          <w:rtl/>
        </w:rPr>
        <w:t>בהרתעת הרבים</w:t>
      </w:r>
      <w:r>
        <w:rPr>
          <w:rFonts w:ascii="David" w:hAnsi="David" w:cs="David"/>
          <w:sz w:val="24"/>
          <w:szCs w:val="24"/>
          <w:rtl/>
        </w:rPr>
        <w:t>. הרתעת הרבים נחוצה לא רק ביחס למשתמשים פוטנציאליים בנשק אלא גם לנאשמים כדוגמת הנאשם שבפניי, המדרדרים לביצוע עבירות נשק כחלק משגרת החיים בקהילתם, כטובה, כדרך להכנסה, מבלי לשקול את משמעות ואת תוצאות מעשיהם ומבלי שיש בענישה הצפויה כדי להרתיעם די הצורך ולהציב גבול ברור וחד משמעי אל מול הלחצים והנורמות בסביבתם. הרתעת הרבים נחוצה גם על מנת לשנות את המאזן, הנוטה כרגע לחובתה של החברה הנורמטיבית וישרת הדרך, שבין הרווחים המופקים מביצועה ובין הסיכון להיתפס בגינה והציפייה כי בית המשפט יקל בעונשם של מי שאינם נמנים על אוכלוסיית העבריינים.</w:t>
      </w:r>
    </w:p>
    <w:p w14:paraId="72335136" w14:textId="77777777" w:rsidR="00180228" w:rsidRDefault="00180228" w:rsidP="00180228">
      <w:pPr>
        <w:pStyle w:val="ab"/>
        <w:spacing w:line="360" w:lineRule="auto"/>
        <w:jc w:val="both"/>
        <w:rPr>
          <w:rFonts w:ascii="David" w:hAnsi="David" w:cs="David"/>
          <w:sz w:val="24"/>
          <w:szCs w:val="24"/>
          <w:rtl/>
        </w:rPr>
      </w:pPr>
    </w:p>
    <w:p w14:paraId="35BF6E7E" w14:textId="77777777" w:rsidR="00180228" w:rsidRPr="00180228" w:rsidRDefault="00180228" w:rsidP="00180228">
      <w:pPr>
        <w:pStyle w:val="ab"/>
        <w:spacing w:line="360" w:lineRule="auto"/>
        <w:jc w:val="both"/>
        <w:rPr>
          <w:rFonts w:ascii="David" w:hAnsi="David" w:cs="David"/>
          <w:sz w:val="24"/>
          <w:szCs w:val="24"/>
          <w:rtl/>
        </w:rPr>
      </w:pPr>
      <w:r>
        <w:rPr>
          <w:rFonts w:ascii="David" w:hAnsi="David" w:cs="David"/>
          <w:sz w:val="24"/>
          <w:szCs w:val="24"/>
          <w:shd w:val="clear" w:color="auto" w:fill="FFFFFF"/>
          <w:rtl/>
        </w:rPr>
        <w:t xml:space="preserve">בין אם מדובר בניצול מכוון של בני המשפחה או בני הקהילה הנורמטיביים בהחזקת כלי הנשק הבלתי חוקיים – מתוך תקווה להקטנת הסיכון לתפיסת כלי הנשק או מתוך ציפייה כי לא ייענשו בחומרה ובין אם מדובר בליקוי ערכי המוביל גם אנשים 'נורמטיביים' באורחות חייהם להזדהות עם מציאות חברתית-תרבותית המקדמת פתרון סכסוכים באלימות – המסקנה המתחייבת היא אחת: קיים אינטרס ציבורי מוגבר ומיוחד בהחמרה בענישה משיקולי הרתעת הרבים שישפיע השפעה מעשית על נכונותם של נאשמים מן היישוב לבצע עבירות נשק. </w:t>
      </w:r>
    </w:p>
    <w:p w14:paraId="0BFEA494" w14:textId="77777777" w:rsidR="00180228" w:rsidRDefault="00180228" w:rsidP="00180228">
      <w:pPr>
        <w:spacing w:line="360" w:lineRule="auto"/>
        <w:ind w:left="360"/>
        <w:contextualSpacing/>
        <w:jc w:val="both"/>
        <w:rPr>
          <w:rFonts w:ascii="David" w:hAnsi="David"/>
        </w:rPr>
      </w:pPr>
    </w:p>
    <w:p w14:paraId="42FC7C36" w14:textId="77777777" w:rsidR="00180228" w:rsidRDefault="00180228" w:rsidP="00180228">
      <w:pPr>
        <w:pStyle w:val="ab"/>
        <w:numPr>
          <w:ilvl w:val="0"/>
          <w:numId w:val="1"/>
        </w:numPr>
        <w:spacing w:after="0" w:line="360" w:lineRule="auto"/>
        <w:jc w:val="both"/>
        <w:rPr>
          <w:rFonts w:ascii="David" w:hAnsi="David"/>
          <w:b/>
          <w:bCs/>
          <w:sz w:val="24"/>
          <w:szCs w:val="24"/>
          <w:u w:val="single"/>
          <w:rtl/>
        </w:rPr>
      </w:pPr>
      <w:r>
        <w:rPr>
          <w:rFonts w:ascii="David" w:hAnsi="David" w:cs="David"/>
          <w:sz w:val="24"/>
          <w:szCs w:val="24"/>
          <w:rtl/>
        </w:rPr>
        <w:t>כל הנתונים שלעיל מובילים למסקנה, כי מקום בו בעבר נקודת האיזון בין השיקולים הפרטניים והכלליים שבתוך המתחם היתה מובילה להטלת עונש בחלקו התחתון של המתחם כיום צריכה להוביל להטלת עונש במרכז המתחם.</w:t>
      </w:r>
    </w:p>
    <w:p w14:paraId="6B35F12A" w14:textId="77777777" w:rsidR="00180228" w:rsidRPr="00180228" w:rsidRDefault="00180228" w:rsidP="00180228">
      <w:pPr>
        <w:spacing w:line="360" w:lineRule="auto"/>
        <w:jc w:val="both"/>
        <w:rPr>
          <w:rFonts w:ascii="David" w:eastAsia="Calibri" w:hAnsi="David"/>
          <w:b/>
          <w:bCs/>
          <w:u w:val="single"/>
        </w:rPr>
      </w:pPr>
    </w:p>
    <w:p w14:paraId="0F71D863" w14:textId="77777777" w:rsidR="00180228" w:rsidRDefault="00180228" w:rsidP="00180228">
      <w:pPr>
        <w:spacing w:line="360" w:lineRule="auto"/>
        <w:jc w:val="both"/>
        <w:rPr>
          <w:rFonts w:ascii="David" w:hAnsi="David"/>
          <w:b/>
          <w:bCs/>
          <w:u w:val="single"/>
          <w:rtl/>
        </w:rPr>
      </w:pPr>
      <w:r>
        <w:rPr>
          <w:rFonts w:ascii="David" w:hAnsi="David"/>
          <w:b/>
          <w:bCs/>
          <w:u w:val="single"/>
          <w:rtl/>
        </w:rPr>
        <w:t>סוף דבר:</w:t>
      </w:r>
    </w:p>
    <w:p w14:paraId="1D8718D2" w14:textId="77777777" w:rsidR="00180228" w:rsidRDefault="00180228" w:rsidP="00180228">
      <w:pPr>
        <w:pStyle w:val="ab"/>
        <w:numPr>
          <w:ilvl w:val="0"/>
          <w:numId w:val="1"/>
        </w:numPr>
        <w:spacing w:line="360" w:lineRule="auto"/>
        <w:jc w:val="both"/>
        <w:rPr>
          <w:rFonts w:ascii="David" w:hAnsi="David" w:cs="David"/>
          <w:sz w:val="24"/>
          <w:szCs w:val="24"/>
        </w:rPr>
      </w:pPr>
      <w:r>
        <w:rPr>
          <w:rFonts w:ascii="David" w:hAnsi="David" w:cs="David"/>
          <w:sz w:val="24"/>
          <w:szCs w:val="24"/>
          <w:rtl/>
        </w:rPr>
        <w:t>לאחר שקילת מכלול השיקולים כמפורט לעיל, אני מטילה על הנאשם את העונשים הבאים:</w:t>
      </w:r>
    </w:p>
    <w:p w14:paraId="62CFF55F" w14:textId="77777777" w:rsidR="00180228" w:rsidRDefault="00180228" w:rsidP="00180228">
      <w:pPr>
        <w:pStyle w:val="ab"/>
        <w:spacing w:line="360" w:lineRule="auto"/>
        <w:jc w:val="both"/>
        <w:rPr>
          <w:rFonts w:ascii="David" w:hAnsi="David" w:cs="David"/>
          <w:sz w:val="24"/>
          <w:szCs w:val="24"/>
          <w:rtl/>
        </w:rPr>
      </w:pPr>
    </w:p>
    <w:p w14:paraId="5F05297B" w14:textId="77777777" w:rsidR="00180228" w:rsidRDefault="00180228" w:rsidP="00180228">
      <w:pPr>
        <w:pStyle w:val="ab"/>
        <w:numPr>
          <w:ilvl w:val="0"/>
          <w:numId w:val="4"/>
        </w:numPr>
        <w:spacing w:line="360" w:lineRule="auto"/>
        <w:jc w:val="both"/>
        <w:rPr>
          <w:rFonts w:ascii="David" w:hAnsi="David" w:cs="David"/>
          <w:b/>
          <w:bCs/>
          <w:sz w:val="24"/>
          <w:szCs w:val="24"/>
        </w:rPr>
      </w:pPr>
      <w:r>
        <w:rPr>
          <w:rFonts w:ascii="David" w:hAnsi="David" w:cs="David"/>
          <w:b/>
          <w:bCs/>
          <w:sz w:val="24"/>
          <w:szCs w:val="24"/>
          <w:rtl/>
        </w:rPr>
        <w:t>29 חודשי מאסר בפועל, בניכוי ימי מעצרו בתיק זה על פי רישומי שב"ס.</w:t>
      </w:r>
    </w:p>
    <w:p w14:paraId="64154A12" w14:textId="77777777" w:rsidR="00180228" w:rsidRDefault="00180228" w:rsidP="00180228">
      <w:pPr>
        <w:pStyle w:val="ab"/>
        <w:numPr>
          <w:ilvl w:val="0"/>
          <w:numId w:val="4"/>
        </w:numPr>
        <w:spacing w:line="360" w:lineRule="auto"/>
        <w:jc w:val="both"/>
        <w:rPr>
          <w:rFonts w:ascii="David" w:hAnsi="David" w:cs="David"/>
          <w:b/>
          <w:bCs/>
          <w:sz w:val="24"/>
          <w:szCs w:val="24"/>
        </w:rPr>
      </w:pPr>
      <w:r>
        <w:rPr>
          <w:rFonts w:ascii="David" w:hAnsi="David" w:cs="David"/>
          <w:b/>
          <w:bCs/>
          <w:sz w:val="24"/>
          <w:szCs w:val="24"/>
          <w:rtl/>
        </w:rPr>
        <w:t>מאסר על תנאי לתקופה של 12 חודשים.</w:t>
      </w:r>
    </w:p>
    <w:p w14:paraId="1FC76E15" w14:textId="77777777" w:rsidR="00180228" w:rsidRDefault="00180228" w:rsidP="00180228">
      <w:pPr>
        <w:pStyle w:val="ab"/>
        <w:spacing w:line="360" w:lineRule="auto"/>
        <w:ind w:left="1080"/>
        <w:jc w:val="both"/>
        <w:rPr>
          <w:rFonts w:ascii="David" w:hAnsi="David" w:cs="David"/>
          <w:sz w:val="24"/>
          <w:szCs w:val="24"/>
        </w:rPr>
      </w:pPr>
      <w:r>
        <w:rPr>
          <w:rFonts w:ascii="David" w:hAnsi="David" w:cs="David"/>
          <w:sz w:val="24"/>
          <w:szCs w:val="24"/>
          <w:rtl/>
        </w:rPr>
        <w:t>המאסר המותנה יופעל אם תוך תקופה של 3 שנים מיום שחרורו, יעבור הנאשם עבירת נשק.</w:t>
      </w:r>
    </w:p>
    <w:p w14:paraId="40D6D16D" w14:textId="77777777" w:rsidR="00180228" w:rsidRDefault="00180228" w:rsidP="00180228">
      <w:pPr>
        <w:pStyle w:val="ab"/>
        <w:numPr>
          <w:ilvl w:val="0"/>
          <w:numId w:val="4"/>
        </w:numPr>
        <w:spacing w:line="360" w:lineRule="auto"/>
        <w:jc w:val="both"/>
        <w:rPr>
          <w:rFonts w:ascii="David" w:hAnsi="David" w:cs="David"/>
          <w:sz w:val="24"/>
          <w:szCs w:val="24"/>
        </w:rPr>
      </w:pPr>
      <w:r>
        <w:rPr>
          <w:rFonts w:ascii="David" w:hAnsi="David" w:cs="David"/>
          <w:sz w:val="24"/>
          <w:szCs w:val="24"/>
          <w:rtl/>
        </w:rPr>
        <w:t>קנס בסך 7,000 ₪ או 35 ימי מאסר תמורתו.</w:t>
      </w:r>
    </w:p>
    <w:p w14:paraId="0C2D2C7A" w14:textId="77777777" w:rsidR="00180228" w:rsidRDefault="00180228" w:rsidP="00180228">
      <w:pPr>
        <w:pStyle w:val="ab"/>
        <w:spacing w:line="360" w:lineRule="auto"/>
        <w:ind w:left="1080"/>
        <w:jc w:val="both"/>
        <w:rPr>
          <w:rFonts w:ascii="David" w:hAnsi="David" w:cs="David"/>
          <w:sz w:val="24"/>
          <w:szCs w:val="24"/>
          <w:rtl/>
        </w:rPr>
      </w:pPr>
      <w:r>
        <w:rPr>
          <w:rFonts w:ascii="David" w:hAnsi="David" w:cs="David" w:hint="cs"/>
          <w:sz w:val="24"/>
          <w:szCs w:val="24"/>
          <w:rtl/>
        </w:rPr>
        <w:t>הקנס ישולם בתוך 90 ימים.</w:t>
      </w:r>
    </w:p>
    <w:p w14:paraId="3C0FEAAF" w14:textId="77777777" w:rsidR="00180228" w:rsidRPr="00293DA0" w:rsidRDefault="00293DA0" w:rsidP="00180228">
      <w:pPr>
        <w:spacing w:line="360" w:lineRule="auto"/>
        <w:rPr>
          <w:rFonts w:ascii="David" w:hAnsi="David"/>
          <w:color w:val="FFFFFF"/>
          <w:sz w:val="2"/>
          <w:szCs w:val="2"/>
        </w:rPr>
      </w:pPr>
      <w:r w:rsidRPr="00293DA0">
        <w:rPr>
          <w:rFonts w:ascii="David" w:hAnsi="David"/>
          <w:color w:val="FFFFFF"/>
          <w:sz w:val="2"/>
          <w:szCs w:val="2"/>
          <w:rtl/>
        </w:rPr>
        <w:t>5129371</w:t>
      </w:r>
    </w:p>
    <w:p w14:paraId="49AB156A" w14:textId="77777777" w:rsidR="00180228" w:rsidRDefault="00293DA0" w:rsidP="00180228">
      <w:pPr>
        <w:spacing w:line="360" w:lineRule="auto"/>
        <w:jc w:val="both"/>
        <w:rPr>
          <w:rFonts w:ascii="David" w:hAnsi="David"/>
          <w:rtl/>
        </w:rPr>
      </w:pPr>
      <w:r w:rsidRPr="00293DA0">
        <w:rPr>
          <w:rFonts w:ascii="David" w:hAnsi="David"/>
          <w:color w:val="FFFFFF"/>
          <w:sz w:val="2"/>
          <w:szCs w:val="2"/>
          <w:rtl/>
        </w:rPr>
        <w:t>54678313</w:t>
      </w:r>
      <w:r w:rsidR="00180228">
        <w:rPr>
          <w:rFonts w:ascii="David" w:hAnsi="David"/>
          <w:rtl/>
        </w:rPr>
        <w:t>זכות ערעור כחוק.</w:t>
      </w:r>
    </w:p>
    <w:p w14:paraId="4361552E" w14:textId="77777777" w:rsidR="00180228" w:rsidRDefault="00180228" w:rsidP="00180228">
      <w:pPr>
        <w:spacing w:line="360" w:lineRule="auto"/>
        <w:jc w:val="both"/>
        <w:rPr>
          <w:rFonts w:ascii="Arial" w:hAnsi="Arial"/>
          <w:b/>
          <w:bCs/>
          <w:sz w:val="26"/>
          <w:szCs w:val="26"/>
          <w:rtl/>
        </w:rPr>
      </w:pPr>
    </w:p>
    <w:p w14:paraId="080D9F1B" w14:textId="77777777" w:rsidR="00180228" w:rsidRPr="000F2247" w:rsidRDefault="00293DA0" w:rsidP="0018022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ג' תמוז תשפ"ג, 22 יוני 2023, בהעדר הצדדים. </w:t>
      </w:r>
      <w:bookmarkEnd w:id="8"/>
      <w:r w:rsidR="00180228">
        <w:rPr>
          <w:rFonts w:ascii="Arial" w:hAnsi="Arial"/>
          <w:b/>
          <w:bCs/>
          <w:sz w:val="26"/>
          <w:szCs w:val="26"/>
          <w:rtl/>
        </w:rPr>
        <w:tab/>
      </w:r>
      <w:r w:rsidR="00180228">
        <w:rPr>
          <w:rFonts w:ascii="Arial" w:hAnsi="Arial"/>
          <w:b/>
          <w:bCs/>
          <w:sz w:val="26"/>
          <w:szCs w:val="26"/>
          <w:rtl/>
        </w:rPr>
        <w:tab/>
      </w:r>
      <w:r w:rsidR="00180228">
        <w:rPr>
          <w:rFonts w:ascii="Arial" w:hAnsi="Arial"/>
          <w:b/>
          <w:bCs/>
          <w:sz w:val="26"/>
          <w:szCs w:val="26"/>
          <w:rtl/>
        </w:rPr>
        <w:tab/>
      </w:r>
      <w:r w:rsidR="00180228">
        <w:rPr>
          <w:rFonts w:ascii="Arial" w:hAnsi="Arial"/>
          <w:b/>
          <w:bCs/>
          <w:sz w:val="26"/>
          <w:szCs w:val="26"/>
          <w:rtl/>
        </w:rPr>
        <w:tab/>
      </w:r>
      <w:r w:rsidR="00180228">
        <w:rPr>
          <w:rFonts w:ascii="Arial" w:hAnsi="Arial"/>
          <w:b/>
          <w:bCs/>
          <w:sz w:val="26"/>
          <w:szCs w:val="26"/>
          <w:rtl/>
        </w:rPr>
        <w:tab/>
      </w:r>
      <w:r w:rsidR="00180228">
        <w:rPr>
          <w:rFonts w:ascii="Arial" w:hAnsi="Arial"/>
          <w:b/>
          <w:bCs/>
          <w:sz w:val="26"/>
          <w:szCs w:val="26"/>
          <w:rtl/>
        </w:rPr>
        <w:tab/>
      </w:r>
      <w:r w:rsidR="00180228">
        <w:rPr>
          <w:rFonts w:ascii="Arial" w:hAnsi="Arial"/>
          <w:b/>
          <w:bCs/>
          <w:sz w:val="26"/>
          <w:szCs w:val="26"/>
          <w:rtl/>
        </w:rPr>
        <w:tab/>
      </w:r>
      <w:r w:rsidR="00180228">
        <w:rPr>
          <w:rFonts w:ascii="Arial" w:hAnsi="Arial" w:hint="cs"/>
          <w:b/>
          <w:bCs/>
          <w:sz w:val="26"/>
          <w:szCs w:val="26"/>
          <w:rtl/>
        </w:rPr>
        <w:t xml:space="preserve">         </w:t>
      </w:r>
    </w:p>
    <w:p w14:paraId="0D9D76AD" w14:textId="77777777" w:rsidR="00293DA0" w:rsidRDefault="00293DA0" w:rsidP="00293DA0">
      <w:pPr>
        <w:rPr>
          <w:rtl/>
        </w:rPr>
      </w:pPr>
    </w:p>
    <w:p w14:paraId="6CDE703C" w14:textId="77777777" w:rsidR="00293DA0" w:rsidRDefault="00293DA0" w:rsidP="00293DA0">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2C84A024" w14:textId="77777777" w:rsidR="00DC1B1E" w:rsidRPr="00DC1B1E" w:rsidRDefault="00DC1B1E" w:rsidP="00DC1B1E">
      <w:pPr>
        <w:keepNext/>
        <w:rPr>
          <w:rFonts w:ascii="David" w:hAnsi="David"/>
          <w:color w:val="000000"/>
          <w:sz w:val="22"/>
          <w:szCs w:val="22"/>
          <w:rtl/>
        </w:rPr>
      </w:pPr>
    </w:p>
    <w:p w14:paraId="77003FBE" w14:textId="77777777" w:rsidR="00DC1B1E" w:rsidRPr="00DC1B1E" w:rsidRDefault="00DC1B1E" w:rsidP="00DC1B1E">
      <w:pPr>
        <w:keepNext/>
        <w:rPr>
          <w:rFonts w:ascii="David" w:hAnsi="David"/>
          <w:color w:val="000000"/>
          <w:sz w:val="22"/>
          <w:szCs w:val="22"/>
          <w:rtl/>
        </w:rPr>
      </w:pPr>
      <w:r w:rsidRPr="00DC1B1E">
        <w:rPr>
          <w:rFonts w:ascii="David" w:hAnsi="David"/>
          <w:color w:val="000000"/>
          <w:sz w:val="22"/>
          <w:szCs w:val="22"/>
          <w:rtl/>
        </w:rPr>
        <w:t>ענת חולתא 54678313-/</w:t>
      </w:r>
    </w:p>
    <w:p w14:paraId="5F9A64D7" w14:textId="77777777" w:rsidR="00293DA0" w:rsidRPr="00293DA0" w:rsidRDefault="00DC1B1E" w:rsidP="00DC1B1E">
      <w:pPr>
        <w:rPr>
          <w:color w:val="0000FF"/>
          <w:u w:val="single"/>
        </w:rPr>
      </w:pPr>
      <w:r w:rsidRPr="00DC1B1E">
        <w:rPr>
          <w:color w:val="000000"/>
          <w:u w:val="single"/>
          <w:rtl/>
        </w:rPr>
        <w:t>נוסח מסמך זה כפוף לשינויי ניסוח ועריכה</w:t>
      </w:r>
    </w:p>
    <w:sectPr w:rsidR="00293DA0" w:rsidRPr="00293DA0" w:rsidSect="00DC1B1E">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6017C" w14:textId="77777777" w:rsidR="00F93F00" w:rsidRDefault="00F93F00" w:rsidP="000457FD">
      <w:r>
        <w:separator/>
      </w:r>
    </w:p>
  </w:endnote>
  <w:endnote w:type="continuationSeparator" w:id="0">
    <w:p w14:paraId="69F4497F" w14:textId="77777777" w:rsidR="00F93F00" w:rsidRDefault="00F93F00" w:rsidP="00045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DBF1C" w14:textId="77777777" w:rsidR="00DC1B1E" w:rsidRDefault="00DC1B1E" w:rsidP="00DC1B1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5494FFE" w14:textId="77777777" w:rsidR="007C3B95" w:rsidRPr="00DC1B1E" w:rsidRDefault="00DC1B1E" w:rsidP="00DC1B1E">
    <w:pPr>
      <w:pStyle w:val="a5"/>
      <w:pBdr>
        <w:top w:val="single" w:sz="4" w:space="1" w:color="auto"/>
        <w:between w:val="single" w:sz="4" w:space="0" w:color="auto"/>
      </w:pBdr>
      <w:spacing w:after="60"/>
      <w:jc w:val="center"/>
      <w:rPr>
        <w:rFonts w:ascii="FrankRuehl" w:hAnsi="FrankRuehl" w:cs="FrankRuehl"/>
        <w:color w:val="000000"/>
      </w:rPr>
    </w:pPr>
    <w:r w:rsidRPr="00DC1B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FAE7E" w14:textId="77777777" w:rsidR="00DC1B1E" w:rsidRDefault="00DC1B1E" w:rsidP="00DC1B1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6D70">
      <w:rPr>
        <w:rFonts w:ascii="FrankRuehl" w:hAnsi="FrankRuehl" w:cs="FrankRuehl"/>
        <w:noProof/>
        <w:rtl/>
      </w:rPr>
      <w:t>1</w:t>
    </w:r>
    <w:r>
      <w:rPr>
        <w:rFonts w:ascii="FrankRuehl" w:hAnsi="FrankRuehl" w:cs="FrankRuehl"/>
        <w:rtl/>
      </w:rPr>
      <w:fldChar w:fldCharType="end"/>
    </w:r>
  </w:p>
  <w:p w14:paraId="5D660AB6" w14:textId="77777777" w:rsidR="007C3B95" w:rsidRPr="00DC1B1E" w:rsidRDefault="00DC1B1E" w:rsidP="00DC1B1E">
    <w:pPr>
      <w:pStyle w:val="a5"/>
      <w:pBdr>
        <w:top w:val="single" w:sz="4" w:space="1" w:color="auto"/>
        <w:between w:val="single" w:sz="4" w:space="0" w:color="auto"/>
      </w:pBdr>
      <w:spacing w:after="60"/>
      <w:jc w:val="center"/>
      <w:rPr>
        <w:rFonts w:ascii="FrankRuehl" w:hAnsi="FrankRuehl" w:cs="FrankRuehl"/>
        <w:color w:val="000000"/>
      </w:rPr>
    </w:pPr>
    <w:r w:rsidRPr="00DC1B1E">
      <w:rPr>
        <w:rFonts w:ascii="FrankRuehl" w:hAnsi="FrankRuehl" w:cs="FrankRuehl"/>
        <w:color w:val="000000"/>
      </w:rPr>
      <w:pict w14:anchorId="7BBE6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B1994" w14:textId="77777777" w:rsidR="00F93F00" w:rsidRDefault="00F93F00" w:rsidP="000457FD">
      <w:r>
        <w:separator/>
      </w:r>
    </w:p>
  </w:footnote>
  <w:footnote w:type="continuationSeparator" w:id="0">
    <w:p w14:paraId="5D8E4FE3" w14:textId="77777777" w:rsidR="00F93F00" w:rsidRDefault="00F93F00" w:rsidP="00045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6C149" w14:textId="77777777" w:rsidR="00293DA0" w:rsidRPr="00DC1B1E" w:rsidRDefault="00DC1B1E" w:rsidP="00DC1B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19819-03-23</w:t>
    </w:r>
    <w:r>
      <w:rPr>
        <w:rFonts w:ascii="David" w:hAnsi="David"/>
        <w:color w:val="000000"/>
        <w:sz w:val="22"/>
        <w:szCs w:val="22"/>
        <w:rtl/>
      </w:rPr>
      <w:tab/>
      <w:t xml:space="preserve"> מדינת ישראל נ' סאלב אלגרינאוי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7EFBD" w14:textId="77777777" w:rsidR="00293DA0" w:rsidRPr="00DC1B1E" w:rsidRDefault="00DC1B1E" w:rsidP="00DC1B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19819-03-23</w:t>
    </w:r>
    <w:r>
      <w:rPr>
        <w:rFonts w:ascii="David" w:hAnsi="David"/>
        <w:color w:val="000000"/>
        <w:sz w:val="22"/>
        <w:szCs w:val="22"/>
        <w:rtl/>
      </w:rPr>
      <w:tab/>
      <w:t xml:space="preserve"> מדינת ישראל נ' סאלב אלגרינאוי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652E5"/>
    <w:multiLevelType w:val="hybridMultilevel"/>
    <w:tmpl w:val="ECBA2460"/>
    <w:lvl w:ilvl="0" w:tplc="D0641CF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5512B14"/>
    <w:multiLevelType w:val="hybridMultilevel"/>
    <w:tmpl w:val="F07C73E2"/>
    <w:lvl w:ilvl="0" w:tplc="23AA9CAA">
      <w:start w:val="1"/>
      <w:numFmt w:val="hebrew1"/>
      <w:lvlText w:val="%1."/>
      <w:lvlJc w:val="left"/>
      <w:pPr>
        <w:ind w:left="1080" w:hanging="360"/>
      </w:pPr>
      <w:rPr>
        <w:rFonts w:ascii="David" w:eastAsia="Calibri" w:hAnsi="David" w:cs="David"/>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5612095"/>
    <w:multiLevelType w:val="hybridMultilevel"/>
    <w:tmpl w:val="8A009C18"/>
    <w:lvl w:ilvl="0" w:tplc="71C03ED2">
      <w:start w:val="1"/>
      <w:numFmt w:val="hebrew1"/>
      <w:lvlText w:val="%1."/>
      <w:lvlJc w:val="left"/>
      <w:pPr>
        <w:ind w:left="1352" w:hanging="360"/>
      </w:pPr>
    </w:lvl>
    <w:lvl w:ilvl="1" w:tplc="04090019">
      <w:start w:val="1"/>
      <w:numFmt w:val="lowerLetter"/>
      <w:lvlText w:val="%2."/>
      <w:lvlJc w:val="left"/>
      <w:pPr>
        <w:ind w:left="2072" w:hanging="360"/>
      </w:pPr>
    </w:lvl>
    <w:lvl w:ilvl="2" w:tplc="0409001B">
      <w:start w:val="1"/>
      <w:numFmt w:val="lowerRoman"/>
      <w:lvlText w:val="%3."/>
      <w:lvlJc w:val="right"/>
      <w:pPr>
        <w:ind w:left="2792" w:hanging="180"/>
      </w:pPr>
    </w:lvl>
    <w:lvl w:ilvl="3" w:tplc="0409000F">
      <w:start w:val="1"/>
      <w:numFmt w:val="decimal"/>
      <w:lvlText w:val="%4."/>
      <w:lvlJc w:val="left"/>
      <w:pPr>
        <w:ind w:left="3512" w:hanging="360"/>
      </w:pPr>
    </w:lvl>
    <w:lvl w:ilvl="4" w:tplc="04090019">
      <w:start w:val="1"/>
      <w:numFmt w:val="lowerLetter"/>
      <w:lvlText w:val="%5."/>
      <w:lvlJc w:val="left"/>
      <w:pPr>
        <w:ind w:left="4232" w:hanging="360"/>
      </w:pPr>
    </w:lvl>
    <w:lvl w:ilvl="5" w:tplc="0409001B">
      <w:start w:val="1"/>
      <w:numFmt w:val="lowerRoman"/>
      <w:lvlText w:val="%6."/>
      <w:lvlJc w:val="right"/>
      <w:pPr>
        <w:ind w:left="4952" w:hanging="180"/>
      </w:pPr>
    </w:lvl>
    <w:lvl w:ilvl="6" w:tplc="0409000F">
      <w:start w:val="1"/>
      <w:numFmt w:val="decimal"/>
      <w:lvlText w:val="%7."/>
      <w:lvlJc w:val="left"/>
      <w:pPr>
        <w:ind w:left="5672" w:hanging="360"/>
      </w:pPr>
    </w:lvl>
    <w:lvl w:ilvl="7" w:tplc="04090019">
      <w:start w:val="1"/>
      <w:numFmt w:val="lowerLetter"/>
      <w:lvlText w:val="%8."/>
      <w:lvlJc w:val="left"/>
      <w:pPr>
        <w:ind w:left="6392" w:hanging="360"/>
      </w:pPr>
    </w:lvl>
    <w:lvl w:ilvl="8" w:tplc="0409001B">
      <w:start w:val="1"/>
      <w:numFmt w:val="lowerRoman"/>
      <w:lvlText w:val="%9."/>
      <w:lvlJc w:val="right"/>
      <w:pPr>
        <w:ind w:left="7112" w:hanging="180"/>
      </w:pPr>
    </w:lvl>
  </w:abstractNum>
  <w:abstractNum w:abstractNumId="3" w15:restartNumberingAfterBreak="0">
    <w:nsid w:val="6BA7227B"/>
    <w:multiLevelType w:val="hybridMultilevel"/>
    <w:tmpl w:val="0F78EBBE"/>
    <w:lvl w:ilvl="0" w:tplc="9F2CC2D6">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7717015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94125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0992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03862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0228"/>
    <w:rsid w:val="000457FD"/>
    <w:rsid w:val="00180228"/>
    <w:rsid w:val="001A7265"/>
    <w:rsid w:val="002133F7"/>
    <w:rsid w:val="00293DA0"/>
    <w:rsid w:val="005A49EF"/>
    <w:rsid w:val="006A5E02"/>
    <w:rsid w:val="007C3B95"/>
    <w:rsid w:val="008F2E76"/>
    <w:rsid w:val="009767C1"/>
    <w:rsid w:val="009A4E4C"/>
    <w:rsid w:val="00B30C32"/>
    <w:rsid w:val="00BD0E48"/>
    <w:rsid w:val="00DC1B1E"/>
    <w:rsid w:val="00F66D70"/>
    <w:rsid w:val="00F93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F52BC0"/>
  <w15:chartTrackingRefBased/>
  <w15:docId w15:val="{B180A15C-9A40-4361-B102-8D065DF0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022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0228"/>
    <w:pPr>
      <w:tabs>
        <w:tab w:val="center" w:pos="4153"/>
        <w:tab w:val="right" w:pos="8306"/>
      </w:tabs>
    </w:pPr>
  </w:style>
  <w:style w:type="character" w:customStyle="1" w:styleId="a4">
    <w:name w:val="כותרת עליונה תו"/>
    <w:link w:val="a3"/>
    <w:rsid w:val="00180228"/>
    <w:rPr>
      <w:rFonts w:ascii="Times New Roman" w:eastAsia="Times New Roman" w:hAnsi="Times New Roman" w:cs="David"/>
      <w:sz w:val="24"/>
      <w:szCs w:val="24"/>
    </w:rPr>
  </w:style>
  <w:style w:type="paragraph" w:styleId="a5">
    <w:name w:val="footer"/>
    <w:basedOn w:val="a"/>
    <w:link w:val="a6"/>
    <w:rsid w:val="00180228"/>
    <w:pPr>
      <w:tabs>
        <w:tab w:val="center" w:pos="4153"/>
        <w:tab w:val="right" w:pos="8306"/>
      </w:tabs>
    </w:pPr>
  </w:style>
  <w:style w:type="character" w:customStyle="1" w:styleId="a6">
    <w:name w:val="כותרת תחתונה תו"/>
    <w:link w:val="a5"/>
    <w:rsid w:val="00180228"/>
    <w:rPr>
      <w:rFonts w:ascii="Times New Roman" w:eastAsia="Times New Roman" w:hAnsi="Times New Roman" w:cs="David"/>
      <w:sz w:val="24"/>
      <w:szCs w:val="24"/>
    </w:rPr>
  </w:style>
  <w:style w:type="character" w:styleId="a7">
    <w:name w:val="annotation reference"/>
    <w:rsid w:val="00180228"/>
    <w:rPr>
      <w:sz w:val="16"/>
      <w:szCs w:val="16"/>
    </w:rPr>
  </w:style>
  <w:style w:type="table" w:styleId="a8">
    <w:name w:val="Table Grid"/>
    <w:basedOn w:val="a1"/>
    <w:rsid w:val="001802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180228"/>
  </w:style>
  <w:style w:type="character" w:customStyle="1" w:styleId="aa">
    <w:name w:val="פיסקת רשימה תו"/>
    <w:link w:val="ab"/>
    <w:locked/>
    <w:rsid w:val="00180228"/>
  </w:style>
  <w:style w:type="paragraph" w:styleId="ab">
    <w:name w:val="List Paragraph"/>
    <w:basedOn w:val="a"/>
    <w:link w:val="aa"/>
    <w:qFormat/>
    <w:rsid w:val="00180228"/>
    <w:pPr>
      <w:spacing w:after="160" w:line="256" w:lineRule="auto"/>
      <w:ind w:left="720"/>
      <w:contextualSpacing/>
    </w:pPr>
    <w:rPr>
      <w:rFonts w:ascii="Calibri" w:eastAsia="Calibri" w:hAnsi="Calibri" w:cs="Arial"/>
      <w:sz w:val="22"/>
      <w:szCs w:val="22"/>
    </w:rPr>
  </w:style>
  <w:style w:type="character" w:styleId="Hyperlink">
    <w:name w:val="Hyperlink"/>
    <w:rsid w:val="00293D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7791493" TargetMode="External"/><Relationship Id="rId18" Type="http://schemas.openxmlformats.org/officeDocument/2006/relationships/hyperlink" Target="http://www.nevo.co.il/case/29094077" TargetMode="External"/><Relationship Id="rId26" Type="http://schemas.openxmlformats.org/officeDocument/2006/relationships/hyperlink" Target="http://www.nevo.co.il/case/27648787" TargetMode="External"/><Relationship Id="rId21" Type="http://schemas.openxmlformats.org/officeDocument/2006/relationships/hyperlink" Target="http://www.nevo.co.il/case/27504327"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case/16913730" TargetMode="External"/><Relationship Id="rId17" Type="http://schemas.openxmlformats.org/officeDocument/2006/relationships/hyperlink" Target="http://www.nevo.co.il/case/27510949" TargetMode="External"/><Relationship Id="rId25" Type="http://schemas.openxmlformats.org/officeDocument/2006/relationships/hyperlink" Target="http://www.nevo.co.il/case/27510949"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8513828" TargetMode="External"/><Relationship Id="rId20" Type="http://schemas.openxmlformats.org/officeDocument/2006/relationships/hyperlink" Target="http://www.nevo.co.il/case/26478630"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821328" TargetMode="External"/><Relationship Id="rId24" Type="http://schemas.openxmlformats.org/officeDocument/2006/relationships/hyperlink" Target="http://www.nevo.co.il/case/2851382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2001830" TargetMode="External"/><Relationship Id="rId23" Type="http://schemas.openxmlformats.org/officeDocument/2006/relationships/hyperlink" Target="http://www.nevo.co.il/case/25526650" TargetMode="External"/><Relationship Id="rId28" Type="http://schemas.openxmlformats.org/officeDocument/2006/relationships/hyperlink" Target="http://www.nevo.co.il/case/24263426"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8389587"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6905927" TargetMode="External"/><Relationship Id="rId22" Type="http://schemas.openxmlformats.org/officeDocument/2006/relationships/hyperlink" Target="http://www.nevo.co.il/case/26327249" TargetMode="External"/><Relationship Id="rId27" Type="http://schemas.openxmlformats.org/officeDocument/2006/relationships/hyperlink" Target="http://www.nevo.co.il/case/26913995" TargetMode="External"/><Relationship Id="rId30" Type="http://schemas.openxmlformats.org/officeDocument/2006/relationships/hyperlink" Target="http://www.nevo.co.il/case/27088562" TargetMode="External"/><Relationship Id="rId35"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2776</Words>
  <Characters>13881</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16624</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3932286</vt:i4>
      </vt:variant>
      <vt:variant>
        <vt:i4>69</vt:i4>
      </vt:variant>
      <vt:variant>
        <vt:i4>0</vt:i4>
      </vt:variant>
      <vt:variant>
        <vt:i4>5</vt:i4>
      </vt:variant>
      <vt:variant>
        <vt:lpwstr>http://www.nevo.co.il/case/27088562</vt:lpwstr>
      </vt:variant>
      <vt:variant>
        <vt:lpwstr/>
      </vt:variant>
      <vt:variant>
        <vt:i4>7995492</vt:i4>
      </vt:variant>
      <vt:variant>
        <vt:i4>66</vt:i4>
      </vt:variant>
      <vt:variant>
        <vt:i4>0</vt:i4>
      </vt:variant>
      <vt:variant>
        <vt:i4>5</vt:i4>
      </vt:variant>
      <vt:variant>
        <vt:lpwstr>http://www.nevo.co.il/law/70301</vt:lpwstr>
      </vt:variant>
      <vt:variant>
        <vt:lpwstr/>
      </vt:variant>
      <vt:variant>
        <vt:i4>3211378</vt:i4>
      </vt:variant>
      <vt:variant>
        <vt:i4>63</vt:i4>
      </vt:variant>
      <vt:variant>
        <vt:i4>0</vt:i4>
      </vt:variant>
      <vt:variant>
        <vt:i4>5</vt:i4>
      </vt:variant>
      <vt:variant>
        <vt:lpwstr>http://www.nevo.co.il/case/24263426</vt:lpwstr>
      </vt:variant>
      <vt:variant>
        <vt:lpwstr/>
      </vt:variant>
      <vt:variant>
        <vt:i4>3211386</vt:i4>
      </vt:variant>
      <vt:variant>
        <vt:i4>60</vt:i4>
      </vt:variant>
      <vt:variant>
        <vt:i4>0</vt:i4>
      </vt:variant>
      <vt:variant>
        <vt:i4>5</vt:i4>
      </vt:variant>
      <vt:variant>
        <vt:lpwstr>http://www.nevo.co.il/case/26913995</vt:lpwstr>
      </vt:variant>
      <vt:variant>
        <vt:lpwstr/>
      </vt:variant>
      <vt:variant>
        <vt:i4>3407984</vt:i4>
      </vt:variant>
      <vt:variant>
        <vt:i4>57</vt:i4>
      </vt:variant>
      <vt:variant>
        <vt:i4>0</vt:i4>
      </vt:variant>
      <vt:variant>
        <vt:i4>5</vt:i4>
      </vt:variant>
      <vt:variant>
        <vt:lpwstr>http://www.nevo.co.il/case/27648787</vt:lpwstr>
      </vt:variant>
      <vt:variant>
        <vt:lpwstr/>
      </vt:variant>
      <vt:variant>
        <vt:i4>3342459</vt:i4>
      </vt:variant>
      <vt:variant>
        <vt:i4>54</vt:i4>
      </vt:variant>
      <vt:variant>
        <vt:i4>0</vt:i4>
      </vt:variant>
      <vt:variant>
        <vt:i4>5</vt:i4>
      </vt:variant>
      <vt:variant>
        <vt:lpwstr>http://www.nevo.co.il/case/27510949</vt:lpwstr>
      </vt:variant>
      <vt:variant>
        <vt:lpwstr/>
      </vt:variant>
      <vt:variant>
        <vt:i4>3539061</vt:i4>
      </vt:variant>
      <vt:variant>
        <vt:i4>51</vt:i4>
      </vt:variant>
      <vt:variant>
        <vt:i4>0</vt:i4>
      </vt:variant>
      <vt:variant>
        <vt:i4>5</vt:i4>
      </vt:variant>
      <vt:variant>
        <vt:lpwstr>http://www.nevo.co.il/case/28513828</vt:lpwstr>
      </vt:variant>
      <vt:variant>
        <vt:lpwstr/>
      </vt:variant>
      <vt:variant>
        <vt:i4>3407989</vt:i4>
      </vt:variant>
      <vt:variant>
        <vt:i4>48</vt:i4>
      </vt:variant>
      <vt:variant>
        <vt:i4>0</vt:i4>
      </vt:variant>
      <vt:variant>
        <vt:i4>5</vt:i4>
      </vt:variant>
      <vt:variant>
        <vt:lpwstr>http://www.nevo.co.il/case/25526650</vt:lpwstr>
      </vt:variant>
      <vt:variant>
        <vt:lpwstr/>
      </vt:variant>
      <vt:variant>
        <vt:i4>3276914</vt:i4>
      </vt:variant>
      <vt:variant>
        <vt:i4>45</vt:i4>
      </vt:variant>
      <vt:variant>
        <vt:i4>0</vt:i4>
      </vt:variant>
      <vt:variant>
        <vt:i4>5</vt:i4>
      </vt:variant>
      <vt:variant>
        <vt:lpwstr>http://www.nevo.co.il/case/26327249</vt:lpwstr>
      </vt:variant>
      <vt:variant>
        <vt:lpwstr/>
      </vt:variant>
      <vt:variant>
        <vt:i4>3211376</vt:i4>
      </vt:variant>
      <vt:variant>
        <vt:i4>42</vt:i4>
      </vt:variant>
      <vt:variant>
        <vt:i4>0</vt:i4>
      </vt:variant>
      <vt:variant>
        <vt:i4>5</vt:i4>
      </vt:variant>
      <vt:variant>
        <vt:lpwstr>http://www.nevo.co.il/case/27504327</vt:lpwstr>
      </vt:variant>
      <vt:variant>
        <vt:lpwstr/>
      </vt:variant>
      <vt:variant>
        <vt:i4>3997811</vt:i4>
      </vt:variant>
      <vt:variant>
        <vt:i4>39</vt:i4>
      </vt:variant>
      <vt:variant>
        <vt:i4>0</vt:i4>
      </vt:variant>
      <vt:variant>
        <vt:i4>5</vt:i4>
      </vt:variant>
      <vt:variant>
        <vt:lpwstr>http://www.nevo.co.il/case/26478630</vt:lpwstr>
      </vt:variant>
      <vt:variant>
        <vt:lpwstr/>
      </vt:variant>
      <vt:variant>
        <vt:i4>3145841</vt:i4>
      </vt:variant>
      <vt:variant>
        <vt:i4>36</vt:i4>
      </vt:variant>
      <vt:variant>
        <vt:i4>0</vt:i4>
      </vt:variant>
      <vt:variant>
        <vt:i4>5</vt:i4>
      </vt:variant>
      <vt:variant>
        <vt:lpwstr>http://www.nevo.co.il/case/28389587</vt:lpwstr>
      </vt:variant>
      <vt:variant>
        <vt:lpwstr/>
      </vt:variant>
      <vt:variant>
        <vt:i4>3211380</vt:i4>
      </vt:variant>
      <vt:variant>
        <vt:i4>33</vt:i4>
      </vt:variant>
      <vt:variant>
        <vt:i4>0</vt:i4>
      </vt:variant>
      <vt:variant>
        <vt:i4>5</vt:i4>
      </vt:variant>
      <vt:variant>
        <vt:lpwstr>http://www.nevo.co.il/case/29094077</vt:lpwstr>
      </vt:variant>
      <vt:variant>
        <vt:lpwstr/>
      </vt:variant>
      <vt:variant>
        <vt:i4>3342459</vt:i4>
      </vt:variant>
      <vt:variant>
        <vt:i4>30</vt:i4>
      </vt:variant>
      <vt:variant>
        <vt:i4>0</vt:i4>
      </vt:variant>
      <vt:variant>
        <vt:i4>5</vt:i4>
      </vt:variant>
      <vt:variant>
        <vt:lpwstr>http://www.nevo.co.il/case/27510949</vt:lpwstr>
      </vt:variant>
      <vt:variant>
        <vt:lpwstr/>
      </vt:variant>
      <vt:variant>
        <vt:i4>3539061</vt:i4>
      </vt:variant>
      <vt:variant>
        <vt:i4>27</vt:i4>
      </vt:variant>
      <vt:variant>
        <vt:i4>0</vt:i4>
      </vt:variant>
      <vt:variant>
        <vt:i4>5</vt:i4>
      </vt:variant>
      <vt:variant>
        <vt:lpwstr>http://www.nevo.co.il/case/28513828</vt:lpwstr>
      </vt:variant>
      <vt:variant>
        <vt:lpwstr/>
      </vt:variant>
      <vt:variant>
        <vt:i4>3145854</vt:i4>
      </vt:variant>
      <vt:variant>
        <vt:i4>24</vt:i4>
      </vt:variant>
      <vt:variant>
        <vt:i4>0</vt:i4>
      </vt:variant>
      <vt:variant>
        <vt:i4>5</vt:i4>
      </vt:variant>
      <vt:variant>
        <vt:lpwstr>http://www.nevo.co.il/case/22001830</vt:lpwstr>
      </vt:variant>
      <vt:variant>
        <vt:lpwstr/>
      </vt:variant>
      <vt:variant>
        <vt:i4>3932283</vt:i4>
      </vt:variant>
      <vt:variant>
        <vt:i4>21</vt:i4>
      </vt:variant>
      <vt:variant>
        <vt:i4>0</vt:i4>
      </vt:variant>
      <vt:variant>
        <vt:i4>5</vt:i4>
      </vt:variant>
      <vt:variant>
        <vt:lpwstr>http://www.nevo.co.il/case/26905927</vt:lpwstr>
      </vt:variant>
      <vt:variant>
        <vt:lpwstr/>
      </vt:variant>
      <vt:variant>
        <vt:i4>3735675</vt:i4>
      </vt:variant>
      <vt:variant>
        <vt:i4>18</vt:i4>
      </vt:variant>
      <vt:variant>
        <vt:i4>0</vt:i4>
      </vt:variant>
      <vt:variant>
        <vt:i4>5</vt:i4>
      </vt:variant>
      <vt:variant>
        <vt:lpwstr>http://www.nevo.co.il/case/7791493</vt:lpwstr>
      </vt:variant>
      <vt:variant>
        <vt:lpwstr/>
      </vt:variant>
      <vt:variant>
        <vt:i4>3670132</vt:i4>
      </vt:variant>
      <vt:variant>
        <vt:i4>15</vt:i4>
      </vt:variant>
      <vt:variant>
        <vt:i4>0</vt:i4>
      </vt:variant>
      <vt:variant>
        <vt:i4>5</vt:i4>
      </vt:variant>
      <vt:variant>
        <vt:lpwstr>http://www.nevo.co.il/case/16913730</vt:lpwstr>
      </vt:variant>
      <vt:variant>
        <vt:lpwstr/>
      </vt:variant>
      <vt:variant>
        <vt:i4>3932287</vt:i4>
      </vt:variant>
      <vt:variant>
        <vt:i4>12</vt:i4>
      </vt:variant>
      <vt:variant>
        <vt:i4>0</vt:i4>
      </vt:variant>
      <vt:variant>
        <vt:i4>5</vt:i4>
      </vt:variant>
      <vt:variant>
        <vt:lpwstr>http://www.nevo.co.il/case/5821328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2025-01-19T17:53:00Z</dcterms:created>
  <dcterms:modified xsi:type="dcterms:W3CDTF">2025-01-19T17:53:00Z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19819</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סאלב אלגרינאוי</vt:lpwstr>
  </property>
  <property fmtid="{D5CDD505-2E9C-101B-9397-08002B2CF9AE}" pid="10" name="LAWYER">
    <vt:lpwstr>אדר בכר סאסי;אפרת צרפתי</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20230622</vt:lpwstr>
  </property>
  <property fmtid="{D5CDD505-2E9C-101B-9397-08002B2CF9AE}" pid="14" name="TYPE_N_DATE">
    <vt:lpwstr>38020230622</vt:lpwstr>
  </property>
  <property fmtid="{D5CDD505-2E9C-101B-9397-08002B2CF9AE}" pid="15" name="WORDNUMPAGES">
    <vt:lpwstr>10</vt:lpwstr>
  </property>
  <property fmtid="{D5CDD505-2E9C-101B-9397-08002B2CF9AE}" pid="16" name="TYPE_ABS_DATE">
    <vt:lpwstr>380020230622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5821328;16913730;7791493;26905927;22001830;28513828:2;27510949:2;29094077;28389587;26478630;27504327;26327249;25526650;27648787;26913995;24263426;27088562</vt:lpwstr>
  </property>
  <property fmtid="{D5CDD505-2E9C-101B-9397-08002B2CF9AE}" pid="36" name="LAWLISTTMP1">
    <vt:lpwstr>70301/144.a</vt:lpwstr>
  </property>
</Properties>
</file>