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47382" w:rsidRPr="003B7F3B" w14:paraId="05933AE8" w14:textId="77777777" w:rsidTr="00153F6E">
        <w:trPr>
          <w:trHeight w:hRule="exact" w:val="418"/>
          <w:jc w:val="center"/>
        </w:trPr>
        <w:tc>
          <w:tcPr>
            <w:tcW w:w="8721" w:type="dxa"/>
            <w:gridSpan w:val="2"/>
          </w:tcPr>
          <w:p w14:paraId="5005B23A" w14:textId="77777777" w:rsidR="00E47382" w:rsidRPr="003B7F3B" w:rsidRDefault="00E47382" w:rsidP="001C7BB5">
            <w:pPr>
              <w:pStyle w:val="a3"/>
              <w:jc w:val="center"/>
              <w:rPr>
                <w:rFonts w:ascii="Tahoma" w:hAnsi="Tahoma" w:cs="Tahoma"/>
                <w:color w:val="000080"/>
                <w:rtl/>
              </w:rPr>
            </w:pPr>
            <w:bookmarkStart w:id="0" w:name="LastJudge"/>
            <w:r w:rsidRPr="003B7F3B">
              <w:rPr>
                <w:rFonts w:ascii="Tahoma" w:hAnsi="Tahoma" w:cs="Tahoma"/>
                <w:b/>
                <w:bCs/>
                <w:color w:val="000080"/>
                <w:rtl/>
              </w:rPr>
              <w:t>בית משפט השלום בירושלים</w:t>
            </w:r>
          </w:p>
        </w:tc>
      </w:tr>
      <w:tr w:rsidR="00E47382" w:rsidRPr="003B7F3B" w14:paraId="63B26D4F" w14:textId="77777777" w:rsidTr="00153F6E">
        <w:trPr>
          <w:trHeight w:val="337"/>
          <w:jc w:val="center"/>
        </w:trPr>
        <w:tc>
          <w:tcPr>
            <w:tcW w:w="5058" w:type="dxa"/>
          </w:tcPr>
          <w:p w14:paraId="7C4795F8" w14:textId="77777777" w:rsidR="00E47382" w:rsidRPr="003B7F3B" w:rsidRDefault="00E47382" w:rsidP="001C7BB5">
            <w:pPr>
              <w:rPr>
                <w:rFonts w:cs="FrankRuehl"/>
                <w:sz w:val="28"/>
                <w:szCs w:val="28"/>
                <w:rtl/>
              </w:rPr>
            </w:pPr>
            <w:r w:rsidRPr="003B7F3B">
              <w:rPr>
                <w:rFonts w:cs="FrankRuehl"/>
                <w:sz w:val="28"/>
                <w:szCs w:val="28"/>
                <w:rtl/>
              </w:rPr>
              <w:t>ת"פ</w:t>
            </w:r>
            <w:r w:rsidRPr="003B7F3B">
              <w:rPr>
                <w:rFonts w:cs="FrankRuehl" w:hint="cs"/>
                <w:sz w:val="28"/>
                <w:szCs w:val="28"/>
                <w:rtl/>
              </w:rPr>
              <w:t xml:space="preserve"> </w:t>
            </w:r>
            <w:r w:rsidRPr="003B7F3B">
              <w:rPr>
                <w:rFonts w:cs="FrankRuehl"/>
                <w:sz w:val="28"/>
                <w:szCs w:val="28"/>
                <w:rtl/>
              </w:rPr>
              <w:t>57002-03-23</w:t>
            </w:r>
            <w:r w:rsidRPr="003B7F3B">
              <w:rPr>
                <w:rFonts w:cs="FrankRuehl" w:hint="cs"/>
                <w:sz w:val="28"/>
                <w:szCs w:val="28"/>
                <w:rtl/>
              </w:rPr>
              <w:t xml:space="preserve"> </w:t>
            </w:r>
            <w:r w:rsidRPr="003B7F3B">
              <w:rPr>
                <w:rFonts w:cs="FrankRuehl"/>
                <w:sz w:val="28"/>
                <w:szCs w:val="28"/>
                <w:rtl/>
              </w:rPr>
              <w:t>מדינת ישראל נ' גנידה(עציר)</w:t>
            </w:r>
          </w:p>
          <w:p w14:paraId="61513411" w14:textId="77777777" w:rsidR="00E47382" w:rsidRPr="003B7F3B" w:rsidRDefault="00E47382" w:rsidP="001C7BB5">
            <w:pPr>
              <w:pStyle w:val="a3"/>
              <w:rPr>
                <w:rFonts w:cs="FrankRuehl"/>
                <w:sz w:val="28"/>
                <w:szCs w:val="28"/>
                <w:rtl/>
              </w:rPr>
            </w:pPr>
          </w:p>
        </w:tc>
        <w:tc>
          <w:tcPr>
            <w:tcW w:w="3663" w:type="dxa"/>
          </w:tcPr>
          <w:p w14:paraId="03475C74" w14:textId="77777777" w:rsidR="00E47382" w:rsidRPr="003B7F3B" w:rsidRDefault="00E47382" w:rsidP="001C7BB5">
            <w:pPr>
              <w:pStyle w:val="a3"/>
              <w:jc w:val="right"/>
              <w:rPr>
                <w:rFonts w:cs="FrankRuehl"/>
                <w:sz w:val="28"/>
                <w:szCs w:val="28"/>
                <w:rtl/>
              </w:rPr>
            </w:pPr>
          </w:p>
        </w:tc>
      </w:tr>
    </w:tbl>
    <w:p w14:paraId="4F185F1F" w14:textId="77777777" w:rsidR="00E47382" w:rsidRPr="003B7F3B" w:rsidRDefault="00E47382" w:rsidP="00E47382">
      <w:pPr>
        <w:pStyle w:val="a3"/>
        <w:rPr>
          <w:rtl/>
        </w:rPr>
      </w:pPr>
      <w:r w:rsidRPr="003B7F3B">
        <w:rPr>
          <w:rFonts w:hint="cs"/>
          <w:rtl/>
        </w:rPr>
        <w:t xml:space="preserve"> </w:t>
      </w:r>
    </w:p>
    <w:p w14:paraId="7505F68F" w14:textId="77777777" w:rsidR="00E47382" w:rsidRPr="003B7F3B" w:rsidRDefault="00E47382" w:rsidP="00E47382">
      <w:pPr>
        <w:rPr>
          <w:rtl/>
        </w:rPr>
      </w:pPr>
    </w:p>
    <w:p w14:paraId="00D0C50A" w14:textId="77777777" w:rsidR="00E47382" w:rsidRPr="003B7F3B" w:rsidRDefault="00E47382" w:rsidP="00E4738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47382" w:rsidRPr="003B7F3B" w14:paraId="283A0E45" w14:textId="77777777" w:rsidTr="00E47382">
        <w:trPr>
          <w:trHeight w:val="295"/>
          <w:jc w:val="center"/>
        </w:trPr>
        <w:tc>
          <w:tcPr>
            <w:tcW w:w="923" w:type="dxa"/>
            <w:tcBorders>
              <w:top w:val="nil"/>
              <w:left w:val="nil"/>
              <w:bottom w:val="nil"/>
              <w:right w:val="nil"/>
            </w:tcBorders>
            <w:shd w:val="clear" w:color="auto" w:fill="auto"/>
          </w:tcPr>
          <w:p w14:paraId="6423B220" w14:textId="77777777" w:rsidR="00E47382" w:rsidRPr="003B7F3B" w:rsidRDefault="00E47382" w:rsidP="00E47382">
            <w:pPr>
              <w:jc w:val="both"/>
              <w:rPr>
                <w:rFonts w:ascii="David" w:hAnsi="David"/>
              </w:rPr>
            </w:pPr>
            <w:r w:rsidRPr="003B7F3B">
              <w:rPr>
                <w:rFonts w:ascii="David" w:hAnsi="David"/>
                <w:rtl/>
              </w:rPr>
              <w:t xml:space="preserve">בפני </w:t>
            </w:r>
          </w:p>
        </w:tc>
        <w:tc>
          <w:tcPr>
            <w:tcW w:w="7897" w:type="dxa"/>
            <w:gridSpan w:val="2"/>
            <w:tcBorders>
              <w:top w:val="nil"/>
              <w:left w:val="nil"/>
              <w:bottom w:val="nil"/>
              <w:right w:val="nil"/>
            </w:tcBorders>
            <w:shd w:val="clear" w:color="auto" w:fill="auto"/>
          </w:tcPr>
          <w:p w14:paraId="487556E2" w14:textId="77777777" w:rsidR="00E47382" w:rsidRPr="003B7F3B" w:rsidRDefault="00E47382" w:rsidP="001C7BB5">
            <w:pPr>
              <w:rPr>
                <w:rFonts w:ascii="David" w:hAnsi="David"/>
                <w:b/>
                <w:bCs/>
                <w:rtl/>
              </w:rPr>
            </w:pPr>
            <w:r w:rsidRPr="003B7F3B">
              <w:rPr>
                <w:rFonts w:ascii="David" w:hAnsi="David"/>
                <w:b/>
                <w:bCs/>
                <w:rtl/>
              </w:rPr>
              <w:t>כבוד השופט  ארנון איתן</w:t>
            </w:r>
          </w:p>
          <w:p w14:paraId="5892F890" w14:textId="77777777" w:rsidR="00E47382" w:rsidRPr="003B7F3B" w:rsidRDefault="00E47382" w:rsidP="001C7BB5">
            <w:pPr>
              <w:rPr>
                <w:rFonts w:ascii="David" w:hAnsi="David"/>
                <w:rtl/>
              </w:rPr>
            </w:pPr>
          </w:p>
          <w:p w14:paraId="19568BB3" w14:textId="77777777" w:rsidR="00E47382" w:rsidRPr="003B7F3B" w:rsidRDefault="00E47382" w:rsidP="00E47382">
            <w:pPr>
              <w:jc w:val="both"/>
              <w:rPr>
                <w:rFonts w:ascii="David" w:hAnsi="David"/>
              </w:rPr>
            </w:pPr>
          </w:p>
        </w:tc>
      </w:tr>
      <w:tr w:rsidR="00E47382" w:rsidRPr="003B7F3B" w14:paraId="460F77FE" w14:textId="77777777" w:rsidTr="00E47382">
        <w:trPr>
          <w:trHeight w:val="355"/>
          <w:jc w:val="center"/>
        </w:trPr>
        <w:tc>
          <w:tcPr>
            <w:tcW w:w="923" w:type="dxa"/>
            <w:tcBorders>
              <w:top w:val="nil"/>
              <w:left w:val="nil"/>
              <w:bottom w:val="nil"/>
              <w:right w:val="nil"/>
            </w:tcBorders>
            <w:shd w:val="clear" w:color="auto" w:fill="auto"/>
          </w:tcPr>
          <w:p w14:paraId="56424867" w14:textId="77777777" w:rsidR="00E47382" w:rsidRPr="003B7F3B" w:rsidRDefault="00E47382" w:rsidP="00E47382">
            <w:pPr>
              <w:jc w:val="both"/>
              <w:rPr>
                <w:rFonts w:ascii="David" w:hAnsi="David"/>
              </w:rPr>
            </w:pPr>
            <w:bookmarkStart w:id="1" w:name="FirstAppellant"/>
            <w:r w:rsidRPr="003B7F3B">
              <w:rPr>
                <w:rFonts w:ascii="David" w:hAnsi="David"/>
                <w:rtl/>
              </w:rPr>
              <w:t>בעניין:</w:t>
            </w:r>
          </w:p>
        </w:tc>
        <w:tc>
          <w:tcPr>
            <w:tcW w:w="3219" w:type="dxa"/>
            <w:tcBorders>
              <w:top w:val="nil"/>
              <w:left w:val="nil"/>
              <w:bottom w:val="nil"/>
              <w:right w:val="nil"/>
            </w:tcBorders>
            <w:shd w:val="clear" w:color="auto" w:fill="auto"/>
          </w:tcPr>
          <w:p w14:paraId="47E0815E" w14:textId="77777777" w:rsidR="00E47382" w:rsidRPr="003B7F3B" w:rsidRDefault="00E47382" w:rsidP="00E47382">
            <w:pPr>
              <w:suppressLineNumbers/>
            </w:pPr>
            <w:r w:rsidRPr="003B7F3B">
              <w:rPr>
                <w:rFonts w:ascii="Arial" w:hAnsi="Arial" w:hint="cs"/>
                <w:b/>
                <w:bCs/>
                <w:rtl/>
              </w:rPr>
              <w:t>ה</w:t>
            </w:r>
            <w:r w:rsidRPr="003B7F3B">
              <w:rPr>
                <w:rFonts w:ascii="Arial" w:hAnsi="Arial"/>
                <w:b/>
                <w:bCs/>
                <w:rtl/>
              </w:rPr>
              <w:t>מאשימה</w:t>
            </w:r>
          </w:p>
          <w:p w14:paraId="0ACFC6D9" w14:textId="77777777" w:rsidR="00E47382" w:rsidRPr="003B7F3B" w:rsidRDefault="00E47382" w:rsidP="001C7BB5">
            <w:pPr>
              <w:rPr>
                <w:rFonts w:ascii="David" w:hAnsi="David"/>
              </w:rPr>
            </w:pPr>
          </w:p>
        </w:tc>
        <w:tc>
          <w:tcPr>
            <w:tcW w:w="4678" w:type="dxa"/>
            <w:tcBorders>
              <w:top w:val="nil"/>
              <w:left w:val="nil"/>
              <w:bottom w:val="nil"/>
              <w:right w:val="nil"/>
            </w:tcBorders>
            <w:shd w:val="clear" w:color="auto" w:fill="auto"/>
            <w:vAlign w:val="center"/>
          </w:tcPr>
          <w:p w14:paraId="600C222F" w14:textId="77777777" w:rsidR="00E47382" w:rsidRPr="003B7F3B" w:rsidRDefault="00E47382" w:rsidP="00E47382">
            <w:pPr>
              <w:suppressLineNumbers/>
              <w:rPr>
                <w:rFonts w:ascii="Arial" w:hAnsi="Arial"/>
                <w:b/>
                <w:bCs/>
                <w:rtl/>
              </w:rPr>
            </w:pPr>
            <w:r w:rsidRPr="003B7F3B">
              <w:rPr>
                <w:rFonts w:ascii="Arial" w:hAnsi="Arial"/>
                <w:b/>
                <w:bCs/>
                <w:rtl/>
              </w:rPr>
              <w:t>מדינת ישראל</w:t>
            </w:r>
            <w:r w:rsidRPr="003B7F3B">
              <w:rPr>
                <w:rFonts w:ascii="Arial" w:hAnsi="Arial" w:hint="cs"/>
                <w:b/>
                <w:bCs/>
                <w:rtl/>
              </w:rPr>
              <w:t xml:space="preserve"> </w:t>
            </w:r>
          </w:p>
          <w:p w14:paraId="4C885D7C" w14:textId="77777777" w:rsidR="00E47382" w:rsidRPr="003B7F3B" w:rsidRDefault="00E47382" w:rsidP="00E47382">
            <w:pPr>
              <w:suppressLineNumbers/>
            </w:pPr>
            <w:r w:rsidRPr="003B7F3B">
              <w:rPr>
                <w:rFonts w:ascii="Arial" w:hAnsi="Arial" w:hint="cs"/>
                <w:rtl/>
              </w:rPr>
              <w:t>באמצעות פרקליטות מחוז ירושלים</w:t>
            </w:r>
          </w:p>
          <w:p w14:paraId="267733EB" w14:textId="77777777" w:rsidR="00E47382" w:rsidRPr="003B7F3B" w:rsidRDefault="00E47382" w:rsidP="001C7BB5">
            <w:pPr>
              <w:rPr>
                <w:rFonts w:ascii="David" w:hAnsi="David"/>
              </w:rPr>
            </w:pPr>
          </w:p>
        </w:tc>
      </w:tr>
      <w:bookmarkEnd w:id="1"/>
      <w:tr w:rsidR="00E47382" w:rsidRPr="003B7F3B" w14:paraId="3C83253A" w14:textId="77777777" w:rsidTr="00E47382">
        <w:trPr>
          <w:trHeight w:val="355"/>
          <w:jc w:val="center"/>
        </w:trPr>
        <w:tc>
          <w:tcPr>
            <w:tcW w:w="923" w:type="dxa"/>
            <w:tcBorders>
              <w:top w:val="nil"/>
              <w:left w:val="nil"/>
              <w:bottom w:val="nil"/>
              <w:right w:val="nil"/>
            </w:tcBorders>
            <w:shd w:val="clear" w:color="auto" w:fill="auto"/>
          </w:tcPr>
          <w:p w14:paraId="5A7B18E6" w14:textId="77777777" w:rsidR="00E47382" w:rsidRPr="003B7F3B" w:rsidRDefault="00E47382" w:rsidP="00E47382">
            <w:pPr>
              <w:jc w:val="both"/>
              <w:rPr>
                <w:rFonts w:ascii="David" w:hAnsi="David"/>
                <w:rtl/>
              </w:rPr>
            </w:pPr>
          </w:p>
        </w:tc>
        <w:tc>
          <w:tcPr>
            <w:tcW w:w="7897" w:type="dxa"/>
            <w:gridSpan w:val="2"/>
            <w:tcBorders>
              <w:top w:val="nil"/>
              <w:left w:val="nil"/>
              <w:bottom w:val="nil"/>
              <w:right w:val="nil"/>
            </w:tcBorders>
            <w:shd w:val="clear" w:color="auto" w:fill="auto"/>
          </w:tcPr>
          <w:p w14:paraId="3F77104A" w14:textId="77777777" w:rsidR="00E47382" w:rsidRPr="003B7F3B" w:rsidRDefault="00E47382" w:rsidP="00E47382">
            <w:pPr>
              <w:jc w:val="center"/>
              <w:rPr>
                <w:rFonts w:ascii="David" w:hAnsi="David"/>
                <w:b/>
                <w:bCs/>
                <w:rtl/>
              </w:rPr>
            </w:pPr>
          </w:p>
          <w:p w14:paraId="55B8AD77" w14:textId="77777777" w:rsidR="00E47382" w:rsidRPr="003B7F3B" w:rsidRDefault="00E47382" w:rsidP="00E47382">
            <w:pPr>
              <w:jc w:val="center"/>
              <w:rPr>
                <w:rFonts w:ascii="David" w:hAnsi="David"/>
                <w:b/>
                <w:bCs/>
                <w:rtl/>
              </w:rPr>
            </w:pPr>
            <w:r w:rsidRPr="003B7F3B">
              <w:rPr>
                <w:rFonts w:ascii="David" w:hAnsi="David"/>
                <w:b/>
                <w:bCs/>
                <w:rtl/>
              </w:rPr>
              <w:t>נגד</w:t>
            </w:r>
          </w:p>
          <w:p w14:paraId="28E38C1E" w14:textId="77777777" w:rsidR="00E47382" w:rsidRPr="003B7F3B" w:rsidRDefault="00E47382" w:rsidP="00E47382">
            <w:pPr>
              <w:jc w:val="both"/>
              <w:rPr>
                <w:rFonts w:ascii="David" w:hAnsi="David"/>
              </w:rPr>
            </w:pPr>
          </w:p>
        </w:tc>
      </w:tr>
      <w:tr w:rsidR="00E47382" w:rsidRPr="003B7F3B" w14:paraId="2BE65EBB" w14:textId="77777777" w:rsidTr="00E47382">
        <w:trPr>
          <w:trHeight w:val="355"/>
          <w:jc w:val="center"/>
        </w:trPr>
        <w:tc>
          <w:tcPr>
            <w:tcW w:w="923" w:type="dxa"/>
            <w:tcBorders>
              <w:top w:val="nil"/>
              <w:left w:val="nil"/>
              <w:bottom w:val="nil"/>
              <w:right w:val="nil"/>
            </w:tcBorders>
            <w:shd w:val="clear" w:color="auto" w:fill="auto"/>
          </w:tcPr>
          <w:p w14:paraId="0E38031B" w14:textId="77777777" w:rsidR="00E47382" w:rsidRPr="003B7F3B" w:rsidRDefault="00E47382" w:rsidP="001C7BB5">
            <w:pPr>
              <w:rPr>
                <w:rFonts w:ascii="David" w:hAnsi="David"/>
                <w:rtl/>
              </w:rPr>
            </w:pPr>
            <w:bookmarkStart w:id="2" w:name="FirstLawyer"/>
          </w:p>
        </w:tc>
        <w:tc>
          <w:tcPr>
            <w:tcW w:w="3219" w:type="dxa"/>
            <w:tcBorders>
              <w:top w:val="nil"/>
              <w:left w:val="nil"/>
              <w:bottom w:val="nil"/>
              <w:right w:val="nil"/>
            </w:tcBorders>
            <w:shd w:val="clear" w:color="auto" w:fill="auto"/>
          </w:tcPr>
          <w:p w14:paraId="15DBDEE7" w14:textId="77777777" w:rsidR="00E47382" w:rsidRPr="003B7F3B" w:rsidRDefault="00E47382" w:rsidP="001C7BB5">
            <w:pPr>
              <w:rPr>
                <w:rFonts w:ascii="Arial" w:hAnsi="Arial"/>
                <w:b/>
                <w:bCs/>
                <w:rtl/>
              </w:rPr>
            </w:pPr>
            <w:r w:rsidRPr="003B7F3B">
              <w:rPr>
                <w:rFonts w:ascii="Arial" w:hAnsi="Arial"/>
                <w:b/>
                <w:bCs/>
                <w:rtl/>
              </w:rPr>
              <w:t>הנאשם</w:t>
            </w:r>
          </w:p>
        </w:tc>
        <w:tc>
          <w:tcPr>
            <w:tcW w:w="4678" w:type="dxa"/>
            <w:tcBorders>
              <w:top w:val="nil"/>
              <w:left w:val="nil"/>
              <w:bottom w:val="nil"/>
              <w:right w:val="nil"/>
            </w:tcBorders>
            <w:shd w:val="clear" w:color="auto" w:fill="auto"/>
            <w:vAlign w:val="center"/>
          </w:tcPr>
          <w:p w14:paraId="2F031152" w14:textId="77777777" w:rsidR="00E47382" w:rsidRPr="003B7F3B" w:rsidRDefault="00E47382" w:rsidP="00E47382">
            <w:pPr>
              <w:suppressLineNumbers/>
              <w:rPr>
                <w:rFonts w:ascii="Arial" w:hAnsi="Arial"/>
                <w:b/>
                <w:bCs/>
                <w:rtl/>
              </w:rPr>
            </w:pPr>
            <w:r w:rsidRPr="003B7F3B">
              <w:rPr>
                <w:rFonts w:ascii="Arial" w:hAnsi="Arial"/>
                <w:b/>
                <w:bCs/>
                <w:rtl/>
              </w:rPr>
              <w:t>אל אמין גנידה (עציר)</w:t>
            </w:r>
            <w:r w:rsidRPr="003B7F3B">
              <w:rPr>
                <w:rFonts w:ascii="Arial" w:hAnsi="Arial" w:hint="cs"/>
                <w:b/>
                <w:bCs/>
                <w:rtl/>
              </w:rPr>
              <w:t xml:space="preserve"> </w:t>
            </w:r>
          </w:p>
          <w:p w14:paraId="23BC429E" w14:textId="77777777" w:rsidR="00E47382" w:rsidRPr="003B7F3B" w:rsidRDefault="00E47382" w:rsidP="00E47382">
            <w:pPr>
              <w:suppressLineNumbers/>
            </w:pPr>
            <w:r w:rsidRPr="003B7F3B">
              <w:rPr>
                <w:rFonts w:ascii="Arial" w:hAnsi="Arial"/>
                <w:rtl/>
              </w:rPr>
              <w:t>ע"י ב"כ עוה"ד</w:t>
            </w:r>
            <w:r w:rsidRPr="003B7F3B">
              <w:rPr>
                <w:rFonts w:ascii="Arial" w:hAnsi="Arial" w:hint="cs"/>
                <w:rtl/>
              </w:rPr>
              <w:t xml:space="preserve"> מוחמד חלייאלה </w:t>
            </w:r>
          </w:p>
          <w:p w14:paraId="08547A59" w14:textId="77777777" w:rsidR="00E47382" w:rsidRPr="003B7F3B" w:rsidRDefault="00E47382" w:rsidP="001C7BB5">
            <w:pPr>
              <w:rPr>
                <w:rFonts w:ascii="David" w:hAnsi="David"/>
              </w:rPr>
            </w:pPr>
          </w:p>
        </w:tc>
      </w:tr>
      <w:bookmarkEnd w:id="2"/>
    </w:tbl>
    <w:p w14:paraId="3FCD00D4" w14:textId="77777777" w:rsidR="003B7F3B" w:rsidRPr="003B7F3B" w:rsidRDefault="003B7F3B" w:rsidP="003B7F3B">
      <w:pPr>
        <w:spacing w:before="120" w:after="120" w:line="240" w:lineRule="exact"/>
        <w:ind w:left="283" w:hanging="283"/>
        <w:jc w:val="both"/>
        <w:rPr>
          <w:rFonts w:ascii="FrankRuehl" w:hAnsi="FrankRuehl" w:cs="FrankRuehl"/>
          <w:rtl/>
        </w:rPr>
      </w:pPr>
    </w:p>
    <w:p w14:paraId="36A59723" w14:textId="77777777" w:rsidR="003B7F3B" w:rsidRPr="003B7F3B" w:rsidRDefault="003B7F3B" w:rsidP="003B7F3B">
      <w:pPr>
        <w:rPr>
          <w:sz w:val="26"/>
          <w:szCs w:val="26"/>
          <w:rtl/>
        </w:rPr>
      </w:pPr>
    </w:p>
    <w:p w14:paraId="09A3F68E" w14:textId="77777777" w:rsidR="00153F6E" w:rsidRPr="00153F6E" w:rsidRDefault="00153F6E" w:rsidP="00153F6E">
      <w:pPr>
        <w:spacing w:before="120" w:after="120" w:line="240" w:lineRule="exact"/>
        <w:ind w:left="283" w:hanging="283"/>
        <w:jc w:val="both"/>
        <w:rPr>
          <w:rFonts w:ascii="FrankRuehl" w:hAnsi="FrankRuehl" w:cs="FrankRuehl"/>
          <w:rtl/>
        </w:rPr>
      </w:pPr>
      <w:bookmarkStart w:id="3" w:name="LawTable"/>
      <w:bookmarkEnd w:id="3"/>
    </w:p>
    <w:p w14:paraId="72365B15" w14:textId="77777777" w:rsidR="00153F6E" w:rsidRPr="00153F6E" w:rsidRDefault="00153F6E" w:rsidP="00153F6E">
      <w:pPr>
        <w:spacing w:before="120" w:after="120" w:line="240" w:lineRule="exact"/>
        <w:ind w:left="283" w:hanging="283"/>
        <w:jc w:val="both"/>
        <w:rPr>
          <w:rFonts w:ascii="FrankRuehl" w:hAnsi="FrankRuehl" w:cs="FrankRuehl"/>
          <w:rtl/>
        </w:rPr>
      </w:pPr>
      <w:r w:rsidRPr="00153F6E">
        <w:rPr>
          <w:rFonts w:ascii="FrankRuehl" w:hAnsi="FrankRuehl" w:cs="FrankRuehl"/>
          <w:rtl/>
        </w:rPr>
        <w:t xml:space="preserve">חקיקה שאוזכרה: </w:t>
      </w:r>
    </w:p>
    <w:p w14:paraId="2A5128FF" w14:textId="77777777" w:rsidR="00153F6E" w:rsidRPr="00153F6E" w:rsidRDefault="00153F6E" w:rsidP="00153F6E">
      <w:pPr>
        <w:spacing w:before="120" w:after="120" w:line="240" w:lineRule="exact"/>
        <w:ind w:left="283" w:hanging="283"/>
        <w:jc w:val="both"/>
        <w:rPr>
          <w:rFonts w:ascii="FrankRuehl" w:hAnsi="FrankRuehl" w:cs="FrankRuehl"/>
          <w:color w:val="0000FF"/>
          <w:rtl/>
        </w:rPr>
      </w:pPr>
      <w:hyperlink r:id="rId7" w:history="1">
        <w:r w:rsidRPr="00153F6E">
          <w:rPr>
            <w:rStyle w:val="Hyperlink"/>
            <w:rFonts w:ascii="FrankRuehl" w:hAnsi="FrankRuehl" w:cs="FrankRuehl"/>
            <w:u w:val="none"/>
            <w:rtl/>
          </w:rPr>
          <w:t>חוק העונשין, תשל"ז-1977</w:t>
        </w:r>
      </w:hyperlink>
      <w:r w:rsidRPr="00153F6E">
        <w:rPr>
          <w:rFonts w:ascii="FrankRuehl" w:hAnsi="FrankRuehl" w:cs="FrankRuehl"/>
          <w:color w:val="0000FF"/>
          <w:rtl/>
        </w:rPr>
        <w:t xml:space="preserve">: סע'  </w:t>
      </w:r>
      <w:hyperlink r:id="rId8" w:history="1">
        <w:r w:rsidRPr="00153F6E">
          <w:rPr>
            <w:rStyle w:val="Hyperlink"/>
            <w:rFonts w:ascii="FrankRuehl" w:hAnsi="FrankRuehl" w:cs="FrankRuehl"/>
            <w:u w:val="none"/>
          </w:rPr>
          <w:t>144</w:t>
        </w:r>
      </w:hyperlink>
      <w:r w:rsidRPr="00153F6E">
        <w:rPr>
          <w:rFonts w:ascii="FrankRuehl" w:hAnsi="FrankRuehl" w:cs="FrankRuehl"/>
          <w:color w:val="0000FF"/>
          <w:rtl/>
        </w:rPr>
        <w:t>(א)</w:t>
      </w:r>
    </w:p>
    <w:p w14:paraId="069E7590" w14:textId="77777777" w:rsidR="00E47382" w:rsidRPr="00153F6E" w:rsidRDefault="00E47382" w:rsidP="00153F6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7382" w14:paraId="4209877E" w14:textId="77777777" w:rsidTr="00E47382">
        <w:trPr>
          <w:trHeight w:val="355"/>
          <w:jc w:val="center"/>
        </w:trPr>
        <w:tc>
          <w:tcPr>
            <w:tcW w:w="8820" w:type="dxa"/>
            <w:tcBorders>
              <w:top w:val="nil"/>
              <w:left w:val="nil"/>
              <w:bottom w:val="nil"/>
              <w:right w:val="nil"/>
            </w:tcBorders>
            <w:shd w:val="clear" w:color="auto" w:fill="auto"/>
          </w:tcPr>
          <w:p w14:paraId="0810CE43" w14:textId="77777777" w:rsidR="003B7F3B" w:rsidRPr="003B7F3B" w:rsidRDefault="003B7F3B" w:rsidP="003B7F3B">
            <w:pPr>
              <w:jc w:val="center"/>
              <w:rPr>
                <w:rFonts w:ascii="David" w:hAnsi="David"/>
                <w:b/>
                <w:bCs/>
                <w:u w:val="single"/>
                <w:rtl/>
              </w:rPr>
            </w:pPr>
            <w:bookmarkStart w:id="5" w:name="PsakDin" w:colFirst="0" w:colLast="0"/>
            <w:bookmarkEnd w:id="0"/>
            <w:r w:rsidRPr="003B7F3B">
              <w:rPr>
                <w:rFonts w:ascii="David" w:hAnsi="David"/>
                <w:b/>
                <w:bCs/>
                <w:u w:val="single"/>
                <w:rtl/>
              </w:rPr>
              <w:t>גזר דין</w:t>
            </w:r>
          </w:p>
          <w:p w14:paraId="07C5959E" w14:textId="77777777" w:rsidR="00E47382" w:rsidRPr="003B7F3B" w:rsidRDefault="00E47382" w:rsidP="003B7F3B">
            <w:pPr>
              <w:jc w:val="center"/>
              <w:rPr>
                <w:rFonts w:ascii="David" w:hAnsi="David"/>
                <w:bCs/>
                <w:u w:val="single"/>
                <w:rtl/>
              </w:rPr>
            </w:pPr>
          </w:p>
        </w:tc>
      </w:tr>
      <w:bookmarkEnd w:id="5"/>
    </w:tbl>
    <w:p w14:paraId="029FD65A" w14:textId="77777777" w:rsidR="00E47382" w:rsidRPr="0021509E" w:rsidRDefault="00E47382" w:rsidP="00E47382">
      <w:pPr>
        <w:rPr>
          <w:rFonts w:ascii="Arial" w:hAnsi="Arial"/>
          <w:rtl/>
        </w:rPr>
      </w:pPr>
    </w:p>
    <w:p w14:paraId="48EEEB8C" w14:textId="77777777" w:rsidR="00E47382" w:rsidRPr="005354D9" w:rsidRDefault="00E47382" w:rsidP="00E47382">
      <w:pPr>
        <w:spacing w:line="360" w:lineRule="auto"/>
        <w:ind w:firstLine="720"/>
        <w:jc w:val="both"/>
        <w:rPr>
          <w:rFonts w:ascii="David" w:hAnsi="David"/>
          <w:b/>
          <w:bCs/>
        </w:rPr>
      </w:pPr>
      <w:r w:rsidRPr="005354D9">
        <w:rPr>
          <w:rFonts w:ascii="David" w:hAnsi="David" w:hint="cs"/>
          <w:b/>
          <w:bCs/>
          <w:u w:val="single"/>
          <w:rtl/>
        </w:rPr>
        <w:t>כתב האישום</w:t>
      </w:r>
      <w:r w:rsidRPr="005354D9">
        <w:rPr>
          <w:rFonts w:ascii="David" w:hAnsi="David" w:hint="cs"/>
          <w:b/>
          <w:bCs/>
          <w:rtl/>
        </w:rPr>
        <w:t>:</w:t>
      </w:r>
    </w:p>
    <w:p w14:paraId="10CF4430" w14:textId="77777777" w:rsidR="00E47382" w:rsidRPr="00683B4A" w:rsidRDefault="00E47382" w:rsidP="00E47382">
      <w:pPr>
        <w:pStyle w:val="a9"/>
        <w:numPr>
          <w:ilvl w:val="0"/>
          <w:numId w:val="1"/>
        </w:numPr>
        <w:spacing w:line="360" w:lineRule="auto"/>
        <w:jc w:val="both"/>
        <w:rPr>
          <w:rFonts w:ascii="David" w:hAnsi="David"/>
        </w:rPr>
      </w:pPr>
      <w:bookmarkStart w:id="6" w:name="ABSTRACT_START"/>
      <w:bookmarkEnd w:id="6"/>
      <w:r w:rsidRPr="00683B4A">
        <w:rPr>
          <w:rFonts w:ascii="David" w:hAnsi="David"/>
          <w:rtl/>
        </w:rPr>
        <w:t xml:space="preserve">הנאשם הורשע על פי הודאתו, בעבירה של החזקת נשק ואביזר של נשק, לפי סעיף </w:t>
      </w:r>
      <w:hyperlink r:id="rId9" w:history="1">
        <w:r w:rsidR="00153F6E" w:rsidRPr="00153F6E">
          <w:rPr>
            <w:rStyle w:val="Hyperlink"/>
            <w:rFonts w:ascii="David" w:hAnsi="David"/>
            <w:color w:val="0000FF"/>
            <w:rtl/>
          </w:rPr>
          <w:t>144(א)</w:t>
        </w:r>
      </w:hyperlink>
      <w:r w:rsidRPr="00683B4A">
        <w:rPr>
          <w:rFonts w:ascii="David" w:hAnsi="David"/>
          <w:rtl/>
        </w:rPr>
        <w:t>רישא בצירוף סיפא ל</w:t>
      </w:r>
      <w:hyperlink r:id="rId10" w:history="1">
        <w:r w:rsidR="003B7F3B" w:rsidRPr="003B7F3B">
          <w:rPr>
            <w:rFonts w:ascii="David" w:hAnsi="David"/>
            <w:color w:val="0000FF"/>
            <w:u w:val="single"/>
            <w:rtl/>
          </w:rPr>
          <w:t>חוק העונשין</w:t>
        </w:r>
      </w:hyperlink>
      <w:r w:rsidRPr="00683B4A">
        <w:rPr>
          <w:rFonts w:ascii="David" w:hAnsi="David"/>
          <w:rtl/>
        </w:rPr>
        <w:t>, תשל"ז 1977.</w:t>
      </w:r>
    </w:p>
    <w:p w14:paraId="7A77A63F" w14:textId="77777777" w:rsidR="00E47382" w:rsidRPr="00683B4A" w:rsidRDefault="00E47382" w:rsidP="00E47382">
      <w:pPr>
        <w:pStyle w:val="a9"/>
        <w:numPr>
          <w:ilvl w:val="0"/>
          <w:numId w:val="1"/>
        </w:numPr>
        <w:spacing w:line="360" w:lineRule="auto"/>
        <w:jc w:val="both"/>
        <w:rPr>
          <w:rFonts w:ascii="David" w:hAnsi="David"/>
          <w:rtl/>
        </w:rPr>
      </w:pPr>
      <w:r w:rsidRPr="00683B4A">
        <w:rPr>
          <w:rFonts w:ascii="David" w:hAnsi="David"/>
          <w:rtl/>
        </w:rPr>
        <w:t xml:space="preserve">על פי הנטען בכתב האישום, ממועד שאינו ידוע במדויק למאשימה ועד ליום 19.3.2023, החזיק הנאשם בביתו נשק דמוי רובה סער </w:t>
      </w:r>
      <w:r w:rsidRPr="00256B77">
        <w:rPr>
          <w:rFonts w:ascii="David" w:hAnsi="David"/>
          <w:sz w:val="22"/>
          <w:szCs w:val="22"/>
        </w:rPr>
        <w:t>M16</w:t>
      </w:r>
      <w:r w:rsidRPr="00683B4A">
        <w:rPr>
          <w:rFonts w:ascii="David" w:hAnsi="David"/>
          <w:rtl/>
        </w:rPr>
        <w:t xml:space="preserve"> תקני שהוסב לירי תחמושת בקליבר </w:t>
      </w:r>
      <w:r w:rsidRPr="00683B4A">
        <w:rPr>
          <w:rFonts w:ascii="David" w:hAnsi="David"/>
        </w:rPr>
        <w:t>x 45 5.56</w:t>
      </w:r>
      <w:r w:rsidRPr="00683B4A">
        <w:rPr>
          <w:rFonts w:ascii="David" w:hAnsi="David"/>
          <w:rtl/>
        </w:rPr>
        <w:t xml:space="preserve"> שהכיל מכלול של רובה </w:t>
      </w:r>
      <w:r w:rsidRPr="00683B4A">
        <w:rPr>
          <w:rFonts w:ascii="David" w:hAnsi="David"/>
        </w:rPr>
        <w:t>M16</w:t>
      </w:r>
      <w:r w:rsidRPr="00683B4A">
        <w:rPr>
          <w:rFonts w:ascii="David" w:hAnsi="David"/>
          <w:rtl/>
        </w:rPr>
        <w:t xml:space="preserve"> תקני, יורה שבכוחו להמית אדם וכן במחסנית ריקה.  </w:t>
      </w:r>
      <w:bookmarkStart w:id="7" w:name="ABSTRACT_END"/>
      <w:bookmarkEnd w:id="7"/>
    </w:p>
    <w:p w14:paraId="5B31C3A9" w14:textId="77777777" w:rsidR="00E47382" w:rsidRPr="005354D9" w:rsidRDefault="00E47382" w:rsidP="00E47382">
      <w:pPr>
        <w:spacing w:line="360" w:lineRule="auto"/>
        <w:ind w:firstLine="720"/>
        <w:jc w:val="both"/>
        <w:rPr>
          <w:rFonts w:ascii="David" w:hAnsi="David"/>
          <w:b/>
          <w:bCs/>
        </w:rPr>
      </w:pPr>
      <w:r w:rsidRPr="005354D9">
        <w:rPr>
          <w:rFonts w:ascii="David" w:hAnsi="David" w:hint="cs"/>
          <w:b/>
          <w:bCs/>
          <w:u w:val="single"/>
          <w:rtl/>
        </w:rPr>
        <w:t>תמצית טיעוני הצדדים</w:t>
      </w:r>
      <w:r w:rsidRPr="005354D9">
        <w:rPr>
          <w:rFonts w:ascii="David" w:hAnsi="David" w:hint="cs"/>
          <w:b/>
          <w:bCs/>
          <w:rtl/>
        </w:rPr>
        <w:t>:</w:t>
      </w:r>
    </w:p>
    <w:p w14:paraId="1F2BFF24" w14:textId="77777777" w:rsidR="00E47382" w:rsidRPr="00683B4A" w:rsidRDefault="00E47382" w:rsidP="00E47382">
      <w:pPr>
        <w:pStyle w:val="a9"/>
        <w:numPr>
          <w:ilvl w:val="0"/>
          <w:numId w:val="1"/>
        </w:numPr>
        <w:spacing w:line="360" w:lineRule="auto"/>
        <w:jc w:val="both"/>
        <w:rPr>
          <w:rFonts w:ascii="David" w:hAnsi="David"/>
        </w:rPr>
      </w:pPr>
      <w:r w:rsidRPr="00683B4A">
        <w:rPr>
          <w:rFonts w:ascii="David" w:hAnsi="David"/>
          <w:rtl/>
        </w:rPr>
        <w:t>ב"כ המאשימה ציינה בטיעוניה</w:t>
      </w:r>
      <w:r>
        <w:rPr>
          <w:rFonts w:ascii="David" w:hAnsi="David" w:hint="cs"/>
          <w:rtl/>
        </w:rPr>
        <w:t>,</w:t>
      </w:r>
      <w:r w:rsidRPr="00683B4A">
        <w:rPr>
          <w:rFonts w:ascii="David" w:hAnsi="David"/>
          <w:rtl/>
        </w:rPr>
        <w:t xml:space="preserve"> כי המדובר בנשק שהוסב לנשק תקני שבכוחו היה להמית אדם. צוין, כי הערך המוגן בעבירות מסוג זה, אף שלא נעשה בנשק שימוש, הינו שלום הציבור וביטחונו. המאשימה הפנתה למספר פסקי דין בהם נקבעו מתחמי ענישה שבין 18 חודשים ועד 42 חודשים</w:t>
      </w:r>
      <w:r>
        <w:rPr>
          <w:rFonts w:ascii="David" w:hAnsi="David" w:hint="cs"/>
          <w:rtl/>
        </w:rPr>
        <w:t xml:space="preserve">. </w:t>
      </w:r>
      <w:r w:rsidRPr="00683B4A">
        <w:rPr>
          <w:rFonts w:ascii="David" w:hAnsi="David"/>
          <w:rtl/>
        </w:rPr>
        <w:t>בענייננו</w:t>
      </w:r>
      <w:r>
        <w:rPr>
          <w:rFonts w:ascii="David" w:hAnsi="David" w:hint="cs"/>
          <w:rtl/>
        </w:rPr>
        <w:t>, נ</w:t>
      </w:r>
      <w:r w:rsidRPr="00683B4A">
        <w:rPr>
          <w:rFonts w:ascii="David" w:hAnsi="David"/>
          <w:rtl/>
        </w:rPr>
        <w:t xml:space="preserve">וכח משך תקופת ההחזקה בנשק, וכן העובדה כי המדובר ברובה </w:t>
      </w:r>
      <w:r>
        <w:rPr>
          <w:rFonts w:ascii="David" w:hAnsi="David" w:hint="cs"/>
          <w:rtl/>
        </w:rPr>
        <w:t xml:space="preserve">סער </w:t>
      </w:r>
      <w:r w:rsidRPr="00683B4A">
        <w:rPr>
          <w:rFonts w:ascii="David" w:hAnsi="David"/>
          <w:rtl/>
        </w:rPr>
        <w:t>שהוסב ל-</w:t>
      </w:r>
      <w:r w:rsidRPr="00683B4A">
        <w:rPr>
          <w:rFonts w:ascii="David" w:hAnsi="David"/>
        </w:rPr>
        <w:t>M16</w:t>
      </w:r>
      <w:r w:rsidRPr="00683B4A">
        <w:rPr>
          <w:rFonts w:ascii="David" w:hAnsi="David"/>
          <w:rtl/>
        </w:rPr>
        <w:t xml:space="preserve"> </w:t>
      </w:r>
      <w:r>
        <w:rPr>
          <w:rFonts w:ascii="David" w:hAnsi="David" w:hint="cs"/>
          <w:rtl/>
        </w:rPr>
        <w:t xml:space="preserve">ביקשה </w:t>
      </w:r>
      <w:r w:rsidRPr="00683B4A">
        <w:rPr>
          <w:rFonts w:ascii="David" w:hAnsi="David"/>
          <w:rtl/>
        </w:rPr>
        <w:t xml:space="preserve">לקבוע את המתחם החל מ-24 חודשים ועד 48 חודשים. </w:t>
      </w:r>
      <w:r>
        <w:rPr>
          <w:rFonts w:ascii="David" w:hAnsi="David" w:hint="cs"/>
          <w:rtl/>
        </w:rPr>
        <w:t xml:space="preserve">לזכות הנאשם ביקשה לזקוף את הודאתו והחיסכון בזמן שיפוטי, ולחובתו את </w:t>
      </w:r>
      <w:r w:rsidRPr="00683B4A">
        <w:rPr>
          <w:rFonts w:ascii="David" w:hAnsi="David"/>
          <w:rtl/>
        </w:rPr>
        <w:t>רישומו הפלילי</w:t>
      </w:r>
      <w:r>
        <w:rPr>
          <w:rFonts w:ascii="David" w:hAnsi="David" w:hint="cs"/>
          <w:rtl/>
        </w:rPr>
        <w:t xml:space="preserve">, ולהטיל עליו </w:t>
      </w:r>
      <w:r w:rsidRPr="00683B4A">
        <w:rPr>
          <w:rFonts w:ascii="David" w:hAnsi="David"/>
          <w:rtl/>
        </w:rPr>
        <w:t>30 חודשי מאסר לצד ענישה נלווית.</w:t>
      </w:r>
    </w:p>
    <w:p w14:paraId="75E7CC43" w14:textId="77777777" w:rsidR="00E47382" w:rsidRPr="00683B4A" w:rsidRDefault="00E47382" w:rsidP="00E47382">
      <w:pPr>
        <w:pStyle w:val="a9"/>
        <w:numPr>
          <w:ilvl w:val="0"/>
          <w:numId w:val="1"/>
        </w:numPr>
        <w:spacing w:line="360" w:lineRule="auto"/>
        <w:jc w:val="both"/>
        <w:rPr>
          <w:rFonts w:ascii="David" w:hAnsi="David"/>
        </w:rPr>
      </w:pPr>
      <w:r w:rsidRPr="00683B4A">
        <w:rPr>
          <w:rFonts w:ascii="David" w:hAnsi="David"/>
          <w:rtl/>
        </w:rPr>
        <w:lastRenderedPageBreak/>
        <w:t>ההגנה ציינה</w:t>
      </w:r>
      <w:r>
        <w:rPr>
          <w:rFonts w:ascii="David" w:hAnsi="David" w:hint="cs"/>
          <w:rtl/>
        </w:rPr>
        <w:t>,</w:t>
      </w:r>
      <w:r w:rsidRPr="00683B4A">
        <w:rPr>
          <w:rFonts w:ascii="David" w:hAnsi="David"/>
          <w:rtl/>
        </w:rPr>
        <w:t xml:space="preserve"> כי בהתאם לתשוב</w:t>
      </w:r>
      <w:r>
        <w:rPr>
          <w:rFonts w:ascii="David" w:hAnsi="David" w:hint="cs"/>
          <w:rtl/>
        </w:rPr>
        <w:t xml:space="preserve">ת הנאשם </w:t>
      </w:r>
      <w:r w:rsidRPr="00683B4A">
        <w:rPr>
          <w:rFonts w:ascii="David" w:hAnsi="David"/>
          <w:rtl/>
        </w:rPr>
        <w:t xml:space="preserve">לאישום, הנאשם מצא תיק בבניין </w:t>
      </w:r>
      <w:r>
        <w:rPr>
          <w:rFonts w:ascii="David" w:hAnsi="David" w:hint="cs"/>
          <w:rtl/>
        </w:rPr>
        <w:t xml:space="preserve">אליו הגיע, </w:t>
      </w:r>
      <w:r w:rsidRPr="00683B4A">
        <w:rPr>
          <w:rFonts w:ascii="David" w:hAnsi="David"/>
          <w:rtl/>
        </w:rPr>
        <w:t>בו הונח הרובה</w:t>
      </w:r>
      <w:r>
        <w:rPr>
          <w:rFonts w:ascii="David" w:hAnsi="David" w:hint="cs"/>
          <w:rtl/>
        </w:rPr>
        <w:t>, ו</w:t>
      </w:r>
      <w:r w:rsidRPr="00683B4A">
        <w:rPr>
          <w:rFonts w:ascii="David" w:hAnsi="David"/>
          <w:rtl/>
        </w:rPr>
        <w:t xml:space="preserve">בניגוד לנטען על ידי המאשימה, המדובר </w:t>
      </w:r>
      <w:r>
        <w:rPr>
          <w:rFonts w:ascii="David" w:hAnsi="David" w:hint="cs"/>
          <w:rtl/>
        </w:rPr>
        <w:t xml:space="preserve">היה </w:t>
      </w:r>
      <w:r w:rsidRPr="00683B4A">
        <w:rPr>
          <w:rFonts w:ascii="David" w:hAnsi="David"/>
          <w:rtl/>
        </w:rPr>
        <w:t>בהחזקה קצר</w:t>
      </w:r>
      <w:r>
        <w:rPr>
          <w:rFonts w:ascii="David" w:hAnsi="David" w:hint="cs"/>
          <w:rtl/>
        </w:rPr>
        <w:t>ת מועד</w:t>
      </w:r>
      <w:r w:rsidRPr="00683B4A">
        <w:rPr>
          <w:rFonts w:ascii="David" w:hAnsi="David"/>
          <w:rtl/>
        </w:rPr>
        <w:t>. הוסף, כי הנאשם שיתף פעולה במסגרת הליכי החקירה, הודה במעשה וחסך זמן שיפוטי. הסנגור הפנה לתוכנו החיובי של תסקיר המבחן, נסיבותיו האישיות של הנאשם</w:t>
      </w:r>
      <w:r>
        <w:rPr>
          <w:rFonts w:ascii="David" w:hAnsi="David" w:hint="cs"/>
          <w:rtl/>
        </w:rPr>
        <w:t>, ה</w:t>
      </w:r>
      <w:r w:rsidRPr="00683B4A">
        <w:rPr>
          <w:rFonts w:ascii="David" w:hAnsi="David"/>
          <w:rtl/>
        </w:rPr>
        <w:t xml:space="preserve">יותו </w:t>
      </w:r>
      <w:r>
        <w:rPr>
          <w:rFonts w:ascii="David" w:hAnsi="David" w:hint="cs"/>
          <w:rtl/>
        </w:rPr>
        <w:t xml:space="preserve">אדם </w:t>
      </w:r>
      <w:r w:rsidRPr="00683B4A">
        <w:rPr>
          <w:rFonts w:ascii="David" w:hAnsi="David"/>
          <w:rtl/>
        </w:rPr>
        <w:t>נשוי ואב ל-2 ילדים. צוין, כי אשת הנאשם בהריון כ</w:t>
      </w:r>
      <w:r>
        <w:rPr>
          <w:rFonts w:ascii="David" w:hAnsi="David" w:hint="cs"/>
          <w:rtl/>
        </w:rPr>
        <w:t xml:space="preserve">עת </w:t>
      </w:r>
      <w:r w:rsidRPr="00683B4A">
        <w:rPr>
          <w:rFonts w:ascii="David" w:hAnsi="David"/>
          <w:rtl/>
        </w:rPr>
        <w:t xml:space="preserve">ועתידה ללדת בקרוב. הסנגור ביקש לקבוע את המתחם  החל מ-9 חודשים ועד 14 חודשי מאסר, ולהסתפק </w:t>
      </w:r>
      <w:r>
        <w:rPr>
          <w:rFonts w:ascii="David" w:hAnsi="David" w:hint="cs"/>
          <w:rtl/>
        </w:rPr>
        <w:t>ב</w:t>
      </w:r>
      <w:r w:rsidRPr="00683B4A">
        <w:rPr>
          <w:rFonts w:ascii="David" w:hAnsi="David"/>
          <w:rtl/>
        </w:rPr>
        <w:t xml:space="preserve">תקופת המעצר אותה מרצה הנאשם עד כה (החל מיום 19.3.2023). </w:t>
      </w:r>
    </w:p>
    <w:p w14:paraId="58940B6B" w14:textId="77777777" w:rsidR="00E47382" w:rsidRPr="00683B4A" w:rsidRDefault="00E47382" w:rsidP="00E47382">
      <w:pPr>
        <w:pStyle w:val="a9"/>
        <w:numPr>
          <w:ilvl w:val="0"/>
          <w:numId w:val="1"/>
        </w:numPr>
        <w:spacing w:line="360" w:lineRule="auto"/>
        <w:jc w:val="both"/>
        <w:rPr>
          <w:rFonts w:ascii="David" w:hAnsi="David"/>
        </w:rPr>
      </w:pPr>
      <w:r w:rsidRPr="00683B4A">
        <w:rPr>
          <w:rFonts w:ascii="David" w:hAnsi="David"/>
          <w:rtl/>
        </w:rPr>
        <w:t>הנאשם הביע צער על המעשה ו</w:t>
      </w:r>
      <w:r>
        <w:rPr>
          <w:rFonts w:ascii="David" w:hAnsi="David" w:hint="cs"/>
          <w:rtl/>
        </w:rPr>
        <w:t>ציין,</w:t>
      </w:r>
      <w:r w:rsidRPr="00683B4A">
        <w:rPr>
          <w:rFonts w:ascii="David" w:hAnsi="David"/>
          <w:rtl/>
        </w:rPr>
        <w:t xml:space="preserve"> כי ברגע שהגיע הנשק לרשותו היה </w:t>
      </w:r>
      <w:r>
        <w:rPr>
          <w:rFonts w:ascii="David" w:hAnsi="David" w:hint="cs"/>
          <w:rtl/>
        </w:rPr>
        <w:t xml:space="preserve">עליו </w:t>
      </w:r>
      <w:r w:rsidRPr="00683B4A">
        <w:rPr>
          <w:rFonts w:ascii="David" w:hAnsi="David"/>
          <w:rtl/>
        </w:rPr>
        <w:t>ליצור קשר עם משטרת ישראל</w:t>
      </w:r>
      <w:r>
        <w:rPr>
          <w:rFonts w:ascii="David" w:hAnsi="David" w:hint="cs"/>
          <w:rtl/>
        </w:rPr>
        <w:t xml:space="preserve"> ללא דיחוי</w:t>
      </w:r>
      <w:r w:rsidRPr="00683B4A">
        <w:rPr>
          <w:rFonts w:ascii="David" w:hAnsi="David"/>
          <w:rtl/>
        </w:rPr>
        <w:t xml:space="preserve">. הנאשם הוסיף, כי שיתף פעולה עם החקירה, וכי </w:t>
      </w:r>
      <w:r>
        <w:rPr>
          <w:rFonts w:ascii="David" w:hAnsi="David" w:hint="cs"/>
          <w:rtl/>
        </w:rPr>
        <w:t xml:space="preserve">הוא </w:t>
      </w:r>
      <w:r w:rsidRPr="00683B4A">
        <w:rPr>
          <w:rFonts w:ascii="David" w:hAnsi="David"/>
          <w:rtl/>
        </w:rPr>
        <w:t>לא יחזור על המעשה.</w:t>
      </w:r>
    </w:p>
    <w:p w14:paraId="4286E30F" w14:textId="77777777" w:rsidR="00E47382" w:rsidRDefault="00E47382" w:rsidP="00E47382">
      <w:pPr>
        <w:spacing w:line="360" w:lineRule="auto"/>
        <w:ind w:firstLine="720"/>
        <w:jc w:val="both"/>
        <w:rPr>
          <w:rFonts w:ascii="David" w:hAnsi="David"/>
          <w:rtl/>
        </w:rPr>
      </w:pPr>
      <w:r w:rsidRPr="005354D9">
        <w:rPr>
          <w:rFonts w:ascii="David" w:hAnsi="David"/>
          <w:b/>
          <w:bCs/>
          <w:u w:val="single"/>
          <w:rtl/>
        </w:rPr>
        <w:t>ראיות המאשימה לעונש</w:t>
      </w:r>
      <w:r w:rsidRPr="005354D9">
        <w:rPr>
          <w:rFonts w:ascii="David" w:hAnsi="David"/>
          <w:b/>
          <w:bCs/>
          <w:rtl/>
        </w:rPr>
        <w:t xml:space="preserve">: </w:t>
      </w:r>
    </w:p>
    <w:p w14:paraId="4BC19276" w14:textId="77777777" w:rsidR="00E47382" w:rsidRPr="005354D9" w:rsidRDefault="00E47382" w:rsidP="00E47382">
      <w:pPr>
        <w:pStyle w:val="a9"/>
        <w:numPr>
          <w:ilvl w:val="0"/>
          <w:numId w:val="3"/>
        </w:numPr>
        <w:spacing w:line="360" w:lineRule="auto"/>
        <w:jc w:val="both"/>
        <w:rPr>
          <w:rFonts w:ascii="David" w:hAnsi="David"/>
        </w:rPr>
      </w:pPr>
      <w:r w:rsidRPr="005354D9">
        <w:rPr>
          <w:rFonts w:ascii="David" w:hAnsi="David"/>
          <w:rtl/>
        </w:rPr>
        <w:t>דוח מסכם חקירת מז"פ סומן א'</w:t>
      </w:r>
    </w:p>
    <w:p w14:paraId="5C1C94CE" w14:textId="77777777" w:rsidR="00E47382" w:rsidRPr="005354D9" w:rsidRDefault="00E47382" w:rsidP="00E47382">
      <w:pPr>
        <w:pStyle w:val="a9"/>
        <w:numPr>
          <w:ilvl w:val="0"/>
          <w:numId w:val="3"/>
        </w:numPr>
        <w:spacing w:line="360" w:lineRule="auto"/>
        <w:jc w:val="both"/>
        <w:rPr>
          <w:rFonts w:ascii="David" w:hAnsi="David"/>
        </w:rPr>
      </w:pPr>
      <w:r w:rsidRPr="005354D9">
        <w:rPr>
          <w:rFonts w:ascii="David" w:hAnsi="David"/>
          <w:rtl/>
        </w:rPr>
        <w:t>חוות דעת מומחה סומן ב'</w:t>
      </w:r>
    </w:p>
    <w:p w14:paraId="4F8577CE" w14:textId="77777777" w:rsidR="00E47382" w:rsidRPr="005354D9" w:rsidRDefault="00E47382" w:rsidP="00E47382">
      <w:pPr>
        <w:pStyle w:val="a9"/>
        <w:numPr>
          <w:ilvl w:val="0"/>
          <w:numId w:val="3"/>
        </w:numPr>
        <w:spacing w:line="360" w:lineRule="auto"/>
        <w:jc w:val="both"/>
        <w:rPr>
          <w:rFonts w:ascii="David" w:hAnsi="David"/>
        </w:rPr>
      </w:pPr>
      <w:r w:rsidRPr="005354D9">
        <w:rPr>
          <w:rFonts w:ascii="David" w:hAnsi="David"/>
          <w:rtl/>
        </w:rPr>
        <w:t xml:space="preserve">רישום פלילי סומן ג': לנאשם הרשעה משנת 2012 בגין ביצוע עבירות של סחר בסם מסוכן בגינה ריצה מאסר למשך 8 חודשים. </w:t>
      </w:r>
    </w:p>
    <w:p w14:paraId="4E51F2ED" w14:textId="77777777" w:rsidR="00E47382" w:rsidRPr="005354D9" w:rsidRDefault="00E47382" w:rsidP="00E47382">
      <w:pPr>
        <w:spacing w:line="360" w:lineRule="auto"/>
        <w:ind w:firstLine="720"/>
        <w:jc w:val="both"/>
        <w:rPr>
          <w:rFonts w:ascii="David" w:hAnsi="David"/>
          <w:b/>
          <w:bCs/>
        </w:rPr>
      </w:pPr>
      <w:r w:rsidRPr="005354D9">
        <w:rPr>
          <w:rFonts w:ascii="David" w:hAnsi="David" w:hint="cs"/>
          <w:b/>
          <w:bCs/>
          <w:u w:val="single"/>
          <w:rtl/>
        </w:rPr>
        <w:t>דיון</w:t>
      </w:r>
      <w:r w:rsidRPr="005354D9">
        <w:rPr>
          <w:rFonts w:ascii="David" w:hAnsi="David" w:hint="cs"/>
          <w:b/>
          <w:bCs/>
          <w:rtl/>
        </w:rPr>
        <w:t>:</w:t>
      </w:r>
    </w:p>
    <w:p w14:paraId="38E146D0" w14:textId="77777777" w:rsidR="00E47382" w:rsidRPr="00683B4A" w:rsidRDefault="00E47382" w:rsidP="00E47382">
      <w:pPr>
        <w:pStyle w:val="a9"/>
        <w:numPr>
          <w:ilvl w:val="0"/>
          <w:numId w:val="1"/>
        </w:numPr>
        <w:spacing w:line="360" w:lineRule="auto"/>
        <w:jc w:val="both"/>
        <w:rPr>
          <w:rFonts w:ascii="David" w:hAnsi="David"/>
          <w:rtl/>
        </w:rPr>
      </w:pPr>
      <w:r w:rsidRPr="00683B4A">
        <w:rPr>
          <w:rFonts w:ascii="David" w:hAnsi="David"/>
          <w:rtl/>
        </w:rPr>
        <w:t xml:space="preserve">הערך החברתי המוגן העומד בבסיס עבירות הנשק נוגע בהגנה על שלום הציבור וביטחונו. בעבירות מסוג זה, גלום סיכון רב לשימוש בנשק ו/או שימוש בתחמושת שאינה חוקית על ידי המחזיק בה לצורך ביצוע עבירות פליליות, </w:t>
      </w:r>
      <w:r>
        <w:rPr>
          <w:rFonts w:ascii="David" w:hAnsi="David" w:hint="cs"/>
          <w:rtl/>
        </w:rPr>
        <w:t xml:space="preserve">שכן </w:t>
      </w:r>
      <w:r w:rsidRPr="00683B4A">
        <w:rPr>
          <w:rFonts w:ascii="David" w:hAnsi="David"/>
          <w:rtl/>
        </w:rPr>
        <w:t>הם עלולים להגיע לגורמים עברייניים העוסקים בפעילות פלילית, או אף לפעילות טרור.</w:t>
      </w:r>
    </w:p>
    <w:p w14:paraId="356675CD" w14:textId="77777777" w:rsidR="00E47382" w:rsidRPr="00683B4A" w:rsidRDefault="00E47382" w:rsidP="00E47382">
      <w:pPr>
        <w:pStyle w:val="a9"/>
        <w:numPr>
          <w:ilvl w:val="0"/>
          <w:numId w:val="1"/>
        </w:numPr>
        <w:spacing w:line="360" w:lineRule="auto"/>
        <w:jc w:val="both"/>
        <w:rPr>
          <w:rFonts w:ascii="David" w:hAnsi="David"/>
          <w:rtl/>
        </w:rPr>
      </w:pPr>
      <w:r w:rsidRPr="00683B4A">
        <w:rPr>
          <w:rFonts w:ascii="David" w:hAnsi="David"/>
          <w:rtl/>
        </w:rPr>
        <w:t xml:space="preserve">בענייננו, רף החומרה שבמעשה הינו גבוה, שכן המדובר בהחזקה של נשק דמוי רובה סער מסוג </w:t>
      </w:r>
      <w:r w:rsidRPr="00F4116E">
        <w:rPr>
          <w:rFonts w:ascii="David" w:hAnsi="David"/>
          <w:sz w:val="22"/>
          <w:szCs w:val="22"/>
        </w:rPr>
        <w:t>M16</w:t>
      </w:r>
      <w:r w:rsidRPr="00683B4A">
        <w:rPr>
          <w:rFonts w:ascii="David" w:hAnsi="David"/>
          <w:rtl/>
        </w:rPr>
        <w:t xml:space="preserve"> שהוסב לירי תחמושת בקליבר </w:t>
      </w:r>
      <w:r w:rsidRPr="00683B4A">
        <w:rPr>
          <w:rFonts w:ascii="David" w:hAnsi="David"/>
        </w:rPr>
        <w:t>x 45</w:t>
      </w:r>
      <w:r w:rsidRPr="00683B4A">
        <w:rPr>
          <w:rFonts w:ascii="David" w:hAnsi="David"/>
          <w:rtl/>
        </w:rPr>
        <w:t xml:space="preserve"> 5.56</w:t>
      </w:r>
      <w:r>
        <w:rPr>
          <w:rFonts w:ascii="David" w:hAnsi="David" w:hint="cs"/>
          <w:rtl/>
        </w:rPr>
        <w:t>,</w:t>
      </w:r>
      <w:r w:rsidRPr="00683B4A">
        <w:rPr>
          <w:rFonts w:ascii="David" w:hAnsi="David"/>
          <w:rtl/>
        </w:rPr>
        <w:t xml:space="preserve">שהכיל מכלול של רובה </w:t>
      </w:r>
      <w:r w:rsidRPr="00683B4A">
        <w:rPr>
          <w:rFonts w:ascii="David" w:hAnsi="David"/>
        </w:rPr>
        <w:t>M16</w:t>
      </w:r>
      <w:r w:rsidRPr="00683B4A">
        <w:rPr>
          <w:rFonts w:ascii="David" w:hAnsi="David"/>
          <w:rtl/>
        </w:rPr>
        <w:t xml:space="preserve"> תקני, יורה שבכוחו להמית אדם וכן במחסנית ריקה.  </w:t>
      </w:r>
    </w:p>
    <w:p w14:paraId="36C203F4" w14:textId="77777777" w:rsidR="00E47382" w:rsidRPr="00683B4A" w:rsidRDefault="00E47382" w:rsidP="00E47382">
      <w:pPr>
        <w:pStyle w:val="a9"/>
        <w:numPr>
          <w:ilvl w:val="0"/>
          <w:numId w:val="1"/>
        </w:numPr>
        <w:spacing w:line="360" w:lineRule="auto"/>
        <w:jc w:val="both"/>
        <w:rPr>
          <w:rFonts w:ascii="David" w:hAnsi="David"/>
        </w:rPr>
      </w:pPr>
      <w:r w:rsidRPr="00683B4A">
        <w:rPr>
          <w:rFonts w:ascii="David" w:hAnsi="David"/>
          <w:rtl/>
        </w:rPr>
        <w:t xml:space="preserve">במסגרת </w:t>
      </w:r>
      <w:hyperlink r:id="rId11" w:history="1">
        <w:r w:rsidR="003B7F3B" w:rsidRPr="003B7F3B">
          <w:rPr>
            <w:rFonts w:ascii="David" w:hAnsi="David"/>
            <w:color w:val="0000FF"/>
            <w:u w:val="single"/>
            <w:rtl/>
          </w:rPr>
          <w:t>רע"פ 5613/20</w:t>
        </w:r>
      </w:hyperlink>
      <w:r w:rsidRPr="00683B4A">
        <w:rPr>
          <w:rFonts w:ascii="David" w:hAnsi="David"/>
          <w:rtl/>
        </w:rPr>
        <w:t xml:space="preserve"> אלהוזייל נגד מדינת ישראל (25.8.2020) ציין בית המשפט את הדברים הבאים: </w:t>
      </w:r>
    </w:p>
    <w:p w14:paraId="4C1E703F" w14:textId="77777777" w:rsidR="00E47382" w:rsidRPr="00683B4A" w:rsidRDefault="00E47382" w:rsidP="00E47382">
      <w:pPr>
        <w:spacing w:line="360" w:lineRule="auto"/>
        <w:ind w:left="720"/>
        <w:jc w:val="both"/>
        <w:rPr>
          <w:rFonts w:ascii="David" w:hAnsi="David"/>
          <w:sz w:val="22"/>
          <w:szCs w:val="22"/>
          <w:rtl/>
        </w:rPr>
      </w:pPr>
      <w:r w:rsidRPr="00683B4A">
        <w:rPr>
          <w:rFonts w:ascii="David" w:hAnsi="David"/>
          <w:sz w:val="22"/>
          <w:szCs w:val="22"/>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2" w:history="1">
        <w:r w:rsidR="003B7F3B" w:rsidRPr="003B7F3B">
          <w:rPr>
            <w:rFonts w:ascii="David" w:hAnsi="David"/>
            <w:color w:val="0000FF"/>
            <w:sz w:val="22"/>
            <w:szCs w:val="22"/>
            <w:u w:val="single"/>
            <w:rtl/>
          </w:rPr>
          <w:t>ע"פ 4406/19</w:t>
        </w:r>
      </w:hyperlink>
      <w:r w:rsidRPr="00683B4A">
        <w:rPr>
          <w:rFonts w:ascii="David" w:hAnsi="David"/>
          <w:sz w:val="22"/>
          <w:szCs w:val="22"/>
          <w:rtl/>
        </w:rPr>
        <w:t xml:space="preserve"> מדינת ישראל נ' סובח, [פורסם בנבו] פסקאות 16–17 לחוות דעתי (5.11.2019); </w:t>
      </w:r>
      <w:hyperlink r:id="rId13" w:history="1">
        <w:r w:rsidR="003B7F3B" w:rsidRPr="003B7F3B">
          <w:rPr>
            <w:rFonts w:ascii="David" w:hAnsi="David"/>
            <w:color w:val="0000FF"/>
            <w:sz w:val="22"/>
            <w:szCs w:val="22"/>
            <w:u w:val="single"/>
            <w:rtl/>
          </w:rPr>
          <w:t>רע"פ 7344/18</w:t>
        </w:r>
      </w:hyperlink>
      <w:r w:rsidRPr="00683B4A">
        <w:rPr>
          <w:rFonts w:ascii="David" w:hAnsi="David"/>
          <w:sz w:val="22"/>
          <w:szCs w:val="22"/>
          <w:rtl/>
        </w:rPr>
        <w:t xml:space="preserve"> מג'יד נ' מדינת ישראל, [פורסם בנבו] פסקה 10 (21.10.2018))".</w:t>
      </w:r>
    </w:p>
    <w:p w14:paraId="46C4FB1A" w14:textId="77777777" w:rsidR="00E47382" w:rsidRPr="00683B4A" w:rsidRDefault="00E47382" w:rsidP="00E47382">
      <w:pPr>
        <w:pStyle w:val="a9"/>
        <w:numPr>
          <w:ilvl w:val="0"/>
          <w:numId w:val="1"/>
        </w:numPr>
        <w:spacing w:line="360" w:lineRule="auto"/>
        <w:jc w:val="both"/>
        <w:rPr>
          <w:rFonts w:ascii="David" w:hAnsi="David"/>
        </w:rPr>
      </w:pPr>
      <w:r w:rsidRPr="00683B4A">
        <w:rPr>
          <w:rFonts w:ascii="David" w:hAnsi="David"/>
          <w:rtl/>
        </w:rPr>
        <w:t>לעניין פסיקה נוהגת בעבירות מסוג זה, ובנסיבותיה, ראיתי להפנות לגזרי הדין הבאים: (</w:t>
      </w:r>
      <w:hyperlink r:id="rId14" w:history="1">
        <w:r w:rsidR="003B7F3B" w:rsidRPr="003B7F3B">
          <w:rPr>
            <w:rFonts w:ascii="David" w:hAnsi="David"/>
            <w:color w:val="0000FF"/>
            <w:u w:val="single"/>
            <w:rtl/>
          </w:rPr>
          <w:t>עפ"ג 2024-04-21</w:t>
        </w:r>
      </w:hyperlink>
      <w:r w:rsidRPr="00683B4A">
        <w:rPr>
          <w:rFonts w:ascii="David" w:hAnsi="David"/>
          <w:rtl/>
        </w:rPr>
        <w:t xml:space="preserve"> מדינת ישראל נגד מנדורי </w:t>
      </w:r>
      <w:r>
        <w:rPr>
          <w:rFonts w:ascii="David" w:hAnsi="David" w:hint="cs"/>
          <w:rtl/>
        </w:rPr>
        <w:t xml:space="preserve">והפסיקה המובאת בו </w:t>
      </w:r>
      <w:r w:rsidRPr="00683B4A">
        <w:rPr>
          <w:rFonts w:ascii="David" w:hAnsi="David"/>
          <w:rtl/>
        </w:rPr>
        <w:t xml:space="preserve">(29.6.2021), </w:t>
      </w:r>
      <w:hyperlink r:id="rId15" w:history="1">
        <w:r w:rsidR="003B7F3B" w:rsidRPr="003B7F3B">
          <w:rPr>
            <w:rFonts w:ascii="David" w:hAnsi="David"/>
            <w:color w:val="0000FF"/>
            <w:u w:val="single"/>
            <w:rtl/>
          </w:rPr>
          <w:t>עפ"ג 50840-03-22</w:t>
        </w:r>
      </w:hyperlink>
      <w:r w:rsidRPr="00683B4A">
        <w:rPr>
          <w:rFonts w:ascii="David" w:hAnsi="David"/>
          <w:rtl/>
        </w:rPr>
        <w:t xml:space="preserve"> מדינת ישראל נגד עלאא סלאמה  (4.4.2020), </w:t>
      </w:r>
      <w:hyperlink r:id="rId16" w:history="1">
        <w:r w:rsidR="003B7F3B" w:rsidRPr="003B7F3B">
          <w:rPr>
            <w:rFonts w:ascii="David" w:hAnsi="David"/>
            <w:color w:val="0000FF"/>
            <w:u w:val="single"/>
            <w:rtl/>
          </w:rPr>
          <w:t>ת"פ 17030-02-22</w:t>
        </w:r>
      </w:hyperlink>
      <w:r w:rsidRPr="00683B4A">
        <w:rPr>
          <w:rFonts w:ascii="David" w:hAnsi="David"/>
          <w:rtl/>
        </w:rPr>
        <w:t xml:space="preserve"> מדינת ישראל נגד מקייה (23.5.2022)).</w:t>
      </w:r>
    </w:p>
    <w:p w14:paraId="0DE1E299" w14:textId="77777777" w:rsidR="00E47382" w:rsidRPr="00683B4A" w:rsidRDefault="00E47382" w:rsidP="00E47382">
      <w:pPr>
        <w:pStyle w:val="a9"/>
        <w:numPr>
          <w:ilvl w:val="0"/>
          <w:numId w:val="1"/>
        </w:numPr>
        <w:spacing w:line="360" w:lineRule="auto"/>
        <w:jc w:val="both"/>
        <w:rPr>
          <w:rFonts w:ascii="David" w:hAnsi="David"/>
        </w:rPr>
      </w:pPr>
      <w:r w:rsidRPr="00683B4A">
        <w:rPr>
          <w:rFonts w:ascii="David" w:hAnsi="David"/>
          <w:rtl/>
        </w:rPr>
        <w:lastRenderedPageBreak/>
        <w:t>בשים לב לסוג הנשק בו החזיק הנאשם, המחסנית, ובעיקר פוטנציאל הסיכון הגלום ב</w:t>
      </w:r>
      <w:r>
        <w:rPr>
          <w:rFonts w:ascii="David" w:hAnsi="David" w:hint="cs"/>
          <w:rtl/>
        </w:rPr>
        <w:t>מעשה</w:t>
      </w:r>
      <w:r w:rsidRPr="00683B4A">
        <w:rPr>
          <w:rFonts w:ascii="David" w:hAnsi="David"/>
          <w:rtl/>
        </w:rPr>
        <w:t>, סברתי כי יש לקבוע את המתחם החל מ-18 חודשים ועד 3</w:t>
      </w:r>
      <w:r>
        <w:rPr>
          <w:rFonts w:ascii="David" w:hAnsi="David" w:hint="cs"/>
          <w:rtl/>
        </w:rPr>
        <w:t>6</w:t>
      </w:r>
      <w:r w:rsidRPr="00683B4A">
        <w:rPr>
          <w:rFonts w:ascii="David" w:hAnsi="David"/>
          <w:rtl/>
        </w:rPr>
        <w:t xml:space="preserve"> חודשים, לצד ענישה נלווית. (ראו </w:t>
      </w:r>
      <w:r>
        <w:rPr>
          <w:rFonts w:ascii="David" w:hAnsi="David" w:hint="cs"/>
          <w:rtl/>
        </w:rPr>
        <w:t>בנוסף</w:t>
      </w:r>
      <w:r w:rsidRPr="00683B4A">
        <w:rPr>
          <w:rFonts w:ascii="David" w:hAnsi="David"/>
          <w:rtl/>
        </w:rPr>
        <w:t xml:space="preserve">: </w:t>
      </w:r>
      <w:hyperlink r:id="rId17" w:history="1">
        <w:r w:rsidR="003B7F3B" w:rsidRPr="003B7F3B">
          <w:rPr>
            <w:rFonts w:ascii="David" w:hAnsi="David"/>
            <w:color w:val="0000FF"/>
            <w:u w:val="single"/>
            <w:rtl/>
          </w:rPr>
          <w:t>ע"פ 1323/13</w:t>
        </w:r>
      </w:hyperlink>
      <w:r w:rsidRPr="00683B4A">
        <w:rPr>
          <w:rFonts w:ascii="David" w:hAnsi="David"/>
          <w:rtl/>
        </w:rPr>
        <w:t xml:space="preserve"> חסן נגד מדינת ישראל (5.6.2013).</w:t>
      </w:r>
    </w:p>
    <w:p w14:paraId="2DBECC5E" w14:textId="77777777" w:rsidR="00E47382" w:rsidRDefault="00E47382" w:rsidP="00E47382">
      <w:pPr>
        <w:pStyle w:val="a9"/>
        <w:numPr>
          <w:ilvl w:val="0"/>
          <w:numId w:val="1"/>
        </w:numPr>
        <w:spacing w:line="360" w:lineRule="auto"/>
        <w:jc w:val="both"/>
        <w:rPr>
          <w:rFonts w:ascii="David" w:hAnsi="David"/>
        </w:rPr>
      </w:pPr>
      <w:r>
        <w:rPr>
          <w:rFonts w:ascii="David" w:hAnsi="David" w:hint="cs"/>
          <w:rtl/>
        </w:rPr>
        <w:t>בבחינת העונש המתאים לנאשם הבאתי בחשבון את הודאת הנאשם, וכן החיסכון בזמן שיפוטי, משך תקופת המעצר בה שוהה הנאשם, וכן שיתוף הפעולה במסגרת הליכי החקירה.</w:t>
      </w:r>
    </w:p>
    <w:p w14:paraId="0BB30240" w14:textId="77777777" w:rsidR="00E47382" w:rsidRDefault="00E47382" w:rsidP="00E47382">
      <w:pPr>
        <w:pStyle w:val="a9"/>
        <w:numPr>
          <w:ilvl w:val="0"/>
          <w:numId w:val="1"/>
        </w:numPr>
        <w:spacing w:line="360" w:lineRule="auto"/>
        <w:jc w:val="both"/>
        <w:rPr>
          <w:rFonts w:ascii="David" w:hAnsi="David"/>
        </w:rPr>
      </w:pPr>
      <w:r>
        <w:rPr>
          <w:rFonts w:ascii="David" w:hAnsi="David" w:hint="cs"/>
          <w:rtl/>
        </w:rPr>
        <w:t>לחובת הנאשם הרשעה בודדת וישנה משנת 2012 בעבירות של סחר בסם מסוכן, בגינן ריצה עונש מאסר למשך 8 חודשים.</w:t>
      </w:r>
    </w:p>
    <w:p w14:paraId="6D6A0B64" w14:textId="77777777" w:rsidR="00E47382" w:rsidRDefault="00E47382" w:rsidP="00E47382">
      <w:pPr>
        <w:pStyle w:val="a9"/>
        <w:numPr>
          <w:ilvl w:val="0"/>
          <w:numId w:val="1"/>
        </w:numPr>
        <w:spacing w:line="360" w:lineRule="auto"/>
        <w:jc w:val="both"/>
        <w:rPr>
          <w:rFonts w:ascii="David" w:hAnsi="David"/>
        </w:rPr>
      </w:pPr>
      <w:r>
        <w:rPr>
          <w:rFonts w:ascii="David" w:hAnsi="David" w:hint="cs"/>
          <w:rtl/>
        </w:rPr>
        <w:t>בהתאם להסכמת הצדדים הונח לעיוני תסקיר המעצר, אשר מפורטות בו נסיבותיו האישיות של הנאשם וכן הרקע בו צמח. הנאשם כבן 32 אב לשני ילדים בגילאי 3 ו-7. טרם מעצרו עבד כמנופאי. הנאשם מסר בבית המשפט ובשרות המבחן כי מצא במעלית בנין תיק אשר לא ידע מהי תכולתו, והחליט לקחתו לביתו. הנאשם מסר כי בעת שגילה כי הוחזק בתיק נשק, חשש להעבירו לידי משטרת ישראל נוכח המצב הביטחוני, וכן חשש כי יחשבו כי הוא מפגע ויפגעו בו. לדעת שרות המבחן, הנאשם מחזיק בעמדות המעניקות לגיטימציה להתנהלות בעייתית ועוברת חוק, ללא שקילת מעשיו לעומק, ולא היה די בעונש המאסר אותו ריצה בעבר כדי להניאו ממעורבות חוזרת בפלילים, הגם שחלף פרק זמן של כ-10 שנים מאז מעורבותו הקודמת בפלילים. בנוסף קיימת נטייה מצד הנאשם להשליך את האחריות על גורמים חיצוניים. לצד זאת צוין, כי הנאשם מנהל אורח חיים נורמטיבי, שומר על יציבות תעסוקתית, ומעוניין להעתיק את מקום מגוריו כדי להתרחק מחברה שולית. לדעת שרות המבחן קיימת רמת סיכון נמוכה- בינונית לביצוע עבירות אלימות, אשר במידה וישנו, רמת חומרתן תהא נמוכה. באותה עת הומלץ על שחרורו מהמעצר, והטלת צו פיקוח מעצרים למשך 6 חודשים לצורך שילובו בקבוצה טיפולית.</w:t>
      </w:r>
    </w:p>
    <w:p w14:paraId="1843F9BC" w14:textId="77777777" w:rsidR="00E47382" w:rsidRDefault="00E47382" w:rsidP="00E47382">
      <w:pPr>
        <w:pStyle w:val="a9"/>
        <w:numPr>
          <w:ilvl w:val="0"/>
          <w:numId w:val="1"/>
        </w:numPr>
        <w:spacing w:line="360" w:lineRule="auto"/>
        <w:jc w:val="both"/>
        <w:rPr>
          <w:rFonts w:ascii="David" w:hAnsi="David"/>
        </w:rPr>
      </w:pPr>
      <w:r>
        <w:rPr>
          <w:rFonts w:ascii="David" w:hAnsi="David" w:hint="cs"/>
          <w:rtl/>
        </w:rPr>
        <w:t>באיזון בין כלל השיקולים שפורטו לעיל, ראיתי לקבוע את עונשו של הנאשם בחלק התחתון של מתחם העונש ההולם ולהטיל עליו את העונשים הבאים:</w:t>
      </w:r>
    </w:p>
    <w:p w14:paraId="02D06543" w14:textId="77777777" w:rsidR="00E47382" w:rsidRPr="00654BDE" w:rsidRDefault="00E47382" w:rsidP="00E47382">
      <w:pPr>
        <w:pStyle w:val="a9"/>
        <w:numPr>
          <w:ilvl w:val="0"/>
          <w:numId w:val="2"/>
        </w:numPr>
        <w:spacing w:line="360" w:lineRule="auto"/>
        <w:jc w:val="both"/>
        <w:rPr>
          <w:rFonts w:ascii="David" w:hAnsi="David"/>
        </w:rPr>
      </w:pPr>
      <w:r w:rsidRPr="00654BDE">
        <w:rPr>
          <w:rFonts w:ascii="David" w:hAnsi="David" w:hint="cs"/>
          <w:rtl/>
        </w:rPr>
        <w:t>מאסר למשך 2</w:t>
      </w:r>
      <w:r>
        <w:rPr>
          <w:rFonts w:ascii="David" w:hAnsi="David" w:hint="cs"/>
          <w:rtl/>
        </w:rPr>
        <w:t>2</w:t>
      </w:r>
      <w:r w:rsidRPr="00654BDE">
        <w:rPr>
          <w:rFonts w:ascii="David" w:hAnsi="David" w:hint="cs"/>
          <w:rtl/>
        </w:rPr>
        <w:t xml:space="preserve"> חודשים בניכוי ימי המעצר (החל מיום 19.3.202</w:t>
      </w:r>
      <w:r>
        <w:rPr>
          <w:rFonts w:ascii="David" w:hAnsi="David" w:hint="cs"/>
          <w:rtl/>
        </w:rPr>
        <w:t>3</w:t>
      </w:r>
      <w:r w:rsidRPr="00654BDE">
        <w:rPr>
          <w:rFonts w:ascii="David" w:hAnsi="David" w:hint="cs"/>
          <w:rtl/>
        </w:rPr>
        <w:t>).</w:t>
      </w:r>
    </w:p>
    <w:p w14:paraId="0FC96527" w14:textId="77777777" w:rsidR="00E47382" w:rsidRPr="00654BDE" w:rsidRDefault="00E47382" w:rsidP="00E47382">
      <w:pPr>
        <w:pStyle w:val="a9"/>
        <w:numPr>
          <w:ilvl w:val="0"/>
          <w:numId w:val="2"/>
        </w:numPr>
        <w:spacing w:line="360" w:lineRule="auto"/>
        <w:jc w:val="both"/>
        <w:rPr>
          <w:rFonts w:ascii="David" w:hAnsi="David"/>
        </w:rPr>
      </w:pPr>
      <w:r w:rsidRPr="00654BDE">
        <w:rPr>
          <w:rFonts w:ascii="David" w:hAnsi="David" w:hint="cs"/>
          <w:rtl/>
        </w:rPr>
        <w:t>מאסר למשך 6 חודשים וזאת על תנאי למשך 3 שנים מיום שחרורו של הנאשם מהמאסר שלא יעבור כל עבירה בניגוד לסעיף 144 ל</w:t>
      </w:r>
      <w:hyperlink r:id="rId18" w:history="1">
        <w:r w:rsidR="003B7F3B" w:rsidRPr="003B7F3B">
          <w:rPr>
            <w:rFonts w:ascii="David" w:hAnsi="David"/>
            <w:color w:val="0000FF"/>
            <w:u w:val="single"/>
            <w:rtl/>
          </w:rPr>
          <w:t>חוק העונשין</w:t>
        </w:r>
      </w:hyperlink>
      <w:r w:rsidRPr="00654BDE">
        <w:rPr>
          <w:rFonts w:ascii="David" w:hAnsi="David" w:hint="cs"/>
          <w:rtl/>
        </w:rPr>
        <w:t>.</w:t>
      </w:r>
    </w:p>
    <w:p w14:paraId="3C3A4A49" w14:textId="77777777" w:rsidR="00E47382" w:rsidRPr="00654BDE" w:rsidRDefault="003B7F3B" w:rsidP="00E47382">
      <w:pPr>
        <w:pStyle w:val="a9"/>
        <w:numPr>
          <w:ilvl w:val="0"/>
          <w:numId w:val="2"/>
        </w:numPr>
        <w:spacing w:line="360" w:lineRule="auto"/>
        <w:jc w:val="both"/>
        <w:rPr>
          <w:rFonts w:ascii="David" w:hAnsi="David"/>
        </w:rPr>
      </w:pPr>
      <w:r w:rsidRPr="003B7F3B">
        <w:rPr>
          <w:rFonts w:ascii="David" w:hAnsi="David"/>
          <w:color w:val="FFFFFF"/>
          <w:sz w:val="2"/>
          <w:szCs w:val="2"/>
          <w:rtl/>
        </w:rPr>
        <w:t>5129371</w:t>
      </w:r>
      <w:r w:rsidR="00E47382" w:rsidRPr="00654BDE">
        <w:rPr>
          <w:rFonts w:ascii="David" w:hAnsi="David" w:hint="cs"/>
          <w:rtl/>
        </w:rPr>
        <w:t>המוצגים יחולטו או יושמדו לפי החלטת רשם המוצגים.</w:t>
      </w:r>
    </w:p>
    <w:p w14:paraId="23409715" w14:textId="77777777" w:rsidR="00E47382" w:rsidRPr="003B7F3B" w:rsidRDefault="003B7F3B" w:rsidP="00E47382">
      <w:pPr>
        <w:spacing w:line="360" w:lineRule="auto"/>
        <w:jc w:val="both"/>
        <w:rPr>
          <w:rFonts w:ascii="David" w:hAnsi="David"/>
          <w:color w:val="FFFFFF"/>
          <w:sz w:val="2"/>
          <w:szCs w:val="2"/>
          <w:rtl/>
        </w:rPr>
      </w:pPr>
      <w:r w:rsidRPr="003B7F3B">
        <w:rPr>
          <w:rFonts w:ascii="David" w:hAnsi="David"/>
          <w:color w:val="FFFFFF"/>
          <w:sz w:val="2"/>
          <w:szCs w:val="2"/>
          <w:rtl/>
        </w:rPr>
        <w:t>54678313</w:t>
      </w:r>
    </w:p>
    <w:p w14:paraId="7FF0BBD2" w14:textId="77777777" w:rsidR="00E47382" w:rsidRPr="00654BDE" w:rsidRDefault="00E47382" w:rsidP="00E47382">
      <w:pPr>
        <w:spacing w:line="360" w:lineRule="auto"/>
        <w:ind w:firstLine="360"/>
        <w:jc w:val="both"/>
        <w:rPr>
          <w:rFonts w:ascii="David" w:hAnsi="David"/>
          <w:b/>
          <w:bCs/>
          <w:rtl/>
        </w:rPr>
      </w:pPr>
      <w:r w:rsidRPr="00654BDE">
        <w:rPr>
          <w:rFonts w:ascii="David" w:hAnsi="David" w:hint="cs"/>
          <w:b/>
          <w:bCs/>
          <w:rtl/>
        </w:rPr>
        <w:t xml:space="preserve">זכות ערעור לבית המשפט המחוזי בתוך 45 יום. </w:t>
      </w:r>
    </w:p>
    <w:p w14:paraId="51625429" w14:textId="77777777" w:rsidR="00E47382" w:rsidRPr="00683B4A" w:rsidRDefault="003B7F3B" w:rsidP="00E47382">
      <w:pPr>
        <w:spacing w:line="360" w:lineRule="auto"/>
        <w:jc w:val="both"/>
        <w:rPr>
          <w:rFonts w:ascii="David" w:hAnsi="David"/>
          <w:rtl/>
        </w:rPr>
      </w:pPr>
      <w:bookmarkStart w:id="8" w:name="Nitan"/>
      <w:r>
        <w:rPr>
          <w:rFonts w:ascii="David" w:hAnsi="David"/>
          <w:rtl/>
        </w:rPr>
        <w:t xml:space="preserve">ניתן היום,  י"ז חשוון תשפ"ד, 01 נובמבר 2023, במעמד הנוכחים (הנאשם בוויעוד חזותי). </w:t>
      </w:r>
      <w:bookmarkEnd w:id="8"/>
      <w:r w:rsidR="00E47382" w:rsidRPr="00683B4A">
        <w:rPr>
          <w:rFonts w:ascii="David" w:hAnsi="David"/>
          <w:rtl/>
        </w:rPr>
        <w:tab/>
      </w:r>
      <w:r w:rsidR="00E47382" w:rsidRPr="00683B4A">
        <w:rPr>
          <w:rFonts w:ascii="David" w:hAnsi="David"/>
          <w:rtl/>
        </w:rPr>
        <w:tab/>
      </w:r>
      <w:r w:rsidR="00E47382" w:rsidRPr="00683B4A">
        <w:rPr>
          <w:rFonts w:ascii="David" w:hAnsi="David"/>
          <w:rtl/>
        </w:rPr>
        <w:tab/>
      </w:r>
      <w:r w:rsidR="00E47382" w:rsidRPr="00683B4A">
        <w:rPr>
          <w:rFonts w:ascii="David" w:hAnsi="David"/>
          <w:rtl/>
        </w:rPr>
        <w:tab/>
      </w:r>
      <w:r w:rsidR="00E47382" w:rsidRPr="00683B4A">
        <w:rPr>
          <w:rFonts w:ascii="David" w:hAnsi="David"/>
          <w:rtl/>
        </w:rPr>
        <w:tab/>
      </w:r>
      <w:r w:rsidR="00E47382" w:rsidRPr="00683B4A">
        <w:rPr>
          <w:rFonts w:ascii="David" w:hAnsi="David"/>
          <w:rtl/>
        </w:rPr>
        <w:tab/>
      </w:r>
      <w:r w:rsidR="00E47382" w:rsidRPr="00683B4A">
        <w:rPr>
          <w:rFonts w:ascii="David" w:hAnsi="David"/>
          <w:rtl/>
        </w:rPr>
        <w:tab/>
        <w:t xml:space="preserve">         </w:t>
      </w:r>
    </w:p>
    <w:p w14:paraId="44437FE3" w14:textId="77777777" w:rsidR="003B7F3B" w:rsidRDefault="003B7F3B" w:rsidP="003B7F3B">
      <w:pPr>
        <w:rPr>
          <w:rtl/>
        </w:rPr>
      </w:pPr>
    </w:p>
    <w:p w14:paraId="6C8DFCE1" w14:textId="77777777" w:rsidR="003B7F3B" w:rsidRDefault="003B7F3B" w:rsidP="003B7F3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E2B46A4" w14:textId="77777777" w:rsidR="00153F6E" w:rsidRPr="00153F6E" w:rsidRDefault="00153F6E" w:rsidP="00153F6E">
      <w:pPr>
        <w:keepNext/>
        <w:rPr>
          <w:rFonts w:ascii="David" w:hAnsi="David"/>
          <w:color w:val="000000"/>
          <w:sz w:val="22"/>
          <w:szCs w:val="22"/>
          <w:rtl/>
        </w:rPr>
      </w:pPr>
    </w:p>
    <w:p w14:paraId="7D41C1A3" w14:textId="77777777" w:rsidR="00153F6E" w:rsidRPr="00153F6E" w:rsidRDefault="00153F6E" w:rsidP="00153F6E">
      <w:pPr>
        <w:keepNext/>
        <w:rPr>
          <w:rFonts w:ascii="David" w:hAnsi="David"/>
          <w:color w:val="000000"/>
          <w:sz w:val="22"/>
          <w:szCs w:val="22"/>
          <w:rtl/>
        </w:rPr>
      </w:pPr>
      <w:r w:rsidRPr="00153F6E">
        <w:rPr>
          <w:rFonts w:ascii="David" w:hAnsi="David"/>
          <w:color w:val="000000"/>
          <w:sz w:val="22"/>
          <w:szCs w:val="22"/>
          <w:rtl/>
        </w:rPr>
        <w:t>ארנון איתן 54678313-/</w:t>
      </w:r>
    </w:p>
    <w:p w14:paraId="5EAE9608" w14:textId="77777777" w:rsidR="003B7F3B" w:rsidRPr="003B7F3B" w:rsidRDefault="00153F6E" w:rsidP="00153F6E">
      <w:pPr>
        <w:rPr>
          <w:color w:val="0000FF"/>
          <w:u w:val="single"/>
        </w:rPr>
      </w:pPr>
      <w:r w:rsidRPr="00153F6E">
        <w:rPr>
          <w:color w:val="000000"/>
          <w:u w:val="single"/>
          <w:rtl/>
        </w:rPr>
        <w:t>נוסח מסמך זה כפוף לשינויי ניסוח ועריכה</w:t>
      </w:r>
    </w:p>
    <w:sectPr w:rsidR="003B7F3B" w:rsidRPr="003B7F3B" w:rsidSect="00153F6E">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97173" w14:textId="77777777" w:rsidR="000300AB" w:rsidRDefault="000300AB" w:rsidP="005D065F">
      <w:r>
        <w:separator/>
      </w:r>
    </w:p>
  </w:endnote>
  <w:endnote w:type="continuationSeparator" w:id="0">
    <w:p w14:paraId="679C92A9" w14:textId="77777777" w:rsidR="000300AB" w:rsidRDefault="000300AB" w:rsidP="005D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0CE6" w14:textId="77777777" w:rsidR="00153F6E" w:rsidRDefault="00153F6E" w:rsidP="00153F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34B170" w14:textId="77777777" w:rsidR="001C7BB5" w:rsidRPr="00153F6E" w:rsidRDefault="00153F6E" w:rsidP="00153F6E">
    <w:pPr>
      <w:pStyle w:val="a5"/>
      <w:pBdr>
        <w:top w:val="single" w:sz="4" w:space="1" w:color="auto"/>
        <w:between w:val="single" w:sz="4" w:space="0" w:color="auto"/>
      </w:pBdr>
      <w:spacing w:after="60"/>
      <w:jc w:val="center"/>
      <w:rPr>
        <w:rFonts w:ascii="FrankRuehl" w:hAnsi="FrankRuehl" w:cs="FrankRuehl"/>
        <w:color w:val="000000"/>
      </w:rPr>
    </w:pPr>
    <w:r w:rsidRPr="00153F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99846" w14:textId="77777777" w:rsidR="00153F6E" w:rsidRDefault="00153F6E" w:rsidP="00153F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378">
      <w:rPr>
        <w:rFonts w:ascii="FrankRuehl" w:hAnsi="FrankRuehl" w:cs="FrankRuehl"/>
        <w:noProof/>
        <w:rtl/>
      </w:rPr>
      <w:t>1</w:t>
    </w:r>
    <w:r>
      <w:rPr>
        <w:rFonts w:ascii="FrankRuehl" w:hAnsi="FrankRuehl" w:cs="FrankRuehl"/>
        <w:rtl/>
      </w:rPr>
      <w:fldChar w:fldCharType="end"/>
    </w:r>
  </w:p>
  <w:p w14:paraId="0F03719A" w14:textId="77777777" w:rsidR="001C7BB5" w:rsidRPr="00153F6E" w:rsidRDefault="00153F6E" w:rsidP="00153F6E">
    <w:pPr>
      <w:pStyle w:val="a5"/>
      <w:pBdr>
        <w:top w:val="single" w:sz="4" w:space="1" w:color="auto"/>
        <w:between w:val="single" w:sz="4" w:space="0" w:color="auto"/>
      </w:pBdr>
      <w:spacing w:after="60"/>
      <w:jc w:val="center"/>
      <w:rPr>
        <w:rFonts w:ascii="FrankRuehl" w:hAnsi="FrankRuehl" w:cs="FrankRuehl"/>
        <w:color w:val="000000"/>
      </w:rPr>
    </w:pPr>
    <w:r w:rsidRPr="00153F6E">
      <w:rPr>
        <w:rFonts w:ascii="FrankRuehl" w:hAnsi="FrankRuehl" w:cs="FrankRuehl"/>
        <w:color w:val="000000"/>
      </w:rPr>
      <w:pict w14:anchorId="20FFD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D16AE" w14:textId="77777777" w:rsidR="000300AB" w:rsidRDefault="000300AB" w:rsidP="005D065F">
      <w:r>
        <w:separator/>
      </w:r>
    </w:p>
  </w:footnote>
  <w:footnote w:type="continuationSeparator" w:id="0">
    <w:p w14:paraId="3B5F63A7" w14:textId="77777777" w:rsidR="000300AB" w:rsidRDefault="000300AB" w:rsidP="005D0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664E9" w14:textId="77777777" w:rsidR="003B7F3B" w:rsidRPr="00153F6E" w:rsidRDefault="00153F6E" w:rsidP="00153F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57002-03-23</w:t>
    </w:r>
    <w:r>
      <w:rPr>
        <w:rFonts w:ascii="David" w:hAnsi="David"/>
        <w:color w:val="000000"/>
        <w:sz w:val="22"/>
        <w:szCs w:val="22"/>
        <w:rtl/>
      </w:rPr>
      <w:tab/>
      <w:t xml:space="preserve"> מדינת ישרא נ' אל אמין גנידה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C885E" w14:textId="77777777" w:rsidR="003B7F3B" w:rsidRPr="00153F6E" w:rsidRDefault="00153F6E" w:rsidP="00153F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57002-03-23</w:t>
    </w:r>
    <w:r>
      <w:rPr>
        <w:rFonts w:ascii="David" w:hAnsi="David"/>
        <w:color w:val="000000"/>
        <w:sz w:val="22"/>
        <w:szCs w:val="22"/>
        <w:rtl/>
      </w:rPr>
      <w:tab/>
      <w:t xml:space="preserve"> מדינת ישרא נ' אל אמין גנידה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F0218"/>
    <w:multiLevelType w:val="hybridMultilevel"/>
    <w:tmpl w:val="8C80A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9295C"/>
    <w:multiLevelType w:val="hybridMultilevel"/>
    <w:tmpl w:val="F99C7C0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96926"/>
    <w:multiLevelType w:val="hybridMultilevel"/>
    <w:tmpl w:val="7AF453C0"/>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6716074">
    <w:abstractNumId w:val="0"/>
  </w:num>
  <w:num w:numId="2" w16cid:durableId="1973363615">
    <w:abstractNumId w:val="1"/>
  </w:num>
  <w:num w:numId="3" w16cid:durableId="143046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7382"/>
    <w:rsid w:val="000300AB"/>
    <w:rsid w:val="00123378"/>
    <w:rsid w:val="00153F6E"/>
    <w:rsid w:val="001B5A3B"/>
    <w:rsid w:val="001C7BB5"/>
    <w:rsid w:val="003A02D8"/>
    <w:rsid w:val="003B7F3B"/>
    <w:rsid w:val="005D065F"/>
    <w:rsid w:val="00E20369"/>
    <w:rsid w:val="00E47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94C4EF"/>
  <w15:chartTrackingRefBased/>
  <w15:docId w15:val="{3030C63F-D9EB-49EA-8C51-91BADBD7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73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7382"/>
    <w:pPr>
      <w:tabs>
        <w:tab w:val="center" w:pos="4153"/>
        <w:tab w:val="right" w:pos="8306"/>
      </w:tabs>
    </w:pPr>
  </w:style>
  <w:style w:type="character" w:customStyle="1" w:styleId="a4">
    <w:name w:val="כותרת עליונה תו"/>
    <w:link w:val="a3"/>
    <w:rsid w:val="00E47382"/>
    <w:rPr>
      <w:rFonts w:ascii="Times New Roman" w:eastAsia="Times New Roman" w:hAnsi="Times New Roman" w:cs="David"/>
      <w:sz w:val="24"/>
      <w:szCs w:val="24"/>
    </w:rPr>
  </w:style>
  <w:style w:type="paragraph" w:styleId="a5">
    <w:name w:val="footer"/>
    <w:basedOn w:val="a"/>
    <w:link w:val="a6"/>
    <w:rsid w:val="00E47382"/>
    <w:pPr>
      <w:tabs>
        <w:tab w:val="center" w:pos="4153"/>
        <w:tab w:val="right" w:pos="8306"/>
      </w:tabs>
    </w:pPr>
  </w:style>
  <w:style w:type="character" w:customStyle="1" w:styleId="a6">
    <w:name w:val="כותרת תחתונה תו"/>
    <w:link w:val="a5"/>
    <w:rsid w:val="00E47382"/>
    <w:rPr>
      <w:rFonts w:ascii="Times New Roman" w:eastAsia="Times New Roman" w:hAnsi="Times New Roman" w:cs="David"/>
      <w:sz w:val="24"/>
      <w:szCs w:val="24"/>
    </w:rPr>
  </w:style>
  <w:style w:type="table" w:styleId="a7">
    <w:name w:val="Table Grid"/>
    <w:basedOn w:val="a1"/>
    <w:rsid w:val="00E473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7382"/>
  </w:style>
  <w:style w:type="paragraph" w:styleId="a9">
    <w:name w:val="List Paragraph"/>
    <w:basedOn w:val="a"/>
    <w:qFormat/>
    <w:rsid w:val="00E47382"/>
    <w:pPr>
      <w:ind w:left="720"/>
      <w:contextualSpacing/>
    </w:pPr>
  </w:style>
  <w:style w:type="character" w:styleId="Hyperlink">
    <w:name w:val="Hyperlink"/>
    <w:rsid w:val="003B7F3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5063920"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647303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830147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1399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8424228"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51094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6143</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3604600</vt:i4>
      </vt:variant>
      <vt:variant>
        <vt:i4>27</vt:i4>
      </vt:variant>
      <vt:variant>
        <vt:i4>0</vt:i4>
      </vt:variant>
      <vt:variant>
        <vt:i4>5</vt:i4>
      </vt:variant>
      <vt:variant>
        <vt:lpwstr>http://www.nevo.co.il/case/28301477</vt:lpwstr>
      </vt:variant>
      <vt:variant>
        <vt:lpwstr/>
      </vt:variant>
      <vt:variant>
        <vt:i4>3145852</vt:i4>
      </vt:variant>
      <vt:variant>
        <vt:i4>24</vt:i4>
      </vt:variant>
      <vt:variant>
        <vt:i4>0</vt:i4>
      </vt:variant>
      <vt:variant>
        <vt:i4>5</vt:i4>
      </vt:variant>
      <vt:variant>
        <vt:lpwstr>http://www.nevo.co.il/case/28424228</vt:lpwstr>
      </vt:variant>
      <vt:variant>
        <vt:lpwstr/>
      </vt:variant>
      <vt:variant>
        <vt:i4>3342459</vt:i4>
      </vt:variant>
      <vt:variant>
        <vt:i4>21</vt:i4>
      </vt:variant>
      <vt:variant>
        <vt:i4>0</vt:i4>
      </vt:variant>
      <vt:variant>
        <vt:i4>5</vt:i4>
      </vt:variant>
      <vt:variant>
        <vt:lpwstr>http://www.nevo.co.il/case/27510949</vt:lpwstr>
      </vt:variant>
      <vt:variant>
        <vt:lpwstr/>
      </vt:variant>
      <vt:variant>
        <vt:i4>3342462</vt:i4>
      </vt:variant>
      <vt:variant>
        <vt:i4>18</vt:i4>
      </vt:variant>
      <vt:variant>
        <vt:i4>0</vt:i4>
      </vt:variant>
      <vt:variant>
        <vt:i4>5</vt:i4>
      </vt:variant>
      <vt:variant>
        <vt:lpwstr>http://www.nevo.co.il/case/25063920</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3211386</vt:i4>
      </vt:variant>
      <vt:variant>
        <vt:i4>12</vt:i4>
      </vt:variant>
      <vt:variant>
        <vt:i4>0</vt:i4>
      </vt:variant>
      <vt:variant>
        <vt:i4>5</vt:i4>
      </vt:variant>
      <vt:variant>
        <vt:lpwstr>http://www.nevo.co.il/case/26913995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57002</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vt:lpwstr>
  </property>
  <property fmtid="{D5CDD505-2E9C-101B-9397-08002B2CF9AE}" pid="9" name="APPELLEE">
    <vt:lpwstr>אל אמין גנידה</vt:lpwstr>
  </property>
  <property fmtid="{D5CDD505-2E9C-101B-9397-08002B2CF9AE}" pid="10" name="LAWYER">
    <vt:lpwstr>מוחמד חלייאלה</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20231101</vt:lpwstr>
  </property>
  <property fmtid="{D5CDD505-2E9C-101B-9397-08002B2CF9AE}" pid="14" name="TYPE_N_DATE">
    <vt:lpwstr>38020231101</vt:lpwstr>
  </property>
  <property fmtid="{D5CDD505-2E9C-101B-9397-08002B2CF9AE}" pid="15" name="CASESLISTTMP1">
    <vt:lpwstr>26913995;25824863;25063920;27510949;28424228;28301477;6473037</vt:lpwstr>
  </property>
  <property fmtid="{D5CDD505-2E9C-101B-9397-08002B2CF9AE}" pid="16" name="WORDNUMPAGES">
    <vt:lpwstr>3</vt:lpwstr>
  </property>
  <property fmtid="{D5CDD505-2E9C-101B-9397-08002B2CF9AE}" pid="17" name="TYPE_ABS_DATE">
    <vt:lpwstr>380020231101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vt:lpwstr>
  </property>
</Properties>
</file>