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336C14" w:rsidRPr="00E267BC" w14:paraId="00F2B11B" w14:textId="77777777" w:rsidTr="00F77207">
        <w:trPr>
          <w:gridAfter w:val="1"/>
          <w:wAfter w:w="99" w:type="dxa"/>
          <w:trHeight w:hRule="exact" w:val="418"/>
          <w:jc w:val="center"/>
        </w:trPr>
        <w:tc>
          <w:tcPr>
            <w:tcW w:w="8721" w:type="dxa"/>
            <w:gridSpan w:val="4"/>
          </w:tcPr>
          <w:p w14:paraId="5686803E" w14:textId="77777777" w:rsidR="00336C14" w:rsidRPr="00E267BC" w:rsidRDefault="00336C14" w:rsidP="00F32B75">
            <w:pPr>
              <w:pStyle w:val="a3"/>
              <w:jc w:val="center"/>
              <w:rPr>
                <w:rFonts w:ascii="Tahoma" w:hAnsi="Tahoma" w:cs="Tahoma"/>
                <w:color w:val="000080"/>
                <w:rtl/>
              </w:rPr>
            </w:pPr>
            <w:bookmarkStart w:id="0" w:name="LastJudge"/>
            <w:r w:rsidRPr="00E267BC">
              <w:rPr>
                <w:rFonts w:ascii="Tahoma" w:hAnsi="Tahoma" w:cs="Tahoma"/>
                <w:b/>
                <w:bCs/>
                <w:color w:val="000080"/>
                <w:rtl/>
              </w:rPr>
              <w:t>בית משפט השלום בירושלים</w:t>
            </w:r>
          </w:p>
        </w:tc>
      </w:tr>
      <w:tr w:rsidR="00336C14" w:rsidRPr="00E267BC" w14:paraId="613A7A4E" w14:textId="77777777" w:rsidTr="00F77207">
        <w:trPr>
          <w:gridAfter w:val="1"/>
          <w:wAfter w:w="99" w:type="dxa"/>
          <w:trHeight w:val="337"/>
          <w:jc w:val="center"/>
        </w:trPr>
        <w:tc>
          <w:tcPr>
            <w:tcW w:w="5058" w:type="dxa"/>
            <w:gridSpan w:val="3"/>
          </w:tcPr>
          <w:p w14:paraId="7980FF78" w14:textId="77777777" w:rsidR="00336C14" w:rsidRPr="00E267BC" w:rsidRDefault="00336C14" w:rsidP="00F32B75">
            <w:pPr>
              <w:rPr>
                <w:rFonts w:cs="FrankRuehl"/>
                <w:sz w:val="28"/>
                <w:szCs w:val="28"/>
                <w:rtl/>
              </w:rPr>
            </w:pPr>
            <w:r w:rsidRPr="00E267BC">
              <w:rPr>
                <w:rFonts w:cs="FrankRuehl"/>
                <w:sz w:val="28"/>
                <w:szCs w:val="28"/>
                <w:rtl/>
              </w:rPr>
              <w:t>ת"פ</w:t>
            </w:r>
            <w:r w:rsidRPr="00E267BC">
              <w:rPr>
                <w:rFonts w:cs="FrankRuehl" w:hint="cs"/>
                <w:sz w:val="28"/>
                <w:szCs w:val="28"/>
                <w:rtl/>
              </w:rPr>
              <w:t xml:space="preserve"> </w:t>
            </w:r>
            <w:r w:rsidRPr="00E267BC">
              <w:rPr>
                <w:rFonts w:cs="FrankRuehl"/>
                <w:sz w:val="28"/>
                <w:szCs w:val="28"/>
                <w:rtl/>
              </w:rPr>
              <w:t>18449-04-23</w:t>
            </w:r>
            <w:r w:rsidRPr="00E267BC">
              <w:rPr>
                <w:rFonts w:cs="FrankRuehl" w:hint="cs"/>
                <w:sz w:val="28"/>
                <w:szCs w:val="28"/>
                <w:rtl/>
              </w:rPr>
              <w:t xml:space="preserve"> </w:t>
            </w:r>
            <w:r w:rsidRPr="00E267BC">
              <w:rPr>
                <w:rFonts w:cs="FrankRuehl"/>
                <w:sz w:val="28"/>
                <w:szCs w:val="28"/>
                <w:rtl/>
              </w:rPr>
              <w:t>מדינת ישראל נ' עמירה(עציר) ואח'</w:t>
            </w:r>
          </w:p>
          <w:p w14:paraId="64D5944E" w14:textId="77777777" w:rsidR="00336C14" w:rsidRPr="00E267BC" w:rsidRDefault="00336C14" w:rsidP="00F32B75">
            <w:pPr>
              <w:pStyle w:val="a3"/>
              <w:rPr>
                <w:rFonts w:cs="FrankRuehl"/>
                <w:sz w:val="28"/>
                <w:szCs w:val="28"/>
                <w:rtl/>
              </w:rPr>
            </w:pPr>
          </w:p>
        </w:tc>
        <w:tc>
          <w:tcPr>
            <w:tcW w:w="3663" w:type="dxa"/>
          </w:tcPr>
          <w:p w14:paraId="70A76780" w14:textId="77777777" w:rsidR="00336C14" w:rsidRPr="00E267BC" w:rsidRDefault="00336C14" w:rsidP="00F32B75">
            <w:pPr>
              <w:pStyle w:val="a3"/>
              <w:jc w:val="right"/>
              <w:rPr>
                <w:rFonts w:cs="FrankRuehl"/>
                <w:sz w:val="28"/>
                <w:szCs w:val="28"/>
                <w:rtl/>
              </w:rPr>
            </w:pPr>
          </w:p>
        </w:tc>
      </w:tr>
      <w:tr w:rsidR="00336C14" w:rsidRPr="00E267BC" w14:paraId="1674EED9" w14:textId="77777777" w:rsidTr="00F772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B72F641" w14:textId="77777777" w:rsidR="00336C14" w:rsidRPr="00E267BC" w:rsidRDefault="00336C14" w:rsidP="00336C14">
            <w:pPr>
              <w:jc w:val="both"/>
              <w:rPr>
                <w:rFonts w:ascii="David" w:hAnsi="David"/>
              </w:rPr>
            </w:pPr>
            <w:r w:rsidRPr="00E267BC">
              <w:rPr>
                <w:rFonts w:hint="cs"/>
                <w:rtl/>
              </w:rPr>
              <w:t xml:space="preserve"> </w:t>
            </w:r>
            <w:r w:rsidRPr="00E267BC">
              <w:rPr>
                <w:rFonts w:ascii="David" w:hAnsi="David" w:hint="cs"/>
                <w:rtl/>
              </w:rPr>
              <w:t>ל</w:t>
            </w:r>
            <w:r w:rsidRPr="00E267BC">
              <w:rPr>
                <w:rFonts w:ascii="David" w:hAnsi="David"/>
                <w:rtl/>
              </w:rPr>
              <w:t xml:space="preserve">פני </w:t>
            </w:r>
          </w:p>
        </w:tc>
        <w:tc>
          <w:tcPr>
            <w:tcW w:w="7897" w:type="dxa"/>
            <w:gridSpan w:val="4"/>
            <w:tcBorders>
              <w:top w:val="nil"/>
              <w:left w:val="nil"/>
              <w:bottom w:val="nil"/>
              <w:right w:val="nil"/>
            </w:tcBorders>
            <w:shd w:val="clear" w:color="auto" w:fill="auto"/>
          </w:tcPr>
          <w:p w14:paraId="245DCF04" w14:textId="77777777" w:rsidR="00336C14" w:rsidRPr="00E267BC" w:rsidRDefault="00336C14" w:rsidP="00F32B75">
            <w:pPr>
              <w:rPr>
                <w:rFonts w:ascii="David" w:hAnsi="David"/>
                <w:b/>
                <w:bCs/>
                <w:rtl/>
              </w:rPr>
            </w:pPr>
            <w:r w:rsidRPr="00E267BC">
              <w:rPr>
                <w:rFonts w:ascii="David" w:hAnsi="David"/>
                <w:b/>
                <w:bCs/>
                <w:rtl/>
              </w:rPr>
              <w:t>כבוד השופט  ארנון איתן</w:t>
            </w:r>
          </w:p>
          <w:p w14:paraId="3DDB9728" w14:textId="77777777" w:rsidR="00336C14" w:rsidRPr="00E267BC" w:rsidRDefault="00336C14" w:rsidP="00F32B75">
            <w:pPr>
              <w:rPr>
                <w:rFonts w:ascii="David" w:hAnsi="David"/>
                <w:rtl/>
              </w:rPr>
            </w:pPr>
          </w:p>
          <w:p w14:paraId="2C42B70B" w14:textId="77777777" w:rsidR="00336C14" w:rsidRPr="00E267BC" w:rsidRDefault="00336C14" w:rsidP="00336C14">
            <w:pPr>
              <w:jc w:val="both"/>
              <w:rPr>
                <w:rFonts w:ascii="David" w:hAnsi="David"/>
              </w:rPr>
            </w:pPr>
          </w:p>
        </w:tc>
      </w:tr>
      <w:tr w:rsidR="00336C14" w:rsidRPr="00E267BC" w14:paraId="2597755C" w14:textId="77777777" w:rsidTr="00F772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EFBCA1C" w14:textId="77777777" w:rsidR="00336C14" w:rsidRPr="00E267BC" w:rsidRDefault="00336C14" w:rsidP="00336C14">
            <w:pPr>
              <w:jc w:val="both"/>
              <w:rPr>
                <w:rFonts w:ascii="David" w:hAnsi="David"/>
              </w:rPr>
            </w:pPr>
            <w:bookmarkStart w:id="1" w:name="FirstAppellant"/>
            <w:r w:rsidRPr="00E267BC">
              <w:rPr>
                <w:rFonts w:ascii="David" w:hAnsi="David"/>
                <w:rtl/>
              </w:rPr>
              <w:t>בעניין:</w:t>
            </w:r>
          </w:p>
        </w:tc>
        <w:tc>
          <w:tcPr>
            <w:tcW w:w="3219" w:type="dxa"/>
            <w:tcBorders>
              <w:top w:val="nil"/>
              <w:left w:val="nil"/>
              <w:bottom w:val="nil"/>
              <w:right w:val="nil"/>
            </w:tcBorders>
            <w:shd w:val="clear" w:color="auto" w:fill="auto"/>
          </w:tcPr>
          <w:p w14:paraId="3C854E64" w14:textId="77777777" w:rsidR="00336C14" w:rsidRPr="00E267BC" w:rsidRDefault="00336C14" w:rsidP="00336C14">
            <w:pPr>
              <w:suppressLineNumbers/>
            </w:pPr>
            <w:r w:rsidRPr="00E267BC">
              <w:rPr>
                <w:rFonts w:ascii="Arial" w:hAnsi="Arial" w:hint="cs"/>
                <w:b/>
                <w:bCs/>
                <w:rtl/>
              </w:rPr>
              <w:t>ה</w:t>
            </w:r>
            <w:r w:rsidRPr="00E267BC">
              <w:rPr>
                <w:rFonts w:ascii="Arial" w:hAnsi="Arial"/>
                <w:b/>
                <w:bCs/>
                <w:rtl/>
              </w:rPr>
              <w:t>מאשימה</w:t>
            </w:r>
          </w:p>
          <w:p w14:paraId="611D3156" w14:textId="77777777" w:rsidR="00336C14" w:rsidRPr="00E267BC" w:rsidRDefault="00336C14" w:rsidP="00F32B75">
            <w:pPr>
              <w:rPr>
                <w:rFonts w:ascii="David" w:hAnsi="David"/>
              </w:rPr>
            </w:pPr>
          </w:p>
        </w:tc>
        <w:tc>
          <w:tcPr>
            <w:tcW w:w="4678" w:type="dxa"/>
            <w:gridSpan w:val="3"/>
            <w:tcBorders>
              <w:top w:val="nil"/>
              <w:left w:val="nil"/>
              <w:bottom w:val="nil"/>
              <w:right w:val="nil"/>
            </w:tcBorders>
            <w:shd w:val="clear" w:color="auto" w:fill="auto"/>
            <w:vAlign w:val="center"/>
          </w:tcPr>
          <w:p w14:paraId="37FA965F" w14:textId="77777777" w:rsidR="00336C14" w:rsidRPr="00E267BC" w:rsidRDefault="00336C14" w:rsidP="00336C14">
            <w:pPr>
              <w:suppressLineNumbers/>
              <w:rPr>
                <w:rFonts w:ascii="Arial" w:hAnsi="Arial"/>
                <w:b/>
                <w:bCs/>
                <w:rtl/>
              </w:rPr>
            </w:pPr>
            <w:r w:rsidRPr="00E267BC">
              <w:rPr>
                <w:rFonts w:ascii="Arial" w:hAnsi="Arial"/>
                <w:b/>
                <w:bCs/>
                <w:rtl/>
              </w:rPr>
              <w:t>מדינת ישראל</w:t>
            </w:r>
          </w:p>
          <w:p w14:paraId="23678418" w14:textId="77777777" w:rsidR="00336C14" w:rsidRPr="00E267BC" w:rsidRDefault="00336C14" w:rsidP="00336C14">
            <w:pPr>
              <w:suppressLineNumbers/>
              <w:spacing w:line="276" w:lineRule="auto"/>
            </w:pPr>
            <w:r w:rsidRPr="00E267BC">
              <w:rPr>
                <w:rtl/>
              </w:rPr>
              <w:t>באמצעות פרקליטות מחוז ירושלים - פלילי</w:t>
            </w:r>
          </w:p>
          <w:p w14:paraId="55434E6E" w14:textId="77777777" w:rsidR="00336C14" w:rsidRPr="00E267BC" w:rsidRDefault="00336C14" w:rsidP="00336C14">
            <w:pPr>
              <w:suppressLineNumbers/>
            </w:pPr>
          </w:p>
          <w:p w14:paraId="1224B744" w14:textId="77777777" w:rsidR="00336C14" w:rsidRPr="00E267BC" w:rsidRDefault="00336C14" w:rsidP="00F32B75">
            <w:pPr>
              <w:rPr>
                <w:rFonts w:ascii="David" w:hAnsi="David"/>
              </w:rPr>
            </w:pPr>
          </w:p>
        </w:tc>
      </w:tr>
      <w:bookmarkEnd w:id="1"/>
      <w:tr w:rsidR="00336C14" w:rsidRPr="00E267BC" w14:paraId="69E636E5" w14:textId="77777777" w:rsidTr="00F772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E7E131A" w14:textId="77777777" w:rsidR="00336C14" w:rsidRPr="00E267BC" w:rsidRDefault="00336C14" w:rsidP="00336C14">
            <w:pPr>
              <w:jc w:val="both"/>
              <w:rPr>
                <w:rFonts w:ascii="David" w:hAnsi="David"/>
                <w:rtl/>
              </w:rPr>
            </w:pPr>
          </w:p>
        </w:tc>
        <w:tc>
          <w:tcPr>
            <w:tcW w:w="7897" w:type="dxa"/>
            <w:gridSpan w:val="4"/>
            <w:tcBorders>
              <w:top w:val="nil"/>
              <w:left w:val="nil"/>
              <w:bottom w:val="nil"/>
              <w:right w:val="nil"/>
            </w:tcBorders>
            <w:shd w:val="clear" w:color="auto" w:fill="auto"/>
          </w:tcPr>
          <w:p w14:paraId="05AFADA2" w14:textId="77777777" w:rsidR="00336C14" w:rsidRPr="00E267BC" w:rsidRDefault="00336C14" w:rsidP="00336C14">
            <w:pPr>
              <w:jc w:val="center"/>
              <w:rPr>
                <w:rFonts w:ascii="David" w:hAnsi="David"/>
                <w:b/>
                <w:bCs/>
                <w:rtl/>
              </w:rPr>
            </w:pPr>
          </w:p>
          <w:p w14:paraId="3FA4C385" w14:textId="77777777" w:rsidR="00336C14" w:rsidRPr="00E267BC" w:rsidRDefault="00336C14" w:rsidP="00336C14">
            <w:pPr>
              <w:jc w:val="center"/>
              <w:rPr>
                <w:rFonts w:ascii="David" w:hAnsi="David"/>
                <w:b/>
                <w:bCs/>
                <w:rtl/>
              </w:rPr>
            </w:pPr>
            <w:r w:rsidRPr="00E267BC">
              <w:rPr>
                <w:rFonts w:ascii="David" w:hAnsi="David"/>
                <w:b/>
                <w:bCs/>
                <w:rtl/>
              </w:rPr>
              <w:t>נגד</w:t>
            </w:r>
          </w:p>
          <w:p w14:paraId="2EED8A7A" w14:textId="77777777" w:rsidR="00336C14" w:rsidRPr="00E267BC" w:rsidRDefault="00336C14" w:rsidP="00336C14">
            <w:pPr>
              <w:jc w:val="both"/>
              <w:rPr>
                <w:rFonts w:ascii="David" w:hAnsi="David"/>
              </w:rPr>
            </w:pPr>
          </w:p>
        </w:tc>
      </w:tr>
      <w:tr w:rsidR="00336C14" w:rsidRPr="00E267BC" w14:paraId="16A524EA" w14:textId="77777777" w:rsidTr="00F772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FD4E175" w14:textId="77777777" w:rsidR="00336C14" w:rsidRPr="00E267BC" w:rsidRDefault="00336C14" w:rsidP="00F32B75">
            <w:pPr>
              <w:rPr>
                <w:rFonts w:ascii="David" w:hAnsi="David"/>
                <w:rtl/>
              </w:rPr>
            </w:pPr>
          </w:p>
        </w:tc>
        <w:tc>
          <w:tcPr>
            <w:tcW w:w="3219" w:type="dxa"/>
            <w:tcBorders>
              <w:top w:val="nil"/>
              <w:left w:val="nil"/>
              <w:bottom w:val="nil"/>
              <w:right w:val="nil"/>
            </w:tcBorders>
            <w:shd w:val="clear" w:color="auto" w:fill="auto"/>
          </w:tcPr>
          <w:p w14:paraId="64DA1F6A" w14:textId="77777777" w:rsidR="00336C14" w:rsidRPr="00E267BC" w:rsidRDefault="00336C14" w:rsidP="00F32B75">
            <w:pPr>
              <w:rPr>
                <w:rFonts w:ascii="Arial" w:hAnsi="Arial"/>
                <w:b/>
                <w:bCs/>
                <w:rtl/>
              </w:rPr>
            </w:pPr>
            <w:r w:rsidRPr="00E267BC">
              <w:rPr>
                <w:rFonts w:ascii="Arial" w:hAnsi="Arial"/>
                <w:b/>
                <w:bCs/>
                <w:rtl/>
              </w:rPr>
              <w:t>הנאשמים</w:t>
            </w:r>
          </w:p>
        </w:tc>
        <w:tc>
          <w:tcPr>
            <w:tcW w:w="4678" w:type="dxa"/>
            <w:gridSpan w:val="3"/>
            <w:tcBorders>
              <w:top w:val="nil"/>
              <w:left w:val="nil"/>
              <w:bottom w:val="nil"/>
              <w:right w:val="nil"/>
            </w:tcBorders>
            <w:shd w:val="clear" w:color="auto" w:fill="auto"/>
            <w:vAlign w:val="center"/>
          </w:tcPr>
          <w:p w14:paraId="1EF42483" w14:textId="77777777" w:rsidR="00336C14" w:rsidRPr="00E267BC" w:rsidRDefault="00336C14" w:rsidP="00F32B75">
            <w:pPr>
              <w:rPr>
                <w:rFonts w:ascii="David" w:hAnsi="David"/>
              </w:rPr>
            </w:pPr>
          </w:p>
          <w:p w14:paraId="17298ADC" w14:textId="77777777" w:rsidR="00336C14" w:rsidRPr="00E267BC" w:rsidRDefault="00336C14" w:rsidP="00336C14">
            <w:pPr>
              <w:suppressLineNumbers/>
              <w:spacing w:line="276" w:lineRule="auto"/>
            </w:pPr>
            <w:r w:rsidRPr="00E267BC">
              <w:rPr>
                <w:rFonts w:ascii="Arial" w:hAnsi="Arial"/>
                <w:b/>
                <w:bCs/>
                <w:rtl/>
              </w:rPr>
              <w:t>1. יזן עמירה (עציר)</w:t>
            </w:r>
            <w:r w:rsidRPr="00E267BC">
              <w:rPr>
                <w:rFonts w:ascii="Arial" w:hAnsi="Arial"/>
                <w:b/>
                <w:bCs/>
                <w:rtl/>
              </w:rPr>
              <w:br/>
              <w:t xml:space="preserve">    </w:t>
            </w:r>
            <w:r w:rsidRPr="00E267BC">
              <w:rPr>
                <w:rFonts w:ascii="Arial" w:hAnsi="Arial"/>
                <w:rtl/>
              </w:rPr>
              <w:t>ע"י ב"כ עוה"ד</w:t>
            </w:r>
            <w:r w:rsidRPr="00E267BC">
              <w:rPr>
                <w:rtl/>
              </w:rPr>
              <w:t xml:space="preserve"> אחמד עואודה</w:t>
            </w:r>
          </w:p>
          <w:p w14:paraId="2FC0E886" w14:textId="77777777" w:rsidR="00336C14" w:rsidRPr="00E267BC" w:rsidRDefault="00336C14" w:rsidP="00336C14">
            <w:pPr>
              <w:suppressLineNumbers/>
              <w:spacing w:line="276" w:lineRule="auto"/>
            </w:pPr>
            <w:r w:rsidRPr="00E267BC">
              <w:rPr>
                <w:rFonts w:ascii="Arial" w:hAnsi="Arial"/>
                <w:b/>
                <w:bCs/>
                <w:rtl/>
              </w:rPr>
              <w:t>2. גאהד עמירה (עציר)</w:t>
            </w:r>
            <w:r w:rsidRPr="00E267BC">
              <w:rPr>
                <w:rFonts w:ascii="Arial" w:hAnsi="Arial"/>
                <w:b/>
                <w:bCs/>
                <w:rtl/>
              </w:rPr>
              <w:br/>
              <w:t xml:space="preserve">    </w:t>
            </w:r>
            <w:r w:rsidRPr="00E267BC">
              <w:rPr>
                <w:rFonts w:ascii="Arial" w:hAnsi="Arial"/>
                <w:rtl/>
              </w:rPr>
              <w:t>ע"י ב"כ עוה"ד</w:t>
            </w:r>
            <w:r w:rsidRPr="00E267BC">
              <w:rPr>
                <w:rtl/>
              </w:rPr>
              <w:t xml:space="preserve"> מוחמד חלאילה</w:t>
            </w:r>
          </w:p>
        </w:tc>
      </w:tr>
    </w:tbl>
    <w:p w14:paraId="5885DC61" w14:textId="77777777" w:rsidR="00E267BC" w:rsidRPr="00E267BC" w:rsidRDefault="00E267BC" w:rsidP="00E267BC">
      <w:pPr>
        <w:spacing w:before="120" w:after="120" w:line="240" w:lineRule="exact"/>
        <w:ind w:left="283" w:hanging="283"/>
        <w:jc w:val="both"/>
        <w:rPr>
          <w:rFonts w:ascii="FrankRuehl" w:hAnsi="FrankRuehl" w:cs="FrankRuehl"/>
          <w:rtl/>
        </w:rPr>
      </w:pPr>
    </w:p>
    <w:p w14:paraId="226457FF" w14:textId="77777777" w:rsidR="00E267BC" w:rsidRPr="00E267BC" w:rsidRDefault="00E267BC" w:rsidP="00E267BC">
      <w:pPr>
        <w:rPr>
          <w:rtl/>
        </w:rPr>
      </w:pPr>
    </w:p>
    <w:p w14:paraId="7E90948B" w14:textId="77777777" w:rsidR="00F77207" w:rsidRPr="00F77207" w:rsidRDefault="00F77207" w:rsidP="00F77207">
      <w:pPr>
        <w:spacing w:before="120" w:after="120" w:line="240" w:lineRule="exact"/>
        <w:ind w:left="283" w:hanging="283"/>
        <w:jc w:val="both"/>
        <w:rPr>
          <w:rFonts w:ascii="FrankRuehl" w:hAnsi="FrankRuehl" w:cs="FrankRuehl"/>
          <w:rtl/>
        </w:rPr>
      </w:pPr>
    </w:p>
    <w:p w14:paraId="0B9FA092" w14:textId="77777777" w:rsidR="00BC325D" w:rsidRPr="00BC325D" w:rsidRDefault="00BC325D" w:rsidP="00BC325D">
      <w:pPr>
        <w:spacing w:before="120" w:after="120" w:line="240" w:lineRule="exact"/>
        <w:ind w:left="283" w:hanging="283"/>
        <w:jc w:val="both"/>
        <w:rPr>
          <w:rFonts w:ascii="FrankRuehl" w:hAnsi="FrankRuehl" w:cs="FrankRuehl"/>
          <w:rtl/>
        </w:rPr>
      </w:pPr>
    </w:p>
    <w:p w14:paraId="05DFAF20" w14:textId="77777777" w:rsidR="00B3506F" w:rsidRDefault="00B3506F" w:rsidP="00B3506F">
      <w:pPr>
        <w:rPr>
          <w:rtl/>
        </w:rPr>
      </w:pPr>
      <w:bookmarkStart w:id="2" w:name="LawTable"/>
      <w:bookmarkEnd w:id="2"/>
    </w:p>
    <w:p w14:paraId="714E06EF" w14:textId="77777777" w:rsidR="00B3506F" w:rsidRPr="00B3506F" w:rsidRDefault="00B3506F" w:rsidP="00B3506F">
      <w:pPr>
        <w:spacing w:before="120" w:after="120" w:line="240" w:lineRule="exact"/>
        <w:ind w:left="283" w:hanging="283"/>
        <w:jc w:val="both"/>
        <w:rPr>
          <w:rFonts w:ascii="FrankRuehl" w:hAnsi="FrankRuehl" w:cs="FrankRuehl"/>
          <w:rtl/>
        </w:rPr>
      </w:pPr>
    </w:p>
    <w:p w14:paraId="596CF463" w14:textId="77777777" w:rsidR="00B3506F" w:rsidRPr="00B3506F" w:rsidRDefault="00B3506F" w:rsidP="00B3506F">
      <w:pPr>
        <w:spacing w:before="120" w:after="120" w:line="240" w:lineRule="exact"/>
        <w:ind w:left="283" w:hanging="283"/>
        <w:jc w:val="both"/>
        <w:rPr>
          <w:rFonts w:ascii="FrankRuehl" w:hAnsi="FrankRuehl" w:cs="FrankRuehl"/>
          <w:rtl/>
        </w:rPr>
      </w:pPr>
    </w:p>
    <w:p w14:paraId="43E853A7" w14:textId="77777777" w:rsidR="00B3506F" w:rsidRPr="00B3506F" w:rsidRDefault="00B3506F" w:rsidP="00B3506F">
      <w:pPr>
        <w:spacing w:before="120" w:after="120" w:line="240" w:lineRule="exact"/>
        <w:ind w:left="283" w:hanging="283"/>
        <w:jc w:val="both"/>
        <w:rPr>
          <w:rFonts w:ascii="FrankRuehl" w:hAnsi="FrankRuehl" w:cs="FrankRuehl"/>
          <w:rtl/>
        </w:rPr>
      </w:pPr>
      <w:r w:rsidRPr="00B3506F">
        <w:rPr>
          <w:rFonts w:ascii="FrankRuehl" w:hAnsi="FrankRuehl" w:cs="FrankRuehl"/>
          <w:rtl/>
        </w:rPr>
        <w:t xml:space="preserve">חקיקה שאוזכרה: </w:t>
      </w:r>
    </w:p>
    <w:p w14:paraId="42DE17C4" w14:textId="77777777" w:rsidR="00B3506F" w:rsidRPr="00B3506F" w:rsidRDefault="00B3506F" w:rsidP="00B3506F">
      <w:pPr>
        <w:spacing w:before="120" w:after="120" w:line="240" w:lineRule="exact"/>
        <w:ind w:left="283" w:hanging="283"/>
        <w:jc w:val="both"/>
        <w:rPr>
          <w:rFonts w:ascii="FrankRuehl" w:hAnsi="FrankRuehl" w:cs="FrankRuehl"/>
          <w:rtl/>
        </w:rPr>
      </w:pPr>
      <w:hyperlink r:id="rId7" w:history="1">
        <w:r w:rsidRPr="00B3506F">
          <w:rPr>
            <w:rFonts w:ascii="FrankRuehl" w:hAnsi="FrankRuehl" w:cs="FrankRuehl"/>
            <w:color w:val="0000FF"/>
            <w:rtl/>
          </w:rPr>
          <w:t>חוק העונשין, תשל"ז-1977</w:t>
        </w:r>
      </w:hyperlink>
      <w:r w:rsidRPr="00B3506F">
        <w:rPr>
          <w:rFonts w:ascii="FrankRuehl" w:hAnsi="FrankRuehl" w:cs="FrankRuehl"/>
          <w:rtl/>
        </w:rPr>
        <w:t xml:space="preserve">: סע'  </w:t>
      </w:r>
      <w:hyperlink r:id="rId8" w:history="1">
        <w:r w:rsidRPr="00B3506F">
          <w:rPr>
            <w:rFonts w:ascii="FrankRuehl" w:hAnsi="FrankRuehl" w:cs="FrankRuehl"/>
            <w:color w:val="0000FF"/>
            <w:rtl/>
          </w:rPr>
          <w:t>144</w:t>
        </w:r>
      </w:hyperlink>
      <w:r w:rsidRPr="00B3506F">
        <w:rPr>
          <w:rFonts w:ascii="FrankRuehl" w:hAnsi="FrankRuehl" w:cs="FrankRuehl"/>
          <w:rtl/>
        </w:rPr>
        <w:t xml:space="preserve">, </w:t>
      </w:r>
      <w:hyperlink r:id="rId9" w:history="1">
        <w:r w:rsidRPr="00B3506F">
          <w:rPr>
            <w:rFonts w:ascii="FrankRuehl" w:hAnsi="FrankRuehl" w:cs="FrankRuehl"/>
            <w:color w:val="0000FF"/>
            <w:rtl/>
          </w:rPr>
          <w:t>144(א)</w:t>
        </w:r>
      </w:hyperlink>
    </w:p>
    <w:p w14:paraId="5D429BD5" w14:textId="77777777" w:rsidR="00B3506F" w:rsidRPr="00B3506F" w:rsidRDefault="00B3506F" w:rsidP="00B3506F">
      <w:pPr>
        <w:rPr>
          <w:rtl/>
        </w:rPr>
      </w:pPr>
      <w:bookmarkStart w:id="3" w:name="LawTable_End"/>
      <w:bookmarkEnd w:id="3"/>
    </w:p>
    <w:p w14:paraId="5F612E37" w14:textId="77777777" w:rsidR="00336C14" w:rsidRPr="00BC325D" w:rsidRDefault="00336C14" w:rsidP="00BC325D"/>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36C14" w:rsidRPr="00743A39" w14:paraId="4D77170E" w14:textId="77777777" w:rsidTr="00336C14">
        <w:trPr>
          <w:trHeight w:val="355"/>
          <w:jc w:val="center"/>
        </w:trPr>
        <w:tc>
          <w:tcPr>
            <w:tcW w:w="8820" w:type="dxa"/>
            <w:tcBorders>
              <w:top w:val="nil"/>
              <w:left w:val="nil"/>
              <w:bottom w:val="nil"/>
              <w:right w:val="nil"/>
            </w:tcBorders>
            <w:shd w:val="clear" w:color="auto" w:fill="auto"/>
          </w:tcPr>
          <w:p w14:paraId="2E36ED24" w14:textId="77777777" w:rsidR="00E267BC" w:rsidRPr="00E267BC" w:rsidRDefault="00E267BC" w:rsidP="00E267BC">
            <w:pPr>
              <w:jc w:val="center"/>
              <w:rPr>
                <w:rFonts w:ascii="David" w:hAnsi="David"/>
                <w:b/>
                <w:bCs/>
                <w:u w:val="single"/>
                <w:rtl/>
              </w:rPr>
            </w:pPr>
            <w:bookmarkStart w:id="4" w:name="PsakDin" w:colFirst="0" w:colLast="0"/>
            <w:bookmarkEnd w:id="0"/>
            <w:r w:rsidRPr="00E267BC">
              <w:rPr>
                <w:rFonts w:ascii="David" w:hAnsi="David"/>
                <w:b/>
                <w:bCs/>
                <w:u w:val="single"/>
                <w:rtl/>
              </w:rPr>
              <w:t>גזר דין</w:t>
            </w:r>
          </w:p>
          <w:p w14:paraId="0C344CE8" w14:textId="77777777" w:rsidR="00336C14" w:rsidRPr="00E267BC" w:rsidRDefault="00336C14" w:rsidP="00E267BC">
            <w:pPr>
              <w:jc w:val="center"/>
              <w:rPr>
                <w:rFonts w:ascii="David" w:hAnsi="David"/>
                <w:bCs/>
                <w:u w:val="single"/>
                <w:rtl/>
              </w:rPr>
            </w:pPr>
          </w:p>
        </w:tc>
      </w:tr>
      <w:bookmarkEnd w:id="4"/>
    </w:tbl>
    <w:p w14:paraId="6CBC4575" w14:textId="77777777" w:rsidR="00336C14" w:rsidRPr="00743A39" w:rsidRDefault="00336C14" w:rsidP="00336C14">
      <w:pPr>
        <w:rPr>
          <w:rFonts w:ascii="Arial" w:hAnsi="Arial"/>
          <w:b/>
          <w:bCs/>
          <w:rtl/>
        </w:rPr>
      </w:pPr>
    </w:p>
    <w:p w14:paraId="0DC17D63" w14:textId="77777777" w:rsidR="00336C14" w:rsidRPr="00743A39" w:rsidRDefault="00336C14" w:rsidP="00336C14">
      <w:pPr>
        <w:pStyle w:val="a9"/>
        <w:numPr>
          <w:ilvl w:val="0"/>
          <w:numId w:val="2"/>
        </w:numPr>
        <w:spacing w:line="360" w:lineRule="auto"/>
        <w:jc w:val="both"/>
        <w:rPr>
          <w:rFonts w:ascii="David" w:hAnsi="David"/>
          <w:color w:val="000000"/>
          <w:rtl/>
        </w:rPr>
      </w:pPr>
      <w:bookmarkStart w:id="5" w:name="ABSTRACT_START"/>
      <w:bookmarkEnd w:id="5"/>
      <w:r w:rsidRPr="00743A39">
        <w:rPr>
          <w:rFonts w:ascii="David" w:hAnsi="David"/>
          <w:color w:val="000000"/>
          <w:rtl/>
        </w:rPr>
        <w:t>הנאשמים הורשעו על פי הודאתם, ובמסגרת הסדר טיעון, בכתב אישום מתוקן המייחס להם עבירה של</w:t>
      </w:r>
      <w:r w:rsidRPr="00743A39">
        <w:rPr>
          <w:rFonts w:ascii="Arial" w:hAnsi="Arial"/>
          <w:b/>
          <w:bCs/>
          <w:sz w:val="26"/>
          <w:szCs w:val="26"/>
          <w:rtl/>
        </w:rPr>
        <w:t xml:space="preserve"> </w:t>
      </w:r>
      <w:r w:rsidRPr="00743A39">
        <w:rPr>
          <w:rFonts w:ascii="David" w:hAnsi="David"/>
          <w:color w:val="000000"/>
          <w:rtl/>
        </w:rPr>
        <w:t xml:space="preserve">החזקת נשק לפי </w:t>
      </w:r>
      <w:hyperlink r:id="rId10" w:history="1">
        <w:r w:rsidR="00F77207" w:rsidRPr="00F77207">
          <w:rPr>
            <w:rStyle w:val="Hyperlink"/>
            <w:rFonts w:ascii="David" w:hAnsi="David"/>
            <w:rtl/>
          </w:rPr>
          <w:t>סעיף 144(א)</w:t>
        </w:r>
      </w:hyperlink>
      <w:r w:rsidRPr="00743A39">
        <w:rPr>
          <w:rFonts w:ascii="David" w:hAnsi="David"/>
          <w:color w:val="000000"/>
          <w:rtl/>
        </w:rPr>
        <w:t xml:space="preserve"> רישא ל</w:t>
      </w:r>
      <w:hyperlink r:id="rId11" w:history="1">
        <w:r w:rsidR="00E267BC" w:rsidRPr="00E267BC">
          <w:rPr>
            <w:rFonts w:ascii="David" w:hAnsi="David"/>
            <w:color w:val="0000FF"/>
            <w:u w:val="single"/>
            <w:rtl/>
          </w:rPr>
          <w:t>חוק העונשין</w:t>
        </w:r>
      </w:hyperlink>
      <w:r w:rsidRPr="00743A39">
        <w:rPr>
          <w:rFonts w:ascii="David" w:hAnsi="David"/>
          <w:color w:val="000000"/>
          <w:rtl/>
        </w:rPr>
        <w:t xml:space="preserve"> תשל"ז-1977 (להלן: "</w:t>
      </w:r>
      <w:r w:rsidRPr="00743A39">
        <w:rPr>
          <w:rFonts w:ascii="David" w:hAnsi="David"/>
          <w:b/>
          <w:bCs/>
          <w:color w:val="000000"/>
          <w:rtl/>
        </w:rPr>
        <w:t>החוק</w:t>
      </w:r>
      <w:r w:rsidRPr="00743A39">
        <w:rPr>
          <w:rFonts w:ascii="David" w:hAnsi="David"/>
          <w:color w:val="000000"/>
          <w:rtl/>
        </w:rPr>
        <w:t>"), ועבירה של</w:t>
      </w:r>
      <w:r w:rsidRPr="00743A39">
        <w:rPr>
          <w:rFonts w:ascii="Arial" w:hAnsi="Arial"/>
          <w:b/>
          <w:bCs/>
          <w:sz w:val="26"/>
          <w:szCs w:val="26"/>
          <w:rtl/>
        </w:rPr>
        <w:t xml:space="preserve"> </w:t>
      </w:r>
      <w:r w:rsidRPr="00743A39">
        <w:rPr>
          <w:rFonts w:ascii="David" w:hAnsi="David"/>
          <w:color w:val="000000"/>
          <w:rtl/>
        </w:rPr>
        <w:t xml:space="preserve">החזקת אביזרי נשק ותחמושת לפי </w:t>
      </w:r>
      <w:hyperlink r:id="rId12" w:history="1">
        <w:r w:rsidR="00F77207" w:rsidRPr="00F77207">
          <w:rPr>
            <w:rStyle w:val="Hyperlink"/>
            <w:rFonts w:ascii="David" w:hAnsi="David"/>
            <w:rtl/>
          </w:rPr>
          <w:t>סעיף 144(א)</w:t>
        </w:r>
      </w:hyperlink>
      <w:r w:rsidRPr="00743A39">
        <w:rPr>
          <w:rFonts w:ascii="David" w:hAnsi="David"/>
          <w:color w:val="000000"/>
          <w:rtl/>
        </w:rPr>
        <w:t xml:space="preserve"> לחוק. </w:t>
      </w:r>
    </w:p>
    <w:p w14:paraId="52F3F763" w14:textId="77777777" w:rsidR="00336C14" w:rsidRDefault="00336C14" w:rsidP="00336C14">
      <w:pPr>
        <w:pStyle w:val="a9"/>
        <w:numPr>
          <w:ilvl w:val="0"/>
          <w:numId w:val="2"/>
        </w:numPr>
        <w:spacing w:line="360" w:lineRule="auto"/>
        <w:jc w:val="both"/>
        <w:rPr>
          <w:rFonts w:ascii="David" w:hAnsi="David"/>
          <w:color w:val="000000"/>
        </w:rPr>
      </w:pPr>
      <w:r w:rsidRPr="00743A39">
        <w:rPr>
          <w:rFonts w:ascii="David" w:hAnsi="David"/>
          <w:color w:val="000000"/>
          <w:rtl/>
        </w:rPr>
        <w:t>על פי המתואר בכתב האישום, ממועד שאינו ידוע במדויק למאשימה ועד יום 15.3.23, החזיקו הנאשמים בחצר שטח ביתם נשק, ותחמושת לנשק, כמפורט להלן:</w:t>
      </w:r>
      <w:r w:rsidRPr="00743A39">
        <w:rPr>
          <w:rFonts w:ascii="David" w:hAnsi="David" w:hint="cs"/>
          <w:color w:val="000000"/>
          <w:rtl/>
        </w:rPr>
        <w:t xml:space="preserve"> </w:t>
      </w:r>
    </w:p>
    <w:p w14:paraId="7466622F" w14:textId="77777777" w:rsidR="00336C14" w:rsidRPr="00743A39" w:rsidRDefault="00336C14" w:rsidP="00336C14">
      <w:pPr>
        <w:pStyle w:val="a9"/>
        <w:numPr>
          <w:ilvl w:val="0"/>
          <w:numId w:val="2"/>
        </w:numPr>
        <w:spacing w:after="160" w:line="360" w:lineRule="auto"/>
        <w:jc w:val="both"/>
        <w:rPr>
          <w:rFonts w:ascii="Arial" w:hAnsi="Arial"/>
          <w:rtl/>
        </w:rPr>
      </w:pPr>
      <w:r>
        <w:rPr>
          <w:rFonts w:ascii="David" w:hAnsi="David" w:hint="cs"/>
          <w:color w:val="000000"/>
          <w:rtl/>
        </w:rPr>
        <w:t>ד</w:t>
      </w:r>
      <w:r w:rsidRPr="00743A39">
        <w:rPr>
          <w:rFonts w:ascii="David" w:hAnsi="David"/>
          <w:color w:val="000000"/>
          <w:rtl/>
        </w:rPr>
        <w:t>מוי רובה ציד מאולתר יורה שבכוחו להמית אדם, 4 כדורי תחמושת ותרמיל תואמים</w:t>
      </w:r>
      <w:bookmarkStart w:id="6" w:name="ABSTRACT_END"/>
      <w:bookmarkEnd w:id="6"/>
      <w:r w:rsidRPr="00743A39">
        <w:rPr>
          <w:rFonts w:ascii="David" w:hAnsi="David"/>
          <w:color w:val="000000"/>
          <w:rtl/>
        </w:rPr>
        <w:t>.</w:t>
      </w:r>
      <w:r w:rsidRPr="00743A39">
        <w:rPr>
          <w:rFonts w:ascii="Arial" w:hAnsi="Arial"/>
          <w:rtl/>
        </w:rPr>
        <w:t xml:space="preserve"> </w:t>
      </w:r>
    </w:p>
    <w:p w14:paraId="16D1A162" w14:textId="77777777" w:rsidR="00336C14" w:rsidRPr="002E4B8C" w:rsidRDefault="00336C14" w:rsidP="00336C14">
      <w:pPr>
        <w:spacing w:line="360" w:lineRule="auto"/>
        <w:ind w:firstLine="390"/>
        <w:jc w:val="both"/>
        <w:rPr>
          <w:rFonts w:ascii="Arial" w:hAnsi="Arial"/>
          <w:b/>
          <w:bCs/>
          <w:u w:val="single"/>
          <w:rtl/>
        </w:rPr>
      </w:pPr>
      <w:r w:rsidRPr="002E4B8C">
        <w:rPr>
          <w:rFonts w:ascii="Arial" w:hAnsi="Arial"/>
          <w:b/>
          <w:bCs/>
          <w:u w:val="single"/>
          <w:rtl/>
        </w:rPr>
        <w:t>טענות הצדדים</w:t>
      </w:r>
    </w:p>
    <w:p w14:paraId="0328ED45" w14:textId="77777777" w:rsidR="00336C14" w:rsidRPr="00743A39" w:rsidRDefault="00336C14" w:rsidP="00336C14">
      <w:pPr>
        <w:pStyle w:val="a9"/>
        <w:numPr>
          <w:ilvl w:val="0"/>
          <w:numId w:val="2"/>
        </w:numPr>
        <w:spacing w:line="360" w:lineRule="auto"/>
        <w:jc w:val="both"/>
        <w:rPr>
          <w:rFonts w:ascii="Arial" w:hAnsi="Arial"/>
          <w:rtl/>
        </w:rPr>
      </w:pPr>
      <w:r w:rsidRPr="00743A39">
        <w:rPr>
          <w:rFonts w:ascii="Arial" w:hAnsi="Arial"/>
          <w:rtl/>
        </w:rPr>
        <w:lastRenderedPageBreak/>
        <w:t>המאשימה ה</w:t>
      </w:r>
      <w:r>
        <w:rPr>
          <w:rFonts w:ascii="Arial" w:hAnsi="Arial" w:hint="cs"/>
          <w:rtl/>
        </w:rPr>
        <w:t>פנתה לר</w:t>
      </w:r>
      <w:r w:rsidRPr="00743A39">
        <w:rPr>
          <w:rFonts w:ascii="Arial" w:hAnsi="Arial"/>
          <w:rtl/>
        </w:rPr>
        <w:t xml:space="preserve">ישום פלילי </w:t>
      </w:r>
      <w:r>
        <w:rPr>
          <w:rFonts w:ascii="Arial" w:hAnsi="Arial" w:hint="cs"/>
          <w:rtl/>
        </w:rPr>
        <w:t xml:space="preserve">קודם </w:t>
      </w:r>
      <w:r w:rsidRPr="00743A39">
        <w:rPr>
          <w:rFonts w:ascii="Arial" w:hAnsi="Arial"/>
          <w:rtl/>
        </w:rPr>
        <w:t>בעניינו של נאשם 2, ו</w:t>
      </w:r>
      <w:r>
        <w:rPr>
          <w:rFonts w:ascii="Arial" w:hAnsi="Arial" w:hint="cs"/>
          <w:rtl/>
        </w:rPr>
        <w:t xml:space="preserve">מאסר על תנאי להפעלה </w:t>
      </w:r>
      <w:r w:rsidRPr="00743A39">
        <w:rPr>
          <w:rFonts w:ascii="Arial" w:hAnsi="Arial"/>
          <w:rtl/>
        </w:rPr>
        <w:t>בעניינו. לעניין הערכים המוגנים בהם פגעו</w:t>
      </w:r>
      <w:r>
        <w:rPr>
          <w:rFonts w:ascii="Arial" w:hAnsi="Arial" w:hint="cs"/>
          <w:rtl/>
        </w:rPr>
        <w:t xml:space="preserve"> הנאשמים,</w:t>
      </w:r>
      <w:r w:rsidRPr="00743A39">
        <w:rPr>
          <w:rFonts w:ascii="Arial" w:hAnsi="Arial"/>
          <w:rtl/>
        </w:rPr>
        <w:t xml:space="preserve"> ציינה המאשימה</w:t>
      </w:r>
      <w:r>
        <w:rPr>
          <w:rFonts w:ascii="Arial" w:hAnsi="Arial" w:hint="cs"/>
          <w:rtl/>
        </w:rPr>
        <w:t>,</w:t>
      </w:r>
      <w:r w:rsidRPr="00743A39">
        <w:rPr>
          <w:rFonts w:ascii="Arial" w:hAnsi="Arial"/>
          <w:rtl/>
        </w:rPr>
        <w:t xml:space="preserve"> כי עבירות הנשק בהן הורשעו  טומנות בחובן סיכון ממשי, בין לפעולה עבריינית ובין לפעולת טרור, כאשר החזקתו יכולה להוביל לכך שיגיע לידיים נוספות זולת המחזיק מלכתחילה, דבר שמגביר את עוצמת הסיכונים הנשקפים ממנו לשלום הציבור, בטחונו האישי, שלמות הגוף, הרכוש, עיקרון שלטון החוק והסדר הציבורי.</w:t>
      </w:r>
    </w:p>
    <w:p w14:paraId="54231A2D" w14:textId="77777777" w:rsidR="00336C14" w:rsidRPr="00743A39" w:rsidRDefault="00336C14" w:rsidP="00336C14">
      <w:pPr>
        <w:pStyle w:val="a9"/>
        <w:numPr>
          <w:ilvl w:val="0"/>
          <w:numId w:val="2"/>
        </w:numPr>
        <w:spacing w:line="360" w:lineRule="auto"/>
        <w:jc w:val="both"/>
        <w:rPr>
          <w:rFonts w:ascii="Arial" w:hAnsi="Arial"/>
          <w:rtl/>
        </w:rPr>
      </w:pPr>
      <w:r w:rsidRPr="00743A39">
        <w:rPr>
          <w:rFonts w:ascii="Arial" w:hAnsi="Arial"/>
          <w:rtl/>
        </w:rPr>
        <w:t xml:space="preserve">לעניין מדיניות הענישה, הפנתה המאשימה לכך שמדובר בעבירות שהפכו ל"מכת מדינה". הן המחוקק והן בתי המשפט עמדו על הצורך בהחמרת הענישה, כך שבעבירות אלו נקבע עונש מינימום של 21 חודשי מאסר בפועל, וחריגה ממנו תעשה מטעמים מיוחדים, כאשר נקבע שהליך שיקומי אינו </w:t>
      </w:r>
      <w:r>
        <w:rPr>
          <w:rFonts w:ascii="Arial" w:hAnsi="Arial" w:hint="cs"/>
          <w:rtl/>
        </w:rPr>
        <w:t>בבחינת</w:t>
      </w:r>
      <w:r w:rsidRPr="00743A39">
        <w:rPr>
          <w:rFonts w:ascii="Arial" w:hAnsi="Arial"/>
          <w:rtl/>
        </w:rPr>
        <w:t xml:space="preserve"> "טעמים מיוחדים".</w:t>
      </w:r>
    </w:p>
    <w:p w14:paraId="61B00D56" w14:textId="77777777" w:rsidR="00336C14" w:rsidRPr="00743A39" w:rsidRDefault="00336C14" w:rsidP="00336C14">
      <w:pPr>
        <w:pStyle w:val="a9"/>
        <w:numPr>
          <w:ilvl w:val="0"/>
          <w:numId w:val="2"/>
        </w:numPr>
        <w:spacing w:line="360" w:lineRule="auto"/>
        <w:jc w:val="both"/>
        <w:rPr>
          <w:rFonts w:ascii="Arial" w:hAnsi="Arial"/>
          <w:rtl/>
        </w:rPr>
      </w:pPr>
      <w:r>
        <w:rPr>
          <w:rFonts w:ascii="Arial" w:hAnsi="Arial" w:hint="cs"/>
          <w:rtl/>
        </w:rPr>
        <w:t>ביחס ל</w:t>
      </w:r>
      <w:r w:rsidRPr="00743A39">
        <w:rPr>
          <w:rFonts w:ascii="Arial" w:hAnsi="Arial"/>
          <w:rtl/>
        </w:rPr>
        <w:t>נסיבות ביצוע העבירה צוין</w:t>
      </w:r>
      <w:r>
        <w:rPr>
          <w:rFonts w:ascii="Arial" w:hAnsi="Arial" w:hint="cs"/>
          <w:rtl/>
        </w:rPr>
        <w:t>,</w:t>
      </w:r>
      <w:r w:rsidRPr="00743A39">
        <w:rPr>
          <w:rFonts w:ascii="Arial" w:hAnsi="Arial"/>
          <w:rtl/>
        </w:rPr>
        <w:t xml:space="preserve"> כי הנאשמים החזיקו בחצר ביתם את הנשק, נשק דמוי רובה ציד מאולתר שבכוחו להמית. לצדו נמצאו ארבעה כדורי תחמושת ותרמיל תואמים. לטענת המאשימה, עצם החזקת הנשק ללא רישיון היא חמורה כשלעצמה. פוטנציאל הנזק מתעצם לנוכח החזקת אביזרי תחמושת תואמים מה שמגדיל את פוטנציאל השימוש המי</w:t>
      </w:r>
      <w:r>
        <w:rPr>
          <w:rFonts w:ascii="Arial" w:hAnsi="Arial" w:hint="cs"/>
          <w:rtl/>
        </w:rPr>
        <w:t>י</w:t>
      </w:r>
      <w:r w:rsidRPr="00743A39">
        <w:rPr>
          <w:rFonts w:ascii="Arial" w:hAnsi="Arial"/>
          <w:rtl/>
        </w:rPr>
        <w:t>די בנשק. נטען</w:t>
      </w:r>
      <w:r>
        <w:rPr>
          <w:rFonts w:ascii="Arial" w:hAnsi="Arial" w:hint="cs"/>
          <w:rtl/>
        </w:rPr>
        <w:t>,</w:t>
      </w:r>
      <w:r w:rsidRPr="00743A39">
        <w:rPr>
          <w:rFonts w:ascii="Arial" w:hAnsi="Arial"/>
          <w:rtl/>
        </w:rPr>
        <w:t xml:space="preserve"> כי למרות שתקופת ההחזקה אינה ידועה למאשימה, אף החזקה לתקופה קצרה טומנת בחובה חשש ממשי לעשיית שימוש בו. </w:t>
      </w:r>
      <w:r>
        <w:rPr>
          <w:rFonts w:ascii="Arial" w:hAnsi="Arial" w:hint="cs"/>
          <w:rtl/>
        </w:rPr>
        <w:t>לדברי המאשימה</w:t>
      </w:r>
      <w:r w:rsidRPr="00743A39">
        <w:rPr>
          <w:rFonts w:ascii="Arial" w:hAnsi="Arial"/>
          <w:rtl/>
        </w:rPr>
        <w:t xml:space="preserve">, גם </w:t>
      </w:r>
      <w:r>
        <w:rPr>
          <w:rFonts w:ascii="Arial" w:hAnsi="Arial" w:hint="cs"/>
          <w:rtl/>
        </w:rPr>
        <w:t>ה</w:t>
      </w:r>
      <w:r w:rsidRPr="00743A39">
        <w:rPr>
          <w:rFonts w:ascii="Arial" w:hAnsi="Arial"/>
          <w:rtl/>
        </w:rPr>
        <w:t>עובדה שהנשק נמצא בחצר הבית, מעידה על כך שהנאשמים הבינו את הפסול במעשיהם</w:t>
      </w:r>
      <w:r>
        <w:rPr>
          <w:rFonts w:ascii="Arial" w:hAnsi="Arial" w:hint="cs"/>
          <w:rtl/>
        </w:rPr>
        <w:t xml:space="preserve">, וקיים תחכום במעשה בכך שהנשק </w:t>
      </w:r>
      <w:r w:rsidRPr="00743A39">
        <w:rPr>
          <w:rFonts w:ascii="Arial" w:hAnsi="Arial"/>
          <w:rtl/>
        </w:rPr>
        <w:t>ה</w:t>
      </w:r>
      <w:r>
        <w:rPr>
          <w:rFonts w:ascii="Arial" w:hAnsi="Arial" w:hint="cs"/>
          <w:rtl/>
        </w:rPr>
        <w:t>ו</w:t>
      </w:r>
      <w:r w:rsidRPr="00743A39">
        <w:rPr>
          <w:rFonts w:ascii="Arial" w:hAnsi="Arial"/>
          <w:rtl/>
        </w:rPr>
        <w:t>חבא בחצר הבית.</w:t>
      </w:r>
    </w:p>
    <w:p w14:paraId="39FC76AE" w14:textId="77777777" w:rsidR="00336C14" w:rsidRDefault="00336C14" w:rsidP="00336C14">
      <w:pPr>
        <w:pStyle w:val="a9"/>
        <w:numPr>
          <w:ilvl w:val="0"/>
          <w:numId w:val="2"/>
        </w:numPr>
        <w:spacing w:line="360" w:lineRule="auto"/>
        <w:jc w:val="both"/>
        <w:rPr>
          <w:rFonts w:ascii="Arial" w:hAnsi="Arial"/>
        </w:rPr>
      </w:pPr>
      <w:r w:rsidRPr="00743A39">
        <w:rPr>
          <w:rFonts w:ascii="Arial" w:hAnsi="Arial"/>
          <w:rtl/>
        </w:rPr>
        <w:t xml:space="preserve">לעניין מדיניות הענישה הנוהגת, הפנתה המאשימה לפסיקה </w:t>
      </w:r>
      <w:r>
        <w:rPr>
          <w:rFonts w:ascii="Arial" w:hAnsi="Arial" w:hint="cs"/>
          <w:rtl/>
        </w:rPr>
        <w:t xml:space="preserve">ענפה </w:t>
      </w:r>
      <w:r w:rsidRPr="00743A39">
        <w:rPr>
          <w:rFonts w:ascii="Arial" w:hAnsi="Arial"/>
          <w:rtl/>
        </w:rPr>
        <w:t>בעבירות נשק מהשנים אחרונות, בה</w:t>
      </w:r>
      <w:r>
        <w:rPr>
          <w:rFonts w:ascii="Arial" w:hAnsi="Arial" w:hint="cs"/>
          <w:rtl/>
        </w:rPr>
        <w:t xml:space="preserve">ם נגזרו על נאשמים עונשי מאסר בטווח שבין 16 חודשים ועד 21 חודשים. </w:t>
      </w:r>
    </w:p>
    <w:p w14:paraId="2561D445" w14:textId="77777777" w:rsidR="00336C14" w:rsidRPr="00743A39" w:rsidRDefault="00336C14" w:rsidP="00336C14">
      <w:pPr>
        <w:pStyle w:val="a9"/>
        <w:numPr>
          <w:ilvl w:val="0"/>
          <w:numId w:val="2"/>
        </w:numPr>
        <w:spacing w:line="360" w:lineRule="auto"/>
        <w:jc w:val="both"/>
        <w:rPr>
          <w:rFonts w:ascii="Arial" w:hAnsi="Arial"/>
          <w:rtl/>
        </w:rPr>
      </w:pPr>
      <w:r>
        <w:rPr>
          <w:rFonts w:ascii="Arial" w:hAnsi="Arial" w:hint="cs"/>
          <w:rtl/>
        </w:rPr>
        <w:t xml:space="preserve">בענייננו, ביקשה המאשימה </w:t>
      </w:r>
      <w:r w:rsidRPr="00743A39">
        <w:rPr>
          <w:rFonts w:ascii="Arial" w:hAnsi="Arial"/>
          <w:rtl/>
        </w:rPr>
        <w:t xml:space="preserve">לקבוע מתחם ענישה </w:t>
      </w:r>
      <w:r>
        <w:rPr>
          <w:rFonts w:ascii="Arial" w:hAnsi="Arial" w:hint="cs"/>
          <w:rtl/>
        </w:rPr>
        <w:t xml:space="preserve">החל מ-24 חודשים ועד 48 חודשים </w:t>
      </w:r>
      <w:r w:rsidRPr="00743A39">
        <w:rPr>
          <w:rFonts w:ascii="Arial" w:hAnsi="Arial"/>
          <w:rtl/>
        </w:rPr>
        <w:t>בגין החזקת הנשק, ומתחם שבין מאסר על תנאי ועד 6 חודשי מאסר בפועל בגין החזקת תחמושת</w:t>
      </w:r>
      <w:r>
        <w:rPr>
          <w:rFonts w:ascii="Arial" w:hAnsi="Arial" w:hint="cs"/>
          <w:rtl/>
        </w:rPr>
        <w:t>, ובסך הכול מתחם שבין 24 חודשים ועד 49 חודשים</w:t>
      </w:r>
      <w:r w:rsidRPr="00743A39">
        <w:rPr>
          <w:rFonts w:ascii="Arial" w:hAnsi="Arial"/>
          <w:rtl/>
        </w:rPr>
        <w:t>.</w:t>
      </w:r>
    </w:p>
    <w:p w14:paraId="3519137D" w14:textId="77777777" w:rsidR="00336C14" w:rsidRPr="00643977" w:rsidRDefault="00336C14" w:rsidP="00336C14">
      <w:pPr>
        <w:pStyle w:val="a9"/>
        <w:numPr>
          <w:ilvl w:val="0"/>
          <w:numId w:val="2"/>
        </w:numPr>
        <w:spacing w:line="360" w:lineRule="auto"/>
        <w:jc w:val="both"/>
        <w:rPr>
          <w:rFonts w:ascii="Arial" w:hAnsi="Arial"/>
          <w:rtl/>
        </w:rPr>
      </w:pPr>
      <w:r w:rsidRPr="00643977">
        <w:rPr>
          <w:rFonts w:ascii="Arial" w:hAnsi="Arial" w:hint="cs"/>
          <w:rtl/>
        </w:rPr>
        <w:t xml:space="preserve">ביחס </w:t>
      </w:r>
      <w:r w:rsidRPr="00643977">
        <w:rPr>
          <w:rFonts w:ascii="Arial" w:hAnsi="Arial"/>
          <w:rtl/>
        </w:rPr>
        <w:t xml:space="preserve">לנאשם 1, </w:t>
      </w:r>
      <w:r w:rsidRPr="00643977">
        <w:rPr>
          <w:rFonts w:ascii="Arial" w:hAnsi="Arial" w:hint="cs"/>
          <w:rtl/>
        </w:rPr>
        <w:t xml:space="preserve">ביקשה המאשימה להביא בחשבון, לקולא, את העובדה כי הוא נעדר רישום פלילי, </w:t>
      </w:r>
      <w:r>
        <w:rPr>
          <w:rFonts w:ascii="Arial" w:hAnsi="Arial" w:hint="cs"/>
          <w:rtl/>
        </w:rPr>
        <w:t xml:space="preserve">נטילת האחריות והחיסכון בזמן </w:t>
      </w:r>
      <w:r w:rsidRPr="00643977">
        <w:rPr>
          <w:rFonts w:ascii="Arial" w:hAnsi="Arial"/>
          <w:rtl/>
        </w:rPr>
        <w:t xml:space="preserve">שיפוטי, </w:t>
      </w:r>
      <w:r>
        <w:rPr>
          <w:rFonts w:ascii="Arial" w:hAnsi="Arial" w:hint="cs"/>
          <w:rtl/>
        </w:rPr>
        <w:t xml:space="preserve">ולחומרה, </w:t>
      </w:r>
      <w:r w:rsidRPr="00643977">
        <w:rPr>
          <w:rFonts w:ascii="Arial" w:hAnsi="Arial"/>
          <w:rtl/>
        </w:rPr>
        <w:t xml:space="preserve">שיקולי הרתעת יחיד ורבים. </w:t>
      </w:r>
      <w:r>
        <w:rPr>
          <w:rFonts w:ascii="Arial" w:hAnsi="Arial" w:hint="cs"/>
          <w:rtl/>
        </w:rPr>
        <w:t xml:space="preserve">נוכח זאת, ביקשה לגזור על הנאשם </w:t>
      </w:r>
      <w:r w:rsidRPr="00643977">
        <w:rPr>
          <w:rFonts w:ascii="Arial" w:hAnsi="Arial"/>
          <w:rtl/>
        </w:rPr>
        <w:t xml:space="preserve">1 עונש </w:t>
      </w:r>
      <w:r>
        <w:rPr>
          <w:rFonts w:ascii="Arial" w:hAnsi="Arial" w:hint="cs"/>
          <w:rtl/>
        </w:rPr>
        <w:t xml:space="preserve">המצוי </w:t>
      </w:r>
      <w:r w:rsidRPr="00643977">
        <w:rPr>
          <w:rFonts w:ascii="Arial" w:hAnsi="Arial"/>
          <w:rtl/>
        </w:rPr>
        <w:t>ברף התחתון של המתחם</w:t>
      </w:r>
      <w:r>
        <w:rPr>
          <w:rFonts w:ascii="Arial" w:hAnsi="Arial" w:hint="cs"/>
          <w:rtl/>
        </w:rPr>
        <w:t xml:space="preserve">, למשך </w:t>
      </w:r>
      <w:r w:rsidRPr="00643977">
        <w:rPr>
          <w:rFonts w:ascii="Arial" w:hAnsi="Arial"/>
          <w:rtl/>
        </w:rPr>
        <w:t xml:space="preserve">24 חודשי מאסר בפועל, </w:t>
      </w:r>
      <w:r>
        <w:rPr>
          <w:rFonts w:ascii="Arial" w:hAnsi="Arial" w:hint="cs"/>
          <w:rtl/>
        </w:rPr>
        <w:t xml:space="preserve">לצד </w:t>
      </w:r>
      <w:r w:rsidRPr="00643977">
        <w:rPr>
          <w:rFonts w:ascii="Arial" w:hAnsi="Arial"/>
          <w:rtl/>
        </w:rPr>
        <w:t xml:space="preserve">מאסר על תנאי וקנס. </w:t>
      </w:r>
    </w:p>
    <w:p w14:paraId="1E0D73A3" w14:textId="77777777" w:rsidR="00336C14" w:rsidRDefault="00336C14" w:rsidP="00336C14">
      <w:pPr>
        <w:pStyle w:val="a9"/>
        <w:numPr>
          <w:ilvl w:val="0"/>
          <w:numId w:val="2"/>
        </w:numPr>
        <w:spacing w:line="360" w:lineRule="auto"/>
        <w:jc w:val="both"/>
        <w:rPr>
          <w:rFonts w:ascii="Arial" w:hAnsi="Arial"/>
        </w:rPr>
      </w:pPr>
      <w:r w:rsidRPr="00FA5ED5">
        <w:rPr>
          <w:rFonts w:ascii="Arial" w:hAnsi="Arial" w:hint="cs"/>
          <w:rtl/>
        </w:rPr>
        <w:t>ביחס לנאשם 2, ביקשה המאשימה לשקול, לקולא, את הודאתו והחיסכון בז</w:t>
      </w:r>
      <w:r w:rsidRPr="00FA5ED5">
        <w:rPr>
          <w:rFonts w:ascii="Arial" w:hAnsi="Arial"/>
          <w:rtl/>
        </w:rPr>
        <w:t xml:space="preserve">מן שיפוטי. מנגד, </w:t>
      </w:r>
      <w:r w:rsidRPr="00FA5ED5">
        <w:rPr>
          <w:rFonts w:ascii="Arial" w:hAnsi="Arial" w:hint="cs"/>
          <w:rtl/>
        </w:rPr>
        <w:t xml:space="preserve">את רישומו הפלילי, ומאסר על תנאי להפעלה. בנסיבות אלו ביקשה להטיל עליו, 36 חודשי מאסר הכוללים את המאסר על תנאי להפעלה. </w:t>
      </w:r>
    </w:p>
    <w:p w14:paraId="0519E3CC" w14:textId="77777777" w:rsidR="00336C14" w:rsidRPr="00FA5ED5" w:rsidRDefault="00336C14" w:rsidP="00336C14">
      <w:pPr>
        <w:pStyle w:val="a9"/>
        <w:numPr>
          <w:ilvl w:val="0"/>
          <w:numId w:val="2"/>
        </w:numPr>
        <w:spacing w:line="360" w:lineRule="auto"/>
        <w:jc w:val="both"/>
        <w:rPr>
          <w:rFonts w:ascii="Arial" w:hAnsi="Arial"/>
        </w:rPr>
      </w:pPr>
      <w:r w:rsidRPr="00FA5ED5">
        <w:rPr>
          <w:rFonts w:ascii="Arial" w:hAnsi="Arial"/>
          <w:rtl/>
        </w:rPr>
        <w:t xml:space="preserve">לדברי ב"כ נאשם 1, </w:t>
      </w:r>
      <w:r>
        <w:rPr>
          <w:rFonts w:ascii="Arial" w:hAnsi="Arial" w:hint="cs"/>
          <w:rtl/>
        </w:rPr>
        <w:t xml:space="preserve">רמת הענישה לו עותרת המאשימה שונה מהפסיקה המנחה של בתי המשפט. הוסף, כי </w:t>
      </w:r>
      <w:r w:rsidRPr="00FA5ED5">
        <w:rPr>
          <w:rFonts w:ascii="Arial" w:hAnsi="Arial"/>
          <w:rtl/>
        </w:rPr>
        <w:t>בפסיקה נקבע כי העונש המזערי אינו צריך להיות מאסר בפועל בהכרח</w:t>
      </w:r>
      <w:r>
        <w:rPr>
          <w:rFonts w:ascii="Arial" w:hAnsi="Arial" w:hint="cs"/>
          <w:rtl/>
        </w:rPr>
        <w:t xml:space="preserve"> וניתן להטילו גם על תנאי. על פיו, </w:t>
      </w:r>
      <w:r w:rsidRPr="00FA5ED5">
        <w:rPr>
          <w:rFonts w:ascii="Arial" w:hAnsi="Arial"/>
          <w:rtl/>
        </w:rPr>
        <w:t>מתחם הענישה מתחיל ב-9 חודשי מאסר</w:t>
      </w:r>
      <w:r>
        <w:rPr>
          <w:rFonts w:ascii="Arial" w:hAnsi="Arial" w:hint="cs"/>
          <w:rtl/>
        </w:rPr>
        <w:t xml:space="preserve">, </w:t>
      </w:r>
      <w:r w:rsidRPr="00FA5ED5">
        <w:rPr>
          <w:rFonts w:ascii="Arial" w:hAnsi="Arial"/>
          <w:rtl/>
        </w:rPr>
        <w:t xml:space="preserve">ובמיוחד </w:t>
      </w:r>
      <w:r>
        <w:rPr>
          <w:rFonts w:ascii="Arial" w:hAnsi="Arial" w:hint="cs"/>
          <w:rtl/>
        </w:rPr>
        <w:t xml:space="preserve">בענייננו, </w:t>
      </w:r>
      <w:r w:rsidRPr="00FA5ED5">
        <w:rPr>
          <w:rFonts w:ascii="Arial" w:hAnsi="Arial"/>
          <w:rtl/>
        </w:rPr>
        <w:t xml:space="preserve">כאשר </w:t>
      </w:r>
      <w:r>
        <w:rPr>
          <w:rFonts w:ascii="Arial" w:hAnsi="Arial" w:hint="cs"/>
          <w:rtl/>
        </w:rPr>
        <w:t>ה</w:t>
      </w:r>
      <w:r w:rsidRPr="00FA5ED5">
        <w:rPr>
          <w:rFonts w:ascii="Arial" w:hAnsi="Arial"/>
          <w:rtl/>
        </w:rPr>
        <w:t>מדובר ברובה ציד</w:t>
      </w:r>
      <w:r>
        <w:rPr>
          <w:rFonts w:ascii="Arial" w:hAnsi="Arial" w:hint="cs"/>
          <w:rtl/>
        </w:rPr>
        <w:t xml:space="preserve">, </w:t>
      </w:r>
      <w:r w:rsidRPr="00FA5ED5">
        <w:rPr>
          <w:rFonts w:ascii="Arial" w:hAnsi="Arial"/>
          <w:rtl/>
        </w:rPr>
        <w:t xml:space="preserve">אשר לא מיועד לפגוע באדם </w:t>
      </w:r>
      <w:r>
        <w:rPr>
          <w:rFonts w:ascii="Arial" w:hAnsi="Arial" w:hint="cs"/>
          <w:rtl/>
        </w:rPr>
        <w:t>על דרך ה</w:t>
      </w:r>
      <w:r w:rsidRPr="00FA5ED5">
        <w:rPr>
          <w:rFonts w:ascii="Arial" w:hAnsi="Arial"/>
          <w:rtl/>
        </w:rPr>
        <w:t xml:space="preserve">כלל. </w:t>
      </w:r>
      <w:r>
        <w:rPr>
          <w:rFonts w:ascii="Arial" w:hAnsi="Arial" w:hint="cs"/>
          <w:rtl/>
        </w:rPr>
        <w:t xml:space="preserve">עוד צוין, </w:t>
      </w:r>
      <w:r w:rsidRPr="00FA5ED5">
        <w:rPr>
          <w:rFonts w:ascii="Arial" w:hAnsi="Arial"/>
          <w:rtl/>
        </w:rPr>
        <w:t xml:space="preserve">כי </w:t>
      </w:r>
      <w:r>
        <w:rPr>
          <w:rFonts w:ascii="Arial" w:hAnsi="Arial" w:hint="cs"/>
          <w:rtl/>
        </w:rPr>
        <w:t>אין ה</w:t>
      </w:r>
      <w:r w:rsidRPr="00FA5ED5">
        <w:rPr>
          <w:rFonts w:ascii="Arial" w:hAnsi="Arial"/>
          <w:rtl/>
        </w:rPr>
        <w:t xml:space="preserve">מדובר </w:t>
      </w:r>
      <w:r w:rsidRPr="00FA5ED5">
        <w:rPr>
          <w:rFonts w:ascii="Arial" w:hAnsi="Arial"/>
          <w:rtl/>
        </w:rPr>
        <w:lastRenderedPageBreak/>
        <w:t>בהובלת נשק אלא בהחזקתו בלבד, וכן לא הוכח</w:t>
      </w:r>
      <w:r>
        <w:rPr>
          <w:rFonts w:ascii="Arial" w:hAnsi="Arial" w:hint="cs"/>
          <w:rtl/>
        </w:rPr>
        <w:t>,</w:t>
      </w:r>
      <w:r w:rsidRPr="00FA5ED5">
        <w:rPr>
          <w:rFonts w:ascii="Arial" w:hAnsi="Arial"/>
          <w:rtl/>
        </w:rPr>
        <w:t xml:space="preserve"> כי ה</w:t>
      </w:r>
      <w:r>
        <w:rPr>
          <w:rFonts w:ascii="Arial" w:hAnsi="Arial" w:hint="cs"/>
          <w:rtl/>
        </w:rPr>
        <w:t>י</w:t>
      </w:r>
      <w:r w:rsidRPr="00FA5ED5">
        <w:rPr>
          <w:rFonts w:ascii="Arial" w:hAnsi="Arial"/>
          <w:rtl/>
        </w:rPr>
        <w:t>יתה כוונה ל</w:t>
      </w:r>
      <w:r>
        <w:rPr>
          <w:rFonts w:ascii="Arial" w:hAnsi="Arial" w:hint="cs"/>
          <w:rtl/>
        </w:rPr>
        <w:t>עשות בו שימוש</w:t>
      </w:r>
      <w:r w:rsidRPr="00FA5ED5">
        <w:rPr>
          <w:rFonts w:ascii="Arial" w:hAnsi="Arial"/>
          <w:rtl/>
        </w:rPr>
        <w:t xml:space="preserve">. </w:t>
      </w:r>
      <w:r>
        <w:rPr>
          <w:rFonts w:ascii="Arial" w:hAnsi="Arial" w:hint="cs"/>
          <w:rtl/>
        </w:rPr>
        <w:t>בנסיבות אלו, עתר ב"כ נאשם 1 להסתפק בתקופה בה הנאשם עצור.</w:t>
      </w:r>
      <w:r w:rsidRPr="00FA5ED5">
        <w:rPr>
          <w:rFonts w:ascii="Arial" w:hAnsi="Arial"/>
          <w:rtl/>
        </w:rPr>
        <w:t xml:space="preserve"> </w:t>
      </w:r>
    </w:p>
    <w:p w14:paraId="4D44C9B2" w14:textId="77777777" w:rsidR="00336C14" w:rsidRPr="00FA5ED5" w:rsidRDefault="00336C14" w:rsidP="00336C14">
      <w:pPr>
        <w:pStyle w:val="a9"/>
        <w:numPr>
          <w:ilvl w:val="0"/>
          <w:numId w:val="2"/>
        </w:numPr>
        <w:spacing w:line="360" w:lineRule="auto"/>
        <w:jc w:val="both"/>
        <w:rPr>
          <w:rFonts w:ascii="Arial" w:hAnsi="Arial"/>
          <w:rtl/>
        </w:rPr>
      </w:pPr>
      <w:r w:rsidRPr="00FA5ED5">
        <w:rPr>
          <w:rFonts w:ascii="Arial" w:hAnsi="Arial"/>
          <w:rtl/>
        </w:rPr>
        <w:t xml:space="preserve">ב"כ נאשם 2 </w:t>
      </w:r>
      <w:r>
        <w:rPr>
          <w:rFonts w:ascii="Arial" w:hAnsi="Arial" w:hint="cs"/>
          <w:rtl/>
        </w:rPr>
        <w:t>ציין בטיעוניו, כי ה</w:t>
      </w:r>
      <w:r w:rsidRPr="00FA5ED5">
        <w:rPr>
          <w:rFonts w:ascii="Arial" w:hAnsi="Arial"/>
          <w:rtl/>
        </w:rPr>
        <w:t xml:space="preserve">נאשם </w:t>
      </w:r>
      <w:r>
        <w:rPr>
          <w:rFonts w:ascii="Arial" w:hAnsi="Arial" w:hint="cs"/>
          <w:rtl/>
        </w:rPr>
        <w:t xml:space="preserve">2 </w:t>
      </w:r>
      <w:r w:rsidRPr="00FA5ED5">
        <w:rPr>
          <w:rFonts w:ascii="Arial" w:hAnsi="Arial"/>
          <w:rtl/>
        </w:rPr>
        <w:t xml:space="preserve">כבן 27, לחובתו הרשעה אחת בה נקבע </w:t>
      </w:r>
      <w:r>
        <w:rPr>
          <w:rFonts w:ascii="Arial" w:hAnsi="Arial" w:hint="cs"/>
          <w:rtl/>
        </w:rPr>
        <w:t xml:space="preserve">עונש מאסר </w:t>
      </w:r>
      <w:r w:rsidRPr="00FA5ED5">
        <w:rPr>
          <w:rFonts w:ascii="Arial" w:hAnsi="Arial"/>
          <w:rtl/>
        </w:rPr>
        <w:t xml:space="preserve">על תנאי </w:t>
      </w:r>
      <w:r>
        <w:rPr>
          <w:rFonts w:ascii="Arial" w:hAnsi="Arial" w:hint="cs"/>
          <w:rtl/>
        </w:rPr>
        <w:t xml:space="preserve">למשך 6 חודשים </w:t>
      </w:r>
      <w:r w:rsidRPr="00FA5ED5">
        <w:rPr>
          <w:rFonts w:ascii="Arial" w:hAnsi="Arial"/>
          <w:rtl/>
        </w:rPr>
        <w:t xml:space="preserve">על כל עבירה מסוג פשע. </w:t>
      </w:r>
      <w:r>
        <w:rPr>
          <w:rFonts w:ascii="Arial" w:hAnsi="Arial" w:hint="cs"/>
          <w:rtl/>
        </w:rPr>
        <w:t xml:space="preserve">צוין, כי </w:t>
      </w:r>
      <w:r w:rsidRPr="00FA5ED5">
        <w:rPr>
          <w:rFonts w:ascii="Arial" w:hAnsi="Arial"/>
          <w:rtl/>
        </w:rPr>
        <w:t>הנאשם הודה ו</w:t>
      </w:r>
      <w:r>
        <w:rPr>
          <w:rFonts w:ascii="Arial" w:hAnsi="Arial" w:hint="cs"/>
          <w:rtl/>
        </w:rPr>
        <w:t xml:space="preserve">נטל </w:t>
      </w:r>
      <w:r w:rsidRPr="00FA5ED5">
        <w:rPr>
          <w:rFonts w:ascii="Arial" w:hAnsi="Arial"/>
          <w:rtl/>
        </w:rPr>
        <w:t>אחריות כבר בחודש יוני 2023, וכי ההסדר שנחתם כ</w:t>
      </w:r>
      <w:r>
        <w:rPr>
          <w:rFonts w:ascii="Arial" w:hAnsi="Arial" w:hint="cs"/>
          <w:rtl/>
        </w:rPr>
        <w:t>ל</w:t>
      </w:r>
      <w:r w:rsidRPr="00FA5ED5">
        <w:rPr>
          <w:rFonts w:ascii="Arial" w:hAnsi="Arial"/>
          <w:rtl/>
        </w:rPr>
        <w:t xml:space="preserve">ל </w:t>
      </w:r>
      <w:r>
        <w:rPr>
          <w:rFonts w:ascii="Arial" w:hAnsi="Arial" w:hint="cs"/>
          <w:rtl/>
        </w:rPr>
        <w:t xml:space="preserve">הסכמה לכך שהמאסר על תנאי לא יופעל </w:t>
      </w:r>
      <w:r w:rsidRPr="00FA5ED5">
        <w:rPr>
          <w:rFonts w:ascii="Arial" w:hAnsi="Arial"/>
          <w:rtl/>
        </w:rPr>
        <w:t xml:space="preserve">במצטבר. </w:t>
      </w:r>
      <w:r>
        <w:rPr>
          <w:rFonts w:ascii="Arial" w:hAnsi="Arial" w:hint="cs"/>
          <w:rtl/>
        </w:rPr>
        <w:t xml:space="preserve">הסנגור הוסיף, </w:t>
      </w:r>
      <w:r w:rsidRPr="00FA5ED5">
        <w:rPr>
          <w:rFonts w:ascii="Arial" w:hAnsi="Arial"/>
          <w:rtl/>
        </w:rPr>
        <w:t xml:space="preserve">כי לא נמצאה טביעת אצבע של נאשם 2 על הנשק, וכי מדובר בכלי נשק פרימיטיבי, שלא מיועד מטבעו לשימוש נגד בני אדם. כמו כן הפנה למספר המועט של הכדורים, 4 במספר. </w:t>
      </w:r>
    </w:p>
    <w:p w14:paraId="62FAA188" w14:textId="77777777" w:rsidR="00336C14" w:rsidRPr="00EE46BD" w:rsidRDefault="00336C14" w:rsidP="00336C14">
      <w:pPr>
        <w:pStyle w:val="a9"/>
        <w:numPr>
          <w:ilvl w:val="0"/>
          <w:numId w:val="2"/>
        </w:numPr>
        <w:spacing w:line="360" w:lineRule="auto"/>
        <w:jc w:val="both"/>
        <w:rPr>
          <w:rFonts w:ascii="Arial" w:hAnsi="Arial"/>
          <w:rtl/>
        </w:rPr>
      </w:pPr>
      <w:r w:rsidRPr="00EE46BD">
        <w:rPr>
          <w:rFonts w:ascii="Arial" w:hAnsi="Arial"/>
          <w:rtl/>
        </w:rPr>
        <w:t xml:space="preserve">לעניין העונש, </w:t>
      </w:r>
      <w:r>
        <w:rPr>
          <w:rFonts w:ascii="Arial" w:hAnsi="Arial" w:hint="cs"/>
          <w:rtl/>
        </w:rPr>
        <w:t xml:space="preserve">ציין </w:t>
      </w:r>
      <w:r w:rsidRPr="00EE46BD">
        <w:rPr>
          <w:rFonts w:ascii="Arial" w:hAnsi="Arial"/>
          <w:rtl/>
        </w:rPr>
        <w:t>ב"כ נאשם 2 כי המתחם מתחיל ב- 10 חודשים, ומכיוון שהנאשם 2 עצור כבר למעלה מכך, הרי שיש להסתפק בתקופ</w:t>
      </w:r>
      <w:r>
        <w:rPr>
          <w:rFonts w:ascii="Arial" w:hAnsi="Arial" w:hint="cs"/>
          <w:rtl/>
        </w:rPr>
        <w:t>ה זו</w:t>
      </w:r>
      <w:r w:rsidRPr="00EE46BD">
        <w:rPr>
          <w:rFonts w:ascii="Arial" w:hAnsi="Arial"/>
          <w:rtl/>
        </w:rPr>
        <w:t>.</w:t>
      </w:r>
    </w:p>
    <w:p w14:paraId="4413BF83" w14:textId="77777777" w:rsidR="00336C14" w:rsidRPr="00EE46BD" w:rsidRDefault="00336C14" w:rsidP="00336C14">
      <w:pPr>
        <w:pStyle w:val="a9"/>
        <w:numPr>
          <w:ilvl w:val="0"/>
          <w:numId w:val="2"/>
        </w:numPr>
        <w:spacing w:line="360" w:lineRule="auto"/>
        <w:jc w:val="both"/>
        <w:rPr>
          <w:rFonts w:ascii="Arial" w:hAnsi="Arial"/>
        </w:rPr>
      </w:pPr>
      <w:r>
        <w:rPr>
          <w:rFonts w:ascii="Arial" w:hAnsi="Arial" w:hint="cs"/>
          <w:rtl/>
        </w:rPr>
        <w:t xml:space="preserve">בהתייחס לטענת ב"כ </w:t>
      </w:r>
      <w:r w:rsidRPr="00EE46BD">
        <w:rPr>
          <w:rFonts w:ascii="Arial" w:hAnsi="Arial"/>
          <w:rtl/>
        </w:rPr>
        <w:t xml:space="preserve">נאשם 2, </w:t>
      </w:r>
      <w:r>
        <w:rPr>
          <w:rFonts w:ascii="Arial" w:hAnsi="Arial" w:hint="cs"/>
          <w:rtl/>
        </w:rPr>
        <w:t>לכך ש</w:t>
      </w:r>
      <w:r w:rsidRPr="00EE46BD">
        <w:rPr>
          <w:rFonts w:ascii="Arial" w:hAnsi="Arial"/>
          <w:rtl/>
        </w:rPr>
        <w:t xml:space="preserve">הסדר הטיעון כלל הסכמה </w:t>
      </w:r>
      <w:r>
        <w:rPr>
          <w:rFonts w:ascii="Arial" w:hAnsi="Arial" w:hint="cs"/>
          <w:rtl/>
        </w:rPr>
        <w:t xml:space="preserve">שלא להפעיל את </w:t>
      </w:r>
      <w:r w:rsidRPr="00EE46BD">
        <w:rPr>
          <w:rFonts w:ascii="Arial" w:hAnsi="Arial"/>
          <w:rtl/>
        </w:rPr>
        <w:t>עונש המאסר המותנה</w:t>
      </w:r>
      <w:r>
        <w:rPr>
          <w:rFonts w:ascii="Arial" w:hAnsi="Arial" w:hint="cs"/>
          <w:rtl/>
        </w:rPr>
        <w:t xml:space="preserve"> במצטבר</w:t>
      </w:r>
      <w:r w:rsidRPr="00EE46BD">
        <w:rPr>
          <w:rFonts w:ascii="Arial" w:hAnsi="Arial"/>
          <w:rtl/>
        </w:rPr>
        <w:t xml:space="preserve">, הפנתה המאשימה להודעת ההבהרה בעניין זה. </w:t>
      </w:r>
      <w:r>
        <w:rPr>
          <w:rFonts w:ascii="Arial" w:hAnsi="Arial" w:hint="cs"/>
          <w:rtl/>
        </w:rPr>
        <w:t xml:space="preserve">נטען, כי בשגגה, </w:t>
      </w:r>
      <w:r w:rsidRPr="00EE46BD">
        <w:rPr>
          <w:rFonts w:ascii="Arial" w:hAnsi="Arial"/>
          <w:rtl/>
        </w:rPr>
        <w:t>לא הופיע הרישום הפלילי של הנאשם</w:t>
      </w:r>
      <w:r>
        <w:rPr>
          <w:rFonts w:ascii="Arial" w:hAnsi="Arial" w:hint="cs"/>
          <w:rtl/>
        </w:rPr>
        <w:t xml:space="preserve"> בידיה</w:t>
      </w:r>
      <w:r w:rsidRPr="00EE46BD">
        <w:rPr>
          <w:rFonts w:ascii="Arial" w:hAnsi="Arial"/>
          <w:rtl/>
        </w:rPr>
        <w:t>, ולכן נאמר ב</w:t>
      </w:r>
      <w:r>
        <w:rPr>
          <w:rFonts w:ascii="Arial" w:hAnsi="Arial" w:hint="cs"/>
          <w:rtl/>
        </w:rPr>
        <w:t xml:space="preserve">מסגרת </w:t>
      </w:r>
      <w:r w:rsidRPr="00EE46BD">
        <w:rPr>
          <w:rFonts w:ascii="Arial" w:hAnsi="Arial"/>
          <w:rtl/>
        </w:rPr>
        <w:t>אותו דיון כי יש למקם את הנאשם בתחתית המתחם. המאשימה</w:t>
      </w:r>
      <w:r>
        <w:rPr>
          <w:rFonts w:ascii="Arial" w:hAnsi="Arial" w:hint="cs"/>
          <w:rtl/>
        </w:rPr>
        <w:t xml:space="preserve"> הוסיפה, כי נוכח רישומו </w:t>
      </w:r>
      <w:r w:rsidRPr="00EE46BD">
        <w:rPr>
          <w:rFonts w:ascii="Arial" w:hAnsi="Arial"/>
          <w:rtl/>
        </w:rPr>
        <w:t xml:space="preserve">הפלילי </w:t>
      </w:r>
      <w:r>
        <w:rPr>
          <w:rFonts w:ascii="Arial" w:hAnsi="Arial" w:hint="cs"/>
          <w:rtl/>
        </w:rPr>
        <w:t xml:space="preserve">של הנאשם וקיומו של </w:t>
      </w:r>
      <w:r w:rsidRPr="00EE46BD">
        <w:rPr>
          <w:rFonts w:ascii="Arial" w:hAnsi="Arial"/>
          <w:rtl/>
        </w:rPr>
        <w:t>מאסר מותנה</w:t>
      </w:r>
      <w:r>
        <w:rPr>
          <w:rFonts w:ascii="Arial" w:hAnsi="Arial" w:hint="cs"/>
          <w:rtl/>
        </w:rPr>
        <w:t xml:space="preserve"> להפעלה</w:t>
      </w:r>
      <w:r w:rsidRPr="00EE46BD">
        <w:rPr>
          <w:rFonts w:ascii="Arial" w:hAnsi="Arial"/>
          <w:rtl/>
        </w:rPr>
        <w:t xml:space="preserve">, בשים לב לכך שהתבקש עונש מאסר </w:t>
      </w:r>
      <w:r>
        <w:rPr>
          <w:rFonts w:ascii="Arial" w:hAnsi="Arial" w:hint="cs"/>
          <w:rtl/>
        </w:rPr>
        <w:t xml:space="preserve">למשך </w:t>
      </w:r>
      <w:r w:rsidRPr="00EE46BD">
        <w:rPr>
          <w:rFonts w:ascii="Arial" w:hAnsi="Arial"/>
          <w:rtl/>
        </w:rPr>
        <w:t>27 חודשים</w:t>
      </w:r>
      <w:r>
        <w:rPr>
          <w:rFonts w:ascii="Arial" w:hAnsi="Arial" w:hint="cs"/>
          <w:rtl/>
        </w:rPr>
        <w:t>, ה</w:t>
      </w:r>
      <w:r w:rsidRPr="00EE46BD">
        <w:rPr>
          <w:rFonts w:ascii="Arial" w:hAnsi="Arial"/>
          <w:rtl/>
        </w:rPr>
        <w:t>מדובר עדיין ב</w:t>
      </w:r>
      <w:r>
        <w:rPr>
          <w:rFonts w:ascii="Arial" w:hAnsi="Arial" w:hint="cs"/>
          <w:rtl/>
        </w:rPr>
        <w:t>עתירה לעונש מאסר המצוי ב</w:t>
      </w:r>
      <w:r w:rsidRPr="00EE46BD">
        <w:rPr>
          <w:rFonts w:ascii="Arial" w:hAnsi="Arial"/>
          <w:rtl/>
        </w:rPr>
        <w:t xml:space="preserve">שליש התחתון של המתחם. </w:t>
      </w:r>
    </w:p>
    <w:p w14:paraId="44A6EE04" w14:textId="77777777" w:rsidR="00336C14" w:rsidRPr="00EE46BD" w:rsidRDefault="00336C14" w:rsidP="00336C14">
      <w:pPr>
        <w:pStyle w:val="a9"/>
        <w:numPr>
          <w:ilvl w:val="0"/>
          <w:numId w:val="2"/>
        </w:numPr>
        <w:spacing w:line="360" w:lineRule="auto"/>
        <w:jc w:val="both"/>
        <w:rPr>
          <w:rFonts w:ascii="Arial" w:hAnsi="Arial"/>
        </w:rPr>
      </w:pPr>
      <w:r>
        <w:rPr>
          <w:rFonts w:ascii="Arial" w:hAnsi="Arial" w:hint="cs"/>
          <w:rtl/>
        </w:rPr>
        <w:t>ה</w:t>
      </w:r>
      <w:r w:rsidRPr="00EE46BD">
        <w:rPr>
          <w:rFonts w:ascii="Arial" w:hAnsi="Arial"/>
          <w:rtl/>
        </w:rPr>
        <w:t xml:space="preserve">נאשם 1 </w:t>
      </w:r>
      <w:r>
        <w:rPr>
          <w:rFonts w:ascii="Arial" w:hAnsi="Arial" w:hint="cs"/>
          <w:rtl/>
        </w:rPr>
        <w:t xml:space="preserve">הביע חרטה על המעשה, והוסיף </w:t>
      </w:r>
      <w:r w:rsidRPr="00EE46BD">
        <w:rPr>
          <w:rFonts w:ascii="Arial" w:hAnsi="Arial"/>
          <w:rtl/>
        </w:rPr>
        <w:t xml:space="preserve">כי מצבו הכלכלי </w:t>
      </w:r>
      <w:r>
        <w:rPr>
          <w:rFonts w:ascii="Arial" w:hAnsi="Arial" w:hint="cs"/>
          <w:rtl/>
        </w:rPr>
        <w:t>הורע מאז מעצרו. הנאשם ביקש להשתחרר לביתו</w:t>
      </w:r>
      <w:r w:rsidRPr="00EE46BD">
        <w:rPr>
          <w:rFonts w:ascii="Arial" w:hAnsi="Arial"/>
          <w:rtl/>
        </w:rPr>
        <w:t xml:space="preserve">, </w:t>
      </w:r>
      <w:r>
        <w:rPr>
          <w:rFonts w:ascii="Arial" w:hAnsi="Arial" w:hint="cs"/>
          <w:rtl/>
        </w:rPr>
        <w:t>תוך שהפנה למצבן הרפואי הקשה של אחותו ואחייניתו</w:t>
      </w:r>
      <w:r w:rsidRPr="00EE46BD">
        <w:rPr>
          <w:rFonts w:ascii="Arial" w:hAnsi="Arial"/>
          <w:rtl/>
        </w:rPr>
        <w:t>.</w:t>
      </w:r>
    </w:p>
    <w:p w14:paraId="5305D8BB" w14:textId="77777777" w:rsidR="00336C14" w:rsidRPr="00EE46BD" w:rsidRDefault="00336C14" w:rsidP="00336C14">
      <w:pPr>
        <w:pStyle w:val="a9"/>
        <w:numPr>
          <w:ilvl w:val="0"/>
          <w:numId w:val="2"/>
        </w:numPr>
        <w:spacing w:line="360" w:lineRule="auto"/>
        <w:jc w:val="both"/>
        <w:rPr>
          <w:rFonts w:ascii="Arial" w:hAnsi="Arial"/>
          <w:rtl/>
        </w:rPr>
      </w:pPr>
      <w:r w:rsidRPr="00EE46BD">
        <w:rPr>
          <w:rFonts w:ascii="Arial" w:hAnsi="Arial"/>
          <w:rtl/>
        </w:rPr>
        <w:t xml:space="preserve">נאשם 2 </w:t>
      </w:r>
      <w:r>
        <w:rPr>
          <w:rFonts w:ascii="Arial" w:hAnsi="Arial" w:hint="cs"/>
          <w:rtl/>
        </w:rPr>
        <w:t>ביקש אף הוא ל</w:t>
      </w:r>
      <w:r w:rsidRPr="00EE46BD">
        <w:rPr>
          <w:rFonts w:ascii="Arial" w:hAnsi="Arial"/>
          <w:rtl/>
        </w:rPr>
        <w:t>השתחרר</w:t>
      </w:r>
      <w:r>
        <w:rPr>
          <w:rFonts w:ascii="Arial" w:hAnsi="Arial" w:hint="cs"/>
          <w:rtl/>
        </w:rPr>
        <w:t xml:space="preserve"> בקרוב. </w:t>
      </w:r>
      <w:r w:rsidRPr="00EE46BD">
        <w:rPr>
          <w:rFonts w:ascii="Arial" w:hAnsi="Arial"/>
          <w:rtl/>
        </w:rPr>
        <w:t>לדבריו</w:t>
      </w:r>
      <w:r>
        <w:rPr>
          <w:rFonts w:ascii="Arial" w:hAnsi="Arial" w:hint="cs"/>
          <w:rtl/>
        </w:rPr>
        <w:t xml:space="preserve">, </w:t>
      </w:r>
      <w:r w:rsidRPr="00EE46BD">
        <w:rPr>
          <w:rFonts w:ascii="Arial" w:hAnsi="Arial"/>
          <w:rtl/>
        </w:rPr>
        <w:t>המצב בביתם גרוע, והוא מבקש לשוב כדי לסייע בפרנסת המשפחה.</w:t>
      </w:r>
    </w:p>
    <w:p w14:paraId="22587080" w14:textId="77777777" w:rsidR="00336C14" w:rsidRPr="002E4B8C" w:rsidRDefault="00336C14" w:rsidP="00336C14">
      <w:pPr>
        <w:spacing w:line="360" w:lineRule="auto"/>
        <w:ind w:firstLine="390"/>
        <w:jc w:val="both"/>
        <w:rPr>
          <w:rFonts w:ascii="Arial" w:hAnsi="Arial"/>
          <w:b/>
          <w:bCs/>
          <w:u w:val="single"/>
          <w:rtl/>
        </w:rPr>
      </w:pPr>
      <w:r w:rsidRPr="002E4B8C">
        <w:rPr>
          <w:rFonts w:ascii="Arial" w:hAnsi="Arial"/>
          <w:b/>
          <w:bCs/>
          <w:u w:val="single"/>
          <w:rtl/>
        </w:rPr>
        <w:t>דיון</w:t>
      </w:r>
    </w:p>
    <w:p w14:paraId="35E0ADED" w14:textId="77777777" w:rsidR="00336C14" w:rsidRPr="005C786C" w:rsidRDefault="00336C14" w:rsidP="00336C14">
      <w:pPr>
        <w:pStyle w:val="a9"/>
        <w:numPr>
          <w:ilvl w:val="0"/>
          <w:numId w:val="2"/>
        </w:numPr>
        <w:spacing w:line="360" w:lineRule="auto"/>
        <w:jc w:val="both"/>
        <w:rPr>
          <w:rFonts w:ascii="Arial" w:hAnsi="Arial"/>
        </w:rPr>
      </w:pPr>
      <w:r>
        <w:rPr>
          <w:rFonts w:ascii="David" w:eastAsia="Calibri" w:hAnsi="David" w:hint="cs"/>
          <w:color w:val="000000"/>
          <w:shd w:val="clear" w:color="auto" w:fill="FFFFFF"/>
          <w:rtl/>
        </w:rPr>
        <w:t>תחילה ראיתי להעיר, כי אין מקום לערוך הפרדה בין כלי הנשק שנתפס לבין התחמושת, ובהתאם לעתור לקביעת מתחמי ענישה נפרדים. המדובר באירוע אחד בו נתפס נשק כשלצדו תחמושת, ועל כן יש לקבוע מתחם ענישה אחד הכולל הן את הנשק והן את התחמושת.</w:t>
      </w:r>
    </w:p>
    <w:p w14:paraId="077D2542" w14:textId="77777777" w:rsidR="00336C14" w:rsidRPr="00582212" w:rsidRDefault="00336C14" w:rsidP="00336C14">
      <w:pPr>
        <w:pStyle w:val="a9"/>
        <w:numPr>
          <w:ilvl w:val="0"/>
          <w:numId w:val="2"/>
        </w:numPr>
        <w:spacing w:line="360" w:lineRule="auto"/>
        <w:jc w:val="both"/>
        <w:rPr>
          <w:rFonts w:ascii="Arial" w:hAnsi="Arial"/>
          <w:rtl/>
        </w:rPr>
      </w:pPr>
      <w:r w:rsidRPr="00582212">
        <w:rPr>
          <w:rFonts w:ascii="David" w:eastAsia="Calibri" w:hAnsi="David"/>
          <w:color w:val="000000"/>
          <w:shd w:val="clear" w:color="auto" w:fill="FFFFFF"/>
          <w:rtl/>
        </w:rPr>
        <w:t>הערך החברתי המוגן העומד בבסיס עבירות הנשק הינו ההגנה על שלום הציבור וביטחונו. בעבירות מסוג זה, גלום סיכון רב לשימוש בנשק</w:t>
      </w:r>
      <w:r w:rsidR="00E267BC">
        <w:rPr>
          <w:rFonts w:ascii="David" w:eastAsia="Calibri" w:hAnsi="David"/>
          <w:color w:val="000000"/>
          <w:shd w:val="clear" w:color="auto" w:fill="FFFFFF"/>
          <w:rtl/>
        </w:rPr>
        <w:t xml:space="preserve"> </w:t>
      </w:r>
      <w:r w:rsidRPr="00582212">
        <w:rPr>
          <w:rFonts w:ascii="David" w:eastAsia="Calibri" w:hAnsi="David"/>
          <w:color w:val="000000"/>
          <w:shd w:val="clear" w:color="auto" w:fill="FFFFFF"/>
          <w:rtl/>
        </w:rPr>
        <w:t>שאינו חוקי על ידי המחזיק בו לצורך ביצוען של עבירות פליליות, והוא עלול להגיע לגורמים עברייניים העוסקים בפעילות פלילית, או אף חמור מכך, לביצוע עבירות ביטחון</w:t>
      </w:r>
      <w:r w:rsidRPr="00582212">
        <w:rPr>
          <w:rFonts w:ascii="David" w:eastAsia="Calibri" w:hAnsi="David"/>
          <w:color w:val="000000"/>
          <w:shd w:val="clear" w:color="auto" w:fill="FFFFFF"/>
        </w:rPr>
        <w:t>.</w:t>
      </w:r>
    </w:p>
    <w:p w14:paraId="670B0561" w14:textId="77777777" w:rsidR="00336C14" w:rsidRPr="004509EB" w:rsidRDefault="00336C14" w:rsidP="00336C14">
      <w:pPr>
        <w:pStyle w:val="a9"/>
        <w:numPr>
          <w:ilvl w:val="0"/>
          <w:numId w:val="2"/>
        </w:numPr>
        <w:spacing w:line="360" w:lineRule="auto"/>
        <w:jc w:val="both"/>
        <w:rPr>
          <w:rFonts w:ascii="Arial" w:hAnsi="Arial"/>
          <w:rtl/>
        </w:rPr>
      </w:pPr>
      <w:r w:rsidRPr="004509EB">
        <w:rPr>
          <w:rFonts w:ascii="Arial" w:hAnsi="Arial"/>
          <w:rtl/>
        </w:rPr>
        <w:t>המדובר ב</w:t>
      </w:r>
      <w:r w:rsidRPr="004509EB">
        <w:rPr>
          <w:rFonts w:ascii="Arial" w:hAnsi="Arial" w:hint="cs"/>
          <w:rtl/>
        </w:rPr>
        <w:t xml:space="preserve">החזקה של </w:t>
      </w:r>
      <w:r w:rsidRPr="004509EB">
        <w:rPr>
          <w:rFonts w:ascii="Arial" w:hAnsi="Arial"/>
          <w:rtl/>
        </w:rPr>
        <w:t xml:space="preserve">רובה ציד, </w:t>
      </w:r>
      <w:r w:rsidRPr="004509EB">
        <w:rPr>
          <w:rFonts w:ascii="Arial" w:hAnsi="Arial" w:hint="cs"/>
          <w:rtl/>
        </w:rPr>
        <w:t xml:space="preserve">אשר יש בכוחו </w:t>
      </w:r>
      <w:r w:rsidRPr="004509EB">
        <w:rPr>
          <w:rFonts w:ascii="Arial" w:hAnsi="Arial"/>
          <w:rtl/>
        </w:rPr>
        <w:t>ל</w:t>
      </w:r>
      <w:r w:rsidRPr="004509EB">
        <w:rPr>
          <w:rFonts w:ascii="Arial" w:hAnsi="Arial" w:hint="cs"/>
          <w:rtl/>
        </w:rPr>
        <w:t xml:space="preserve">גרום נזק משמעותי </w:t>
      </w:r>
      <w:r>
        <w:rPr>
          <w:rFonts w:ascii="Arial" w:hAnsi="Arial" w:hint="cs"/>
          <w:rtl/>
        </w:rPr>
        <w:t>ל</w:t>
      </w:r>
      <w:r w:rsidRPr="004509EB">
        <w:rPr>
          <w:rFonts w:ascii="Arial" w:hAnsi="Arial"/>
          <w:rtl/>
        </w:rPr>
        <w:t>אדם או בעל חיים</w:t>
      </w:r>
      <w:r w:rsidRPr="004509EB">
        <w:rPr>
          <w:rFonts w:ascii="Arial" w:hAnsi="Arial" w:hint="cs"/>
          <w:rtl/>
        </w:rPr>
        <w:t xml:space="preserve">. ההחזקה מיוחסת לשני הנאשמים בחצר הבית, וכתב האישום </w:t>
      </w:r>
      <w:r w:rsidRPr="004509EB">
        <w:rPr>
          <w:rFonts w:ascii="Arial" w:hAnsi="Arial"/>
          <w:rtl/>
        </w:rPr>
        <w:t>אינו מ</w:t>
      </w:r>
      <w:r w:rsidRPr="004509EB">
        <w:rPr>
          <w:rFonts w:ascii="Arial" w:hAnsi="Arial" w:hint="cs"/>
          <w:rtl/>
        </w:rPr>
        <w:t>פרט את המניע ל</w:t>
      </w:r>
      <w:r w:rsidRPr="004509EB">
        <w:rPr>
          <w:rFonts w:ascii="Arial" w:hAnsi="Arial"/>
          <w:rtl/>
        </w:rPr>
        <w:t>אחזקת הנשק</w:t>
      </w:r>
      <w:r>
        <w:rPr>
          <w:rFonts w:ascii="Arial" w:hAnsi="Arial" w:hint="cs"/>
          <w:rtl/>
        </w:rPr>
        <w:t xml:space="preserve">, אך פוטנציאל </w:t>
      </w:r>
      <w:r w:rsidRPr="004509EB">
        <w:rPr>
          <w:rFonts w:ascii="Arial" w:hAnsi="Arial"/>
          <w:rtl/>
        </w:rPr>
        <w:t xml:space="preserve">הנזק מתעצם לנוכח החזקת אביזרי תחמושת </w:t>
      </w:r>
      <w:r>
        <w:rPr>
          <w:rFonts w:ascii="Arial" w:hAnsi="Arial" w:hint="cs"/>
          <w:rtl/>
        </w:rPr>
        <w:t>ה</w:t>
      </w:r>
      <w:r w:rsidRPr="004509EB">
        <w:rPr>
          <w:rFonts w:ascii="Arial" w:hAnsi="Arial"/>
          <w:rtl/>
        </w:rPr>
        <w:t>תואמים</w:t>
      </w:r>
      <w:r>
        <w:rPr>
          <w:rFonts w:ascii="Arial" w:hAnsi="Arial" w:hint="cs"/>
          <w:rtl/>
        </w:rPr>
        <w:t xml:space="preserve"> לרובה הציד</w:t>
      </w:r>
      <w:r w:rsidRPr="004509EB">
        <w:rPr>
          <w:rFonts w:ascii="Arial" w:hAnsi="Arial"/>
          <w:rtl/>
        </w:rPr>
        <w:t>, מה שמגדיל את פוטנציאל השימוש המ</w:t>
      </w:r>
      <w:r>
        <w:rPr>
          <w:rFonts w:ascii="Arial" w:hAnsi="Arial" w:hint="cs"/>
          <w:rtl/>
        </w:rPr>
        <w:t>יי</w:t>
      </w:r>
      <w:r w:rsidRPr="004509EB">
        <w:rPr>
          <w:rFonts w:ascii="Arial" w:hAnsi="Arial"/>
          <w:rtl/>
        </w:rPr>
        <w:t>די ב</w:t>
      </w:r>
      <w:r>
        <w:rPr>
          <w:rFonts w:ascii="Arial" w:hAnsi="Arial" w:hint="cs"/>
          <w:rtl/>
        </w:rPr>
        <w:t>ו, ואת חומרת המעשה. לצד זאת, המדובר במספר קליעים בודדים, 4 במספר, וכן בתרמיל.</w:t>
      </w:r>
    </w:p>
    <w:p w14:paraId="2CDA411E" w14:textId="77777777" w:rsidR="00336C14" w:rsidRPr="00582212" w:rsidRDefault="00336C14" w:rsidP="00336C14">
      <w:pPr>
        <w:pStyle w:val="a9"/>
        <w:numPr>
          <w:ilvl w:val="0"/>
          <w:numId w:val="2"/>
        </w:numPr>
        <w:spacing w:line="360" w:lineRule="auto"/>
        <w:jc w:val="both"/>
        <w:rPr>
          <w:rFonts w:ascii="Arial" w:hAnsi="Arial"/>
          <w:rtl/>
        </w:rPr>
      </w:pPr>
      <w:r w:rsidRPr="00582212">
        <w:rPr>
          <w:rFonts w:ascii="Arial" w:hAnsi="Arial"/>
          <w:rtl/>
        </w:rPr>
        <w:t xml:space="preserve">במסגרת </w:t>
      </w:r>
      <w:hyperlink r:id="rId13" w:history="1">
        <w:r w:rsidR="00E267BC" w:rsidRPr="00E267BC">
          <w:rPr>
            <w:rFonts w:ascii="Arial" w:hAnsi="Arial"/>
            <w:color w:val="0000FF"/>
            <w:u w:val="single"/>
            <w:rtl/>
          </w:rPr>
          <w:t>רע"פ 5613/20</w:t>
        </w:r>
      </w:hyperlink>
      <w:r w:rsidRPr="00582212">
        <w:rPr>
          <w:rFonts w:ascii="Arial" w:hAnsi="Arial"/>
          <w:rtl/>
        </w:rPr>
        <w:t xml:space="preserve"> </w:t>
      </w:r>
      <w:r w:rsidRPr="00582212">
        <w:rPr>
          <w:rFonts w:ascii="Arial" w:hAnsi="Arial"/>
          <w:b/>
          <w:bCs/>
          <w:rtl/>
        </w:rPr>
        <w:t>אלהוזייל נגד מדינת ישראל</w:t>
      </w:r>
      <w:r w:rsidRPr="00582212">
        <w:rPr>
          <w:rFonts w:ascii="Arial" w:hAnsi="Arial"/>
          <w:rtl/>
        </w:rPr>
        <w:t xml:space="preserve"> (נבו 25.8.2020) ציין בית המשפט את הדברים הבאים:</w:t>
      </w:r>
    </w:p>
    <w:p w14:paraId="4C00DE6F" w14:textId="77777777" w:rsidR="00336C14" w:rsidRPr="002E4B8C" w:rsidRDefault="00336C14" w:rsidP="00336C14">
      <w:pPr>
        <w:spacing w:line="360" w:lineRule="auto"/>
        <w:ind w:left="851" w:right="851"/>
        <w:jc w:val="both"/>
        <w:rPr>
          <w:rFonts w:ascii="Arial" w:hAnsi="Arial"/>
          <w:rtl/>
        </w:rPr>
      </w:pPr>
      <w:r w:rsidRPr="002E4B8C">
        <w:rPr>
          <w:rFonts w:ascii="Arial" w:hAnsi="Arial"/>
          <w:rtl/>
        </w:rPr>
        <w:t>"לגופם של דברים, עבירות בנשק הפכו בשנים האחרונות, למרבה הצער,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 (ראו למשל ב</w:t>
      </w:r>
      <w:hyperlink r:id="rId14" w:history="1">
        <w:r w:rsidR="00E267BC" w:rsidRPr="00E267BC">
          <w:rPr>
            <w:rFonts w:ascii="Arial" w:hAnsi="Arial"/>
            <w:color w:val="0000FF"/>
            <w:u w:val="single"/>
            <w:rtl/>
          </w:rPr>
          <w:t>ע"פ 4406/19</w:t>
        </w:r>
      </w:hyperlink>
      <w:r w:rsidRPr="002E4B8C">
        <w:rPr>
          <w:rFonts w:ascii="Arial" w:hAnsi="Arial"/>
          <w:rtl/>
        </w:rPr>
        <w:t xml:space="preserve"> </w:t>
      </w:r>
      <w:r w:rsidRPr="002E4B8C">
        <w:rPr>
          <w:rFonts w:ascii="Arial" w:hAnsi="Arial"/>
          <w:b/>
          <w:bCs/>
          <w:rtl/>
        </w:rPr>
        <w:t>מדינת ישראל נ' סובח</w:t>
      </w:r>
      <w:r w:rsidRPr="002E4B8C">
        <w:rPr>
          <w:rFonts w:ascii="Arial" w:hAnsi="Arial"/>
          <w:rtl/>
        </w:rPr>
        <w:t xml:space="preserve">, פסקאות 16–17 לחוות דעתי (נבו 5.11.2019); </w:t>
      </w:r>
      <w:hyperlink r:id="rId15" w:history="1">
        <w:r w:rsidR="00E267BC" w:rsidRPr="00E267BC">
          <w:rPr>
            <w:rFonts w:ascii="Arial" w:hAnsi="Arial"/>
            <w:color w:val="0000FF"/>
            <w:u w:val="single"/>
            <w:rtl/>
          </w:rPr>
          <w:t>רע"פ 7344/18</w:t>
        </w:r>
      </w:hyperlink>
      <w:r w:rsidRPr="002E4B8C">
        <w:rPr>
          <w:rFonts w:ascii="Arial" w:hAnsi="Arial"/>
          <w:rtl/>
        </w:rPr>
        <w:t xml:space="preserve"> </w:t>
      </w:r>
      <w:r w:rsidRPr="002E4B8C">
        <w:rPr>
          <w:rFonts w:ascii="Arial" w:hAnsi="Arial"/>
          <w:b/>
          <w:bCs/>
          <w:rtl/>
        </w:rPr>
        <w:t>מג'יד נ' מדינת ישראל</w:t>
      </w:r>
      <w:r w:rsidRPr="002E4B8C">
        <w:rPr>
          <w:rFonts w:ascii="Arial" w:hAnsi="Arial"/>
          <w:rtl/>
        </w:rPr>
        <w:t>, פסקה 10 (נבו 21.10.2018))".</w:t>
      </w:r>
    </w:p>
    <w:p w14:paraId="58622D8D" w14:textId="77777777" w:rsidR="00336C14" w:rsidRPr="002E4B8C" w:rsidRDefault="00336C14" w:rsidP="00336C14">
      <w:pPr>
        <w:spacing w:line="360" w:lineRule="auto"/>
        <w:ind w:firstLine="720"/>
        <w:jc w:val="both"/>
        <w:rPr>
          <w:rFonts w:ascii="Arial" w:hAnsi="Arial"/>
          <w:rtl/>
        </w:rPr>
      </w:pPr>
      <w:r w:rsidRPr="002E4B8C">
        <w:rPr>
          <w:rFonts w:ascii="Arial" w:hAnsi="Arial"/>
          <w:rtl/>
        </w:rPr>
        <w:t xml:space="preserve">וראו גם: </w:t>
      </w:r>
      <w:hyperlink r:id="rId16" w:history="1">
        <w:r w:rsidR="00E267BC" w:rsidRPr="00E267BC">
          <w:rPr>
            <w:rFonts w:ascii="Arial" w:hAnsi="Arial"/>
            <w:color w:val="0000FF"/>
            <w:u w:val="single"/>
            <w:rtl/>
          </w:rPr>
          <w:t>ע"פ 8416/09</w:t>
        </w:r>
      </w:hyperlink>
      <w:r w:rsidRPr="002E4B8C">
        <w:rPr>
          <w:rFonts w:ascii="Arial" w:hAnsi="Arial"/>
          <w:rtl/>
        </w:rPr>
        <w:t xml:space="preserve"> </w:t>
      </w:r>
      <w:r w:rsidRPr="002E4B8C">
        <w:rPr>
          <w:rFonts w:ascii="Arial" w:hAnsi="Arial"/>
          <w:b/>
          <w:bCs/>
          <w:rtl/>
        </w:rPr>
        <w:t>מדינת ישראל נ' חרבוש ואח'</w:t>
      </w:r>
      <w:r w:rsidRPr="002E4B8C">
        <w:rPr>
          <w:rFonts w:ascii="Arial" w:hAnsi="Arial"/>
          <w:rtl/>
        </w:rPr>
        <w:t xml:space="preserve"> (נבו 9.6.2010):</w:t>
      </w:r>
    </w:p>
    <w:p w14:paraId="497A6346" w14:textId="77777777" w:rsidR="00336C14" w:rsidRPr="002E4B8C" w:rsidRDefault="00336C14" w:rsidP="00336C14">
      <w:pPr>
        <w:spacing w:line="360" w:lineRule="auto"/>
        <w:ind w:left="851" w:right="851"/>
        <w:jc w:val="both"/>
        <w:rPr>
          <w:rFonts w:ascii="Arial" w:hAnsi="Arial"/>
          <w:rtl/>
        </w:rPr>
      </w:pPr>
      <w:r w:rsidRPr="002E4B8C">
        <w:rPr>
          <w:rFonts w:ascii="Arial" w:hAnsi="Arial"/>
          <w:rtl/>
        </w:rPr>
        <w:t xml:space="preserve">"חומרתה של עבירת החזקת הנשק, מקורה בכך שעבירה זאת אינה נעשית לרוב אלא כדי לאפשר ביצוען של עבירות אחרות, שמעצם טבעו של הנשק, כרוכות באלימות או בהפחדה. ... כפי שציינה חברתי הנשיאה ד' ביניש, המציאות השוררת בארץ המתבטאת בזמינותו של נשק חם ורב עוצמה שיש עמו פוטנציאל להסלמת האלימות העבריינית, מחייבת מתן ביטוי עונשי הולם והחמרה ברמת הענישה (ראו ע"פ </w:t>
      </w:r>
      <w:hyperlink r:id="rId17" w:history="1">
        <w:r w:rsidR="00BC325D" w:rsidRPr="00BC325D">
          <w:rPr>
            <w:rFonts w:ascii="Arial" w:hAnsi="Arial"/>
            <w:color w:val="0000FF"/>
            <w:u w:val="single"/>
            <w:rtl/>
          </w:rPr>
          <w:t xml:space="preserve">1332/04 </w:t>
        </w:r>
      </w:hyperlink>
      <w:r w:rsidRPr="002E4B8C">
        <w:rPr>
          <w:rFonts w:ascii="Arial" w:hAnsi="Arial"/>
          <w:rtl/>
        </w:rPr>
        <w:t xml:space="preserve"> </w:t>
      </w:r>
      <w:r w:rsidRPr="002E4B8C">
        <w:rPr>
          <w:rFonts w:ascii="Arial" w:hAnsi="Arial"/>
          <w:b/>
          <w:bCs/>
          <w:rtl/>
        </w:rPr>
        <w:t>מדינת ישראל נ' פס</w:t>
      </w:r>
      <w:r w:rsidRPr="002E4B8C">
        <w:rPr>
          <w:rFonts w:ascii="Arial" w:hAnsi="Arial"/>
          <w:rtl/>
        </w:rPr>
        <w:t>, סעיף 4 (נבו 19.4.04)). יש לעשות כן עוד בטרם ייעשה באקדח שימוש קטלני, באמצעות הרחקת המחזיק בו מן החברה לפרק זמן, והעברת מסר מרתיע באמצעות עונש מאסר ממשי לריצוי בפועל...".</w:t>
      </w:r>
    </w:p>
    <w:p w14:paraId="773F413A" w14:textId="77777777" w:rsidR="00336C14" w:rsidRPr="002E4B8C" w:rsidRDefault="00336C14" w:rsidP="00336C14">
      <w:pPr>
        <w:spacing w:line="360" w:lineRule="auto"/>
        <w:jc w:val="both"/>
        <w:rPr>
          <w:rFonts w:ascii="Arial" w:hAnsi="Arial"/>
          <w:rtl/>
        </w:rPr>
      </w:pPr>
    </w:p>
    <w:p w14:paraId="50B6553E" w14:textId="77777777" w:rsidR="00336C14" w:rsidRPr="00582212" w:rsidRDefault="00336C14" w:rsidP="00336C14">
      <w:pPr>
        <w:pStyle w:val="a9"/>
        <w:numPr>
          <w:ilvl w:val="0"/>
          <w:numId w:val="2"/>
        </w:numPr>
        <w:spacing w:line="360" w:lineRule="auto"/>
        <w:jc w:val="both"/>
        <w:rPr>
          <w:rFonts w:ascii="Arial" w:hAnsi="Arial"/>
          <w:rtl/>
        </w:rPr>
      </w:pPr>
      <w:r w:rsidRPr="00582212">
        <w:rPr>
          <w:rFonts w:ascii="Arial" w:hAnsi="Arial"/>
          <w:rtl/>
        </w:rPr>
        <w:t>סקירת מדיניות הענישה הנהוגה בעבירת החזקת נשק מלמדת על טווח ענישה רחב התלוי לרוב בנסיבותיו של כל מקרה ומקרה:</w:t>
      </w:r>
    </w:p>
    <w:p w14:paraId="7DF0F912" w14:textId="77777777" w:rsidR="00336C14" w:rsidRPr="002E4B8C" w:rsidRDefault="00336C14" w:rsidP="00336C14">
      <w:pPr>
        <w:spacing w:line="360" w:lineRule="auto"/>
        <w:jc w:val="both"/>
        <w:rPr>
          <w:rFonts w:ascii="David" w:hAnsi="David"/>
          <w:rtl/>
        </w:rPr>
      </w:pPr>
    </w:p>
    <w:p w14:paraId="209027AB" w14:textId="77777777" w:rsidR="00336C14" w:rsidRPr="003C3E78" w:rsidRDefault="00336C14" w:rsidP="00336C14">
      <w:pPr>
        <w:pStyle w:val="a9"/>
        <w:numPr>
          <w:ilvl w:val="0"/>
          <w:numId w:val="1"/>
        </w:numPr>
        <w:spacing w:after="160" w:line="360" w:lineRule="auto"/>
        <w:jc w:val="both"/>
        <w:rPr>
          <w:rFonts w:ascii="David" w:hAnsi="David"/>
          <w:rtl/>
        </w:rPr>
      </w:pPr>
      <w:r w:rsidRPr="003C3E78">
        <w:rPr>
          <w:rFonts w:ascii="David" w:hAnsi="David"/>
          <w:rtl/>
        </w:rPr>
        <w:t>ב</w:t>
      </w:r>
      <w:hyperlink r:id="rId18" w:history="1">
        <w:r w:rsidR="00E267BC" w:rsidRPr="00E267BC">
          <w:rPr>
            <w:rFonts w:ascii="David" w:hAnsi="David"/>
            <w:color w:val="0000FF"/>
            <w:u w:val="single"/>
            <w:rtl/>
          </w:rPr>
          <w:t>ע"פ 545/20</w:t>
        </w:r>
      </w:hyperlink>
      <w:r w:rsidRPr="003C3E78">
        <w:rPr>
          <w:rFonts w:ascii="David" w:hAnsi="David"/>
          <w:rtl/>
        </w:rPr>
        <w:t xml:space="preserve"> </w:t>
      </w:r>
      <w:r w:rsidRPr="003C3E78">
        <w:rPr>
          <w:rFonts w:ascii="David" w:hAnsi="David"/>
          <w:b/>
          <w:bCs/>
          <w:rtl/>
        </w:rPr>
        <w:t>פלוני נ' מדינת ישראל</w:t>
      </w:r>
      <w:r w:rsidRPr="003C3E78">
        <w:rPr>
          <w:rFonts w:ascii="David" w:hAnsi="David"/>
          <w:rtl/>
        </w:rPr>
        <w:t xml:space="preserve"> (נבו 3.5.21), נדחה  ערעור על חומרת עונש של נאשם עליו הוטלו 12 חודשים, לאחר שהמערער, נעדר רישום פלילי, הורשע באחזקה/ נשיאת אקדח ומחסנית תואמת ו-50 כדורים</w:t>
      </w:r>
      <w:r w:rsidRPr="003C3E78">
        <w:rPr>
          <w:rFonts w:ascii="David" w:hAnsi="David"/>
        </w:rPr>
        <w:t>."</w:t>
      </w:r>
    </w:p>
    <w:p w14:paraId="554E95F9" w14:textId="77777777" w:rsidR="00336C14" w:rsidRPr="003C3E78" w:rsidRDefault="00336C14" w:rsidP="00336C14">
      <w:pPr>
        <w:pStyle w:val="a9"/>
        <w:numPr>
          <w:ilvl w:val="0"/>
          <w:numId w:val="1"/>
        </w:numPr>
        <w:spacing w:after="160" w:line="360" w:lineRule="auto"/>
        <w:jc w:val="both"/>
        <w:rPr>
          <w:rFonts w:ascii="David" w:hAnsi="David"/>
        </w:rPr>
      </w:pPr>
      <w:r w:rsidRPr="003C3E78">
        <w:rPr>
          <w:rFonts w:ascii="David" w:hAnsi="David"/>
          <w:rtl/>
        </w:rPr>
        <w:t>ב</w:t>
      </w:r>
      <w:hyperlink r:id="rId19" w:history="1">
        <w:r w:rsidR="00E267BC" w:rsidRPr="00E267BC">
          <w:rPr>
            <w:rFonts w:ascii="David" w:hAnsi="David"/>
            <w:color w:val="0000FF"/>
            <w:u w:val="single"/>
            <w:rtl/>
          </w:rPr>
          <w:t>ע"פ 5604/11</w:t>
        </w:r>
      </w:hyperlink>
      <w:r w:rsidRPr="003C3E78">
        <w:rPr>
          <w:rFonts w:ascii="David" w:hAnsi="David"/>
          <w:rtl/>
        </w:rPr>
        <w:t xml:space="preserve"> </w:t>
      </w:r>
      <w:r w:rsidRPr="003C3E78">
        <w:rPr>
          <w:rFonts w:ascii="David" w:hAnsi="David"/>
          <w:b/>
          <w:bCs/>
          <w:rtl/>
        </w:rPr>
        <w:t>נאסר נ' מדינת ישראל</w:t>
      </w:r>
      <w:r w:rsidRPr="003C3E78">
        <w:rPr>
          <w:rFonts w:ascii="David" w:hAnsi="David"/>
          <w:rtl/>
        </w:rPr>
        <w:t xml:space="preserve"> (נבו 5.10.11), נדחה ערעור על חומרת עונשו של נאשם עליו הוטלו 12 חודשים, לאחר שהמערער הורשע בביצוע עבירה של החזקת נשק ותחמושת. אקדח ומחסנית לאקדח ובה 8 כדורים.</w:t>
      </w:r>
    </w:p>
    <w:p w14:paraId="42DC5CE8" w14:textId="77777777" w:rsidR="00336C14" w:rsidRPr="003C3E78" w:rsidRDefault="00336C14" w:rsidP="00336C14">
      <w:pPr>
        <w:pStyle w:val="a9"/>
        <w:numPr>
          <w:ilvl w:val="0"/>
          <w:numId w:val="1"/>
        </w:numPr>
        <w:spacing w:after="160" w:line="360" w:lineRule="auto"/>
        <w:jc w:val="both"/>
        <w:rPr>
          <w:rFonts w:ascii="David" w:hAnsi="David"/>
        </w:rPr>
      </w:pPr>
      <w:r w:rsidRPr="003C3E78">
        <w:rPr>
          <w:rFonts w:ascii="David" w:hAnsi="David"/>
          <w:rtl/>
        </w:rPr>
        <w:t>ב</w:t>
      </w:r>
      <w:hyperlink r:id="rId20" w:history="1">
        <w:r w:rsidR="00E267BC" w:rsidRPr="00E267BC">
          <w:rPr>
            <w:rFonts w:ascii="David" w:hAnsi="David"/>
            <w:color w:val="0000FF"/>
            <w:u w:val="single"/>
            <w:rtl/>
          </w:rPr>
          <w:t>ע"פ 6294/10</w:t>
        </w:r>
      </w:hyperlink>
      <w:r w:rsidRPr="003C3E78">
        <w:rPr>
          <w:rFonts w:ascii="David" w:hAnsi="David"/>
          <w:rtl/>
        </w:rPr>
        <w:t xml:space="preserve"> </w:t>
      </w:r>
      <w:r w:rsidRPr="003C3E78">
        <w:rPr>
          <w:rFonts w:ascii="David" w:hAnsi="David"/>
          <w:b/>
          <w:bCs/>
          <w:rtl/>
        </w:rPr>
        <w:t>אלקיעאן נ' מדינת ישראל</w:t>
      </w:r>
      <w:r w:rsidRPr="003C3E78">
        <w:rPr>
          <w:rFonts w:ascii="David" w:hAnsi="David"/>
          <w:rtl/>
        </w:rPr>
        <w:t xml:space="preserve"> (נבו 13.2.11), נדחה ערעור על חומרת עונשם של נאשמים עליהם הוטלו 10 חודשי מאסר בגין ביצוע עבירה של החזקת נשק ותחמושת שלא כדין. הנאשמים נתפסו, כאשר כל אחד מהם החזיק באקדח טעון ומחסנית, וכן הנאשם 2 החזיק בכיס מעילו מחסנית נוספת.</w:t>
      </w:r>
    </w:p>
    <w:p w14:paraId="1AE4F5E4" w14:textId="77777777" w:rsidR="00336C14" w:rsidRPr="003C3E78" w:rsidRDefault="00E267BC" w:rsidP="00336C14">
      <w:pPr>
        <w:pStyle w:val="a9"/>
        <w:numPr>
          <w:ilvl w:val="0"/>
          <w:numId w:val="1"/>
        </w:numPr>
        <w:spacing w:after="160" w:line="360" w:lineRule="auto"/>
        <w:jc w:val="both"/>
        <w:rPr>
          <w:rFonts w:ascii="David" w:hAnsi="David"/>
        </w:rPr>
      </w:pPr>
      <w:hyperlink r:id="rId21" w:history="1">
        <w:r w:rsidRPr="00E267BC">
          <w:rPr>
            <w:rFonts w:ascii="Arial" w:hAnsi="Arial"/>
            <w:color w:val="0000FF"/>
            <w:u w:val="single"/>
            <w:rtl/>
          </w:rPr>
          <w:t>רע"פ 1246/17</w:t>
        </w:r>
      </w:hyperlink>
      <w:r w:rsidR="00336C14" w:rsidRPr="003C3E78">
        <w:rPr>
          <w:rFonts w:ascii="Arial" w:hAnsi="Arial"/>
          <w:rtl/>
        </w:rPr>
        <w:t xml:space="preserve"> </w:t>
      </w:r>
      <w:r w:rsidR="00336C14" w:rsidRPr="003C3E78">
        <w:rPr>
          <w:rFonts w:ascii="Arial" w:hAnsi="Arial"/>
          <w:b/>
          <w:bCs/>
          <w:rtl/>
        </w:rPr>
        <w:t>מטר</w:t>
      </w:r>
      <w:r w:rsidR="00336C14" w:rsidRPr="003C3E78">
        <w:rPr>
          <w:rFonts w:ascii="Arial" w:hAnsi="Arial"/>
          <w:rtl/>
        </w:rPr>
        <w:t xml:space="preserve"> (נבו 12.3.2017) - נדחתה בקשת רשות ערעור של נאשם שהורשע בהחזקת אקדח ותחמושת בביתו, לאחר שבית משפט מחוזי החמיר בעונשו של הנאשם ל-9 חודשי מאסר חלף שישה חודשי מאסר בדרך של עבודות שירות.</w:t>
      </w:r>
    </w:p>
    <w:p w14:paraId="5CB9FBDA" w14:textId="77777777" w:rsidR="00336C14" w:rsidRPr="003C3E78" w:rsidRDefault="00E267BC" w:rsidP="00336C14">
      <w:pPr>
        <w:pStyle w:val="a9"/>
        <w:numPr>
          <w:ilvl w:val="0"/>
          <w:numId w:val="1"/>
        </w:numPr>
        <w:spacing w:after="160" w:line="360" w:lineRule="auto"/>
        <w:jc w:val="both"/>
        <w:rPr>
          <w:rFonts w:ascii="David" w:hAnsi="David"/>
        </w:rPr>
      </w:pPr>
      <w:hyperlink r:id="rId22" w:history="1">
        <w:r w:rsidRPr="00E267BC">
          <w:rPr>
            <w:rFonts w:ascii="Arial" w:hAnsi="Arial"/>
            <w:color w:val="0000FF"/>
            <w:u w:val="single"/>
            <w:rtl/>
          </w:rPr>
          <w:t>עפ"ג (מחוזי ב"ש) 56010-03-18</w:t>
        </w:r>
      </w:hyperlink>
      <w:r w:rsidR="00336C14" w:rsidRPr="003C3E78">
        <w:rPr>
          <w:rFonts w:ascii="Arial" w:hAnsi="Arial"/>
          <w:rtl/>
        </w:rPr>
        <w:t xml:space="preserve"> </w:t>
      </w:r>
      <w:r w:rsidR="00336C14" w:rsidRPr="003C3E78">
        <w:rPr>
          <w:rFonts w:ascii="Arial" w:hAnsi="Arial"/>
          <w:b/>
          <w:bCs/>
          <w:rtl/>
        </w:rPr>
        <w:t>אלאסד</w:t>
      </w:r>
      <w:r w:rsidR="00336C14" w:rsidRPr="003C3E78">
        <w:rPr>
          <w:rFonts w:ascii="Arial" w:hAnsi="Arial"/>
          <w:rtl/>
        </w:rPr>
        <w:t xml:space="preserve"> (נבו 27.6.18) - דחה בית המשפט המחוזי ערעורו של נאשם כבן 50, אשר החזיק בביתו אקדח ללא תחמושת ונדון לתשעה חודשי מאסר בפועל ועונשים נלווים.</w:t>
      </w:r>
    </w:p>
    <w:p w14:paraId="65FFB3BC" w14:textId="77777777" w:rsidR="00336C14" w:rsidRPr="003C3E78" w:rsidRDefault="00E267BC" w:rsidP="00336C14">
      <w:pPr>
        <w:pStyle w:val="a9"/>
        <w:numPr>
          <w:ilvl w:val="0"/>
          <w:numId w:val="1"/>
        </w:numPr>
        <w:spacing w:after="160" w:line="360" w:lineRule="auto"/>
        <w:jc w:val="both"/>
        <w:rPr>
          <w:rFonts w:ascii="David" w:hAnsi="David"/>
        </w:rPr>
      </w:pPr>
      <w:hyperlink r:id="rId23" w:history="1">
        <w:r w:rsidRPr="00E267BC">
          <w:rPr>
            <w:rFonts w:ascii="Arial" w:hAnsi="Arial"/>
            <w:color w:val="0000FF"/>
            <w:u w:val="single"/>
            <w:rtl/>
          </w:rPr>
          <w:t>עפ"ג (ב"ש) 56305-02-20</w:t>
        </w:r>
      </w:hyperlink>
      <w:r w:rsidR="00336C14" w:rsidRPr="003C3E78">
        <w:rPr>
          <w:rFonts w:ascii="Arial" w:hAnsi="Arial"/>
          <w:rtl/>
        </w:rPr>
        <w:t xml:space="preserve">‏ </w:t>
      </w:r>
      <w:r w:rsidR="00336C14" w:rsidRPr="003C3E78">
        <w:rPr>
          <w:rFonts w:ascii="Arial" w:hAnsi="Arial"/>
          <w:b/>
          <w:bCs/>
          <w:rtl/>
        </w:rPr>
        <w:t>אלקריעאן</w:t>
      </w:r>
      <w:r w:rsidR="00336C14" w:rsidRPr="003C3E78">
        <w:rPr>
          <w:rFonts w:ascii="Arial" w:hAnsi="Arial"/>
          <w:rtl/>
        </w:rPr>
        <w:t xml:space="preserve"> (נבו 18.8.20) – נדון נאשם ללא עבר פלילי שברכבו נמצא אקדח ומחסנית ל-15 חודשים. נקבע מתחם שבין 15 חודשים ועד 30 חודשים. ערכאת הערעור הפחיתה את עונשו ל-12 חודשי מאסר.</w:t>
      </w:r>
    </w:p>
    <w:p w14:paraId="1D9F0F76" w14:textId="77777777" w:rsidR="00336C14" w:rsidRPr="00F634CE" w:rsidRDefault="00E267BC" w:rsidP="00336C14">
      <w:pPr>
        <w:pStyle w:val="a9"/>
        <w:numPr>
          <w:ilvl w:val="0"/>
          <w:numId w:val="1"/>
        </w:numPr>
        <w:spacing w:after="160" w:line="360" w:lineRule="auto"/>
        <w:jc w:val="both"/>
        <w:rPr>
          <w:rFonts w:ascii="David" w:hAnsi="David"/>
        </w:rPr>
      </w:pPr>
      <w:hyperlink r:id="rId24" w:history="1">
        <w:r w:rsidRPr="00E267BC">
          <w:rPr>
            <w:rFonts w:ascii="Arial" w:hAnsi="Arial"/>
            <w:color w:val="0000FF"/>
            <w:u w:val="single"/>
            <w:rtl/>
          </w:rPr>
          <w:t>ע"פ 761/07</w:t>
        </w:r>
      </w:hyperlink>
      <w:r w:rsidR="00336C14" w:rsidRPr="00F634CE">
        <w:rPr>
          <w:rFonts w:ascii="Arial" w:hAnsi="Arial"/>
          <w:rtl/>
        </w:rPr>
        <w:t xml:space="preserve"> </w:t>
      </w:r>
      <w:r w:rsidR="00336C14" w:rsidRPr="00F634CE">
        <w:rPr>
          <w:rFonts w:ascii="Arial" w:hAnsi="Arial"/>
          <w:b/>
          <w:bCs/>
          <w:rtl/>
        </w:rPr>
        <w:t>מדינת ישראל נ' מיכאל אדרי</w:t>
      </w:r>
      <w:r w:rsidR="00336C14" w:rsidRPr="00F634CE">
        <w:rPr>
          <w:rFonts w:ascii="Arial" w:hAnsi="Arial"/>
          <w:rtl/>
        </w:rPr>
        <w:t xml:space="preserve"> (נבו 22.02.07) המערער נהג ברכב ונתפס מחזיק באקדח, מחסנית ותחמושת. כשנעצר, הזדהה כאחר. הוא הורשע בהחזקת נשק שלא כדין ובהפרעה לשוטר במילוי תפקידו, נגזרו עליו בבית המשפט המחוזי 12 חודשי מאסר בפועל, ובמסגרת ערעור המדינה על קולת העונש, ונוכח רישום פלילי משמעותי, הוחמר עונשו ל- 24 חודשי מאסר בפועל.</w:t>
      </w:r>
    </w:p>
    <w:p w14:paraId="7A20E560" w14:textId="77777777" w:rsidR="00336C14" w:rsidRDefault="00E267BC" w:rsidP="00336C14">
      <w:pPr>
        <w:pStyle w:val="a9"/>
        <w:numPr>
          <w:ilvl w:val="0"/>
          <w:numId w:val="1"/>
        </w:numPr>
        <w:spacing w:after="160" w:line="360" w:lineRule="auto"/>
        <w:jc w:val="both"/>
        <w:rPr>
          <w:rFonts w:ascii="David" w:hAnsi="David"/>
        </w:rPr>
      </w:pPr>
      <w:hyperlink r:id="rId25" w:history="1">
        <w:r w:rsidRPr="00E267BC">
          <w:rPr>
            <w:rFonts w:ascii="Arial" w:hAnsi="Arial"/>
            <w:color w:val="0000FF"/>
            <w:u w:val="single"/>
            <w:rtl/>
          </w:rPr>
          <w:t>עפ"ג 18780-06-14</w:t>
        </w:r>
      </w:hyperlink>
      <w:r w:rsidR="00336C14" w:rsidRPr="00F634CE">
        <w:rPr>
          <w:rFonts w:ascii="Arial" w:hAnsi="Arial"/>
          <w:rtl/>
        </w:rPr>
        <w:t xml:space="preserve"> (נבו 14.9.2014), ביחס לנאשם שהחזיק בביתו שני אקדחים טעונים במחסניות עם כדורים (ובנוסף בשתי מחסניות ריקות), נקבע מתחם החל מ- 12 חודשים ל-26 חודשי מאסר.</w:t>
      </w:r>
    </w:p>
    <w:p w14:paraId="5B0C86F7" w14:textId="77777777" w:rsidR="00336C14" w:rsidRPr="00F634CE" w:rsidRDefault="00E267BC" w:rsidP="00336C14">
      <w:pPr>
        <w:pStyle w:val="a9"/>
        <w:numPr>
          <w:ilvl w:val="0"/>
          <w:numId w:val="1"/>
        </w:numPr>
        <w:spacing w:after="160" w:line="360" w:lineRule="auto"/>
        <w:jc w:val="both"/>
        <w:rPr>
          <w:rFonts w:ascii="David" w:hAnsi="David"/>
        </w:rPr>
      </w:pPr>
      <w:hyperlink r:id="rId26" w:history="1">
        <w:r w:rsidRPr="00E267BC">
          <w:rPr>
            <w:rFonts w:ascii="David" w:hAnsi="David"/>
            <w:color w:val="0000FF"/>
            <w:u w:val="single"/>
            <w:rtl/>
          </w:rPr>
          <w:t>ת"פ (כ"ס) 14044-03-20</w:t>
        </w:r>
      </w:hyperlink>
      <w:r w:rsidR="00336C14" w:rsidRPr="00C702CD">
        <w:rPr>
          <w:rFonts w:ascii="David" w:hAnsi="David"/>
          <w:rtl/>
        </w:rPr>
        <w:t xml:space="preserve"> מדינת ישראל נ' קטאווי (15.12.20) – הנאשם הורשע, לפי הודאתו, בהחזקת נשק, לאחר שהחזיק בתת מקלע מאולתר מסוג "קרלו", עטוף ומוסלק במשאית שעמדה בסמוך לביתו, ובמחסנית תואמת ובה 11 כדורים. נקבע מתחם עונש הולם הנע בין 15 ל-36 חודשי מאסר בפועל, והוטלו 20 חודשי מאסר, הופעל מאסר על-תנאי בן 8 חודשים, חלקו בחופף וחלקו במצטבר כך שסה"כ </w:t>
      </w:r>
      <w:r w:rsidR="00336C14">
        <w:rPr>
          <w:rFonts w:ascii="David" w:hAnsi="David" w:hint="cs"/>
          <w:rtl/>
        </w:rPr>
        <w:t xml:space="preserve">הוטלו על </w:t>
      </w:r>
      <w:r w:rsidR="00336C14" w:rsidRPr="00C702CD">
        <w:rPr>
          <w:rFonts w:ascii="David" w:hAnsi="David"/>
          <w:rtl/>
        </w:rPr>
        <w:t>הנאשם 26 חודשי מאסר בפועל, ומאסר על-תנאי.</w:t>
      </w:r>
    </w:p>
    <w:p w14:paraId="0AA28B93" w14:textId="77777777" w:rsidR="00336C14" w:rsidRPr="00582212" w:rsidRDefault="00336C14" w:rsidP="00336C14">
      <w:pPr>
        <w:pStyle w:val="a9"/>
        <w:numPr>
          <w:ilvl w:val="0"/>
          <w:numId w:val="2"/>
        </w:numPr>
        <w:spacing w:line="360" w:lineRule="auto"/>
        <w:jc w:val="both"/>
        <w:rPr>
          <w:rFonts w:ascii="Arial" w:hAnsi="Arial"/>
          <w:rtl/>
        </w:rPr>
      </w:pPr>
      <w:r w:rsidRPr="00336E3D">
        <w:rPr>
          <w:rFonts w:ascii="Arial" w:hAnsi="Arial"/>
          <w:rtl/>
        </w:rPr>
        <w:t>בהתאם למגמת הפסיקה, להחמיר בענישה בעבירות נשק ככלל, ובשים לב לנסיבות האירוע</w:t>
      </w:r>
      <w:r>
        <w:rPr>
          <w:rFonts w:ascii="Arial" w:hAnsi="Arial" w:hint="cs"/>
          <w:rtl/>
        </w:rPr>
        <w:t>, סוג הנשק שהינו נשק ארוך, והתחמושת התואמת שנתפסה, לרבות מדיניות הענישה הנוהגת</w:t>
      </w:r>
      <w:r w:rsidRPr="00582212">
        <w:rPr>
          <w:rFonts w:ascii="Arial" w:hAnsi="Arial"/>
          <w:rtl/>
        </w:rPr>
        <w:t>, ראיתי לקבוע את מתחם העונש ההולם החל מ-</w:t>
      </w:r>
      <w:r>
        <w:rPr>
          <w:rFonts w:ascii="Arial" w:hAnsi="Arial" w:hint="cs"/>
          <w:rtl/>
        </w:rPr>
        <w:t>15</w:t>
      </w:r>
      <w:r w:rsidRPr="00582212">
        <w:rPr>
          <w:rFonts w:ascii="Arial" w:hAnsi="Arial"/>
          <w:rtl/>
        </w:rPr>
        <w:t xml:space="preserve"> ועד</w:t>
      </w:r>
      <w:r>
        <w:rPr>
          <w:rFonts w:ascii="Arial" w:hAnsi="Arial" w:hint="cs"/>
          <w:rtl/>
        </w:rPr>
        <w:t xml:space="preserve"> 30 </w:t>
      </w:r>
      <w:r w:rsidRPr="00582212">
        <w:rPr>
          <w:rFonts w:ascii="Arial" w:hAnsi="Arial"/>
          <w:rtl/>
        </w:rPr>
        <w:t>חודשי מאסר בפועל</w:t>
      </w:r>
      <w:r w:rsidRPr="00582212">
        <w:rPr>
          <w:rFonts w:ascii="Arial" w:hAnsi="Arial" w:hint="cs"/>
          <w:rtl/>
        </w:rPr>
        <w:t>.</w:t>
      </w:r>
    </w:p>
    <w:p w14:paraId="18D131B7" w14:textId="77777777" w:rsidR="00336C14" w:rsidRDefault="00336C14" w:rsidP="00336C14">
      <w:pPr>
        <w:pStyle w:val="a9"/>
        <w:numPr>
          <w:ilvl w:val="0"/>
          <w:numId w:val="2"/>
        </w:numPr>
        <w:shd w:val="clear" w:color="auto" w:fill="FFFFFF"/>
        <w:spacing w:after="160" w:line="360" w:lineRule="atLeast"/>
        <w:jc w:val="both"/>
        <w:rPr>
          <w:rFonts w:ascii="David" w:hAnsi="David"/>
          <w:color w:val="000000"/>
        </w:rPr>
      </w:pPr>
      <w:r w:rsidRPr="00582212">
        <w:rPr>
          <w:rFonts w:ascii="David" w:hAnsi="David" w:hint="cs"/>
          <w:color w:val="000000"/>
          <w:rtl/>
        </w:rPr>
        <w:t>בבחינת העונש המתאים לנאש</w:t>
      </w:r>
      <w:r>
        <w:rPr>
          <w:rFonts w:ascii="David" w:hAnsi="David" w:hint="cs"/>
          <w:color w:val="000000"/>
          <w:rtl/>
        </w:rPr>
        <w:t xml:space="preserve">מים יש להביא בחשבון את הנסיבות הבאות: הנאשמים נטלו אחריות על מעשיהם בבית המשפט, והביעו חרטה על ביצוע העבירה. </w:t>
      </w:r>
    </w:p>
    <w:p w14:paraId="2C6CEC82" w14:textId="77777777" w:rsidR="00336C14" w:rsidRPr="00C702CD" w:rsidRDefault="00336C14" w:rsidP="00336C14">
      <w:pPr>
        <w:pStyle w:val="a9"/>
        <w:numPr>
          <w:ilvl w:val="0"/>
          <w:numId w:val="2"/>
        </w:numPr>
        <w:shd w:val="clear" w:color="auto" w:fill="FFFFFF"/>
        <w:spacing w:after="160" w:line="360" w:lineRule="atLeast"/>
        <w:jc w:val="both"/>
        <w:rPr>
          <w:rFonts w:ascii="David" w:hAnsi="David"/>
          <w:color w:val="000000"/>
        </w:rPr>
      </w:pPr>
      <w:r w:rsidRPr="00582212">
        <w:rPr>
          <w:rFonts w:ascii="David" w:hAnsi="David"/>
          <w:color w:val="000000"/>
          <w:rtl/>
        </w:rPr>
        <w:t xml:space="preserve">נאשם 1 </w:t>
      </w:r>
      <w:r>
        <w:rPr>
          <w:rFonts w:ascii="David" w:hAnsi="David" w:hint="cs"/>
          <w:color w:val="000000"/>
          <w:rtl/>
        </w:rPr>
        <w:t xml:space="preserve">כבן 27 </w:t>
      </w:r>
      <w:r w:rsidRPr="00582212">
        <w:rPr>
          <w:rFonts w:ascii="David" w:hAnsi="David"/>
          <w:color w:val="000000"/>
          <w:rtl/>
        </w:rPr>
        <w:t>נעדר רישום פלילי. נאשם 2</w:t>
      </w:r>
      <w:r>
        <w:rPr>
          <w:rFonts w:ascii="David" w:hAnsi="David" w:hint="cs"/>
          <w:color w:val="000000"/>
          <w:rtl/>
        </w:rPr>
        <w:t xml:space="preserve"> כבן 28, לחובתו </w:t>
      </w:r>
      <w:r w:rsidRPr="00582212">
        <w:rPr>
          <w:rFonts w:ascii="Arial" w:hAnsi="Arial"/>
          <w:rtl/>
        </w:rPr>
        <w:t>רישום פלילי</w:t>
      </w:r>
      <w:r>
        <w:rPr>
          <w:rFonts w:ascii="Arial" w:hAnsi="Arial" w:hint="cs"/>
          <w:rtl/>
        </w:rPr>
        <w:t xml:space="preserve"> משמעותי בעבירות של סיוע לשוד מזוין ומסחר בחלקי רכב בגינם נדון בשנת 2021 ל-21 חודשי מאסר. מתיק זה תלוי ועומד נגדו מאסר על תנאי להפעלה למשך 6 חודשים. בשנת 2016 ריצה הנאשם 8 חודשי מאסר בגין עבירות של גילוי הזדהות עם ארגון טרור ופרסום דברי הסתה. </w:t>
      </w:r>
    </w:p>
    <w:p w14:paraId="69BA0573" w14:textId="77777777" w:rsidR="00336C14" w:rsidRPr="00582212" w:rsidRDefault="00336C14" w:rsidP="00336C14">
      <w:pPr>
        <w:pStyle w:val="a9"/>
        <w:numPr>
          <w:ilvl w:val="0"/>
          <w:numId w:val="2"/>
        </w:numPr>
        <w:shd w:val="clear" w:color="auto" w:fill="FFFFFF"/>
        <w:spacing w:after="160" w:line="360" w:lineRule="atLeast"/>
        <w:jc w:val="both"/>
        <w:rPr>
          <w:rFonts w:ascii="David" w:hAnsi="David"/>
          <w:color w:val="000000"/>
        </w:rPr>
      </w:pPr>
      <w:r>
        <w:rPr>
          <w:rFonts w:ascii="Arial" w:hAnsi="Arial" w:hint="cs"/>
          <w:rtl/>
        </w:rPr>
        <w:t xml:space="preserve">במסגרת שיקוליי את נסיבותיהם האישיות כפי שפורטו על ידי סנגוריהם והנאשמים עצמם. </w:t>
      </w:r>
      <w:r w:rsidRPr="00582212">
        <w:rPr>
          <w:rFonts w:ascii="David" w:hAnsi="David"/>
          <w:color w:val="000000"/>
          <w:rtl/>
        </w:rPr>
        <w:t xml:space="preserve">נאשם 1 היה נתון במעצר </w:t>
      </w:r>
      <w:r w:rsidRPr="00582212">
        <w:rPr>
          <w:rFonts w:ascii="Arial" w:hAnsi="Arial"/>
          <w:rtl/>
        </w:rPr>
        <w:t>בגין תיק זה מיום 15.3.2023 ועד ליום 2.4.2023</w:t>
      </w:r>
      <w:r w:rsidRPr="00582212">
        <w:rPr>
          <w:rFonts w:ascii="David" w:hAnsi="David"/>
          <w:color w:val="000000"/>
          <w:rtl/>
        </w:rPr>
        <w:t>, ונעצר שוב החל מיום</w:t>
      </w:r>
      <w:r w:rsidRPr="00582212">
        <w:rPr>
          <w:rFonts w:ascii="Arial" w:hAnsi="Arial"/>
          <w:rtl/>
        </w:rPr>
        <w:t xml:space="preserve"> 10.4.2023</w:t>
      </w:r>
      <w:r w:rsidRPr="00582212">
        <w:rPr>
          <w:rFonts w:ascii="David" w:hAnsi="David"/>
          <w:color w:val="000000"/>
          <w:rtl/>
        </w:rPr>
        <w:t xml:space="preserve">. נאשם 2 נתון במעצר החל מיום </w:t>
      </w:r>
      <w:r w:rsidRPr="00582212">
        <w:rPr>
          <w:rFonts w:ascii="Arial" w:hAnsi="Arial"/>
          <w:rtl/>
        </w:rPr>
        <w:t>21.3.2023</w:t>
      </w:r>
      <w:r w:rsidRPr="00582212">
        <w:rPr>
          <w:rFonts w:ascii="David" w:hAnsi="David"/>
          <w:color w:val="000000"/>
          <w:rtl/>
        </w:rPr>
        <w:t>.</w:t>
      </w:r>
    </w:p>
    <w:p w14:paraId="206FFEE5" w14:textId="77777777" w:rsidR="00336C14" w:rsidRDefault="00336C14" w:rsidP="00336C14">
      <w:pPr>
        <w:pStyle w:val="a9"/>
        <w:numPr>
          <w:ilvl w:val="0"/>
          <w:numId w:val="2"/>
        </w:numPr>
        <w:shd w:val="clear" w:color="auto" w:fill="FFFFFF"/>
        <w:spacing w:line="360" w:lineRule="atLeast"/>
        <w:jc w:val="both"/>
        <w:rPr>
          <w:rFonts w:ascii="David" w:hAnsi="David"/>
          <w:color w:val="000000"/>
        </w:rPr>
      </w:pPr>
      <w:r w:rsidRPr="00725158">
        <w:rPr>
          <w:rFonts w:ascii="David" w:hAnsi="David"/>
          <w:color w:val="000000"/>
          <w:rtl/>
        </w:rPr>
        <w:t>מהטעמים אותם פירטתי לעיל, ראיתי לקבוע את עונש</w:t>
      </w:r>
      <w:r w:rsidRPr="00725158">
        <w:rPr>
          <w:rFonts w:ascii="David" w:hAnsi="David" w:hint="cs"/>
          <w:color w:val="000000"/>
          <w:rtl/>
        </w:rPr>
        <w:t xml:space="preserve">ו של נאשם 1 בתחתית המתחם. </w:t>
      </w:r>
    </w:p>
    <w:p w14:paraId="0392632C" w14:textId="77777777" w:rsidR="00336C14" w:rsidRPr="00725158" w:rsidRDefault="00336C14" w:rsidP="00336C14">
      <w:pPr>
        <w:pStyle w:val="a9"/>
        <w:numPr>
          <w:ilvl w:val="0"/>
          <w:numId w:val="2"/>
        </w:numPr>
        <w:shd w:val="clear" w:color="auto" w:fill="FFFFFF"/>
        <w:spacing w:line="360" w:lineRule="atLeast"/>
        <w:jc w:val="both"/>
        <w:rPr>
          <w:rFonts w:ascii="David" w:hAnsi="David"/>
          <w:color w:val="000000"/>
        </w:rPr>
      </w:pPr>
      <w:r w:rsidRPr="00725158">
        <w:rPr>
          <w:rFonts w:ascii="David" w:hAnsi="David" w:hint="cs"/>
          <w:color w:val="000000"/>
          <w:rtl/>
        </w:rPr>
        <w:t>בכל הנוגע לנאשם 2 הרי שרישומו הפלילי מבסס מידת חומרה נוספת למעשה, בשים לב לאופי העבירות בהן הורשע</w:t>
      </w:r>
      <w:r>
        <w:rPr>
          <w:rFonts w:ascii="David" w:hAnsi="David" w:hint="cs"/>
          <w:color w:val="000000"/>
          <w:rtl/>
        </w:rPr>
        <w:t xml:space="preserve"> בעבר</w:t>
      </w:r>
      <w:r w:rsidRPr="00725158">
        <w:rPr>
          <w:rFonts w:ascii="David" w:hAnsi="David" w:hint="cs"/>
          <w:color w:val="000000"/>
          <w:rtl/>
        </w:rPr>
        <w:t>. על אף זאת, ומ</w:t>
      </w:r>
      <w:r>
        <w:rPr>
          <w:rFonts w:ascii="David" w:hAnsi="David" w:hint="cs"/>
          <w:color w:val="000000"/>
          <w:rtl/>
        </w:rPr>
        <w:t>שום העובדה ש</w:t>
      </w:r>
      <w:r w:rsidRPr="00725158">
        <w:rPr>
          <w:rFonts w:ascii="David" w:hAnsi="David" w:hint="cs"/>
          <w:color w:val="000000"/>
          <w:rtl/>
        </w:rPr>
        <w:t>המעשה מיוחס ל</w:t>
      </w:r>
      <w:r>
        <w:rPr>
          <w:rFonts w:ascii="David" w:hAnsi="David" w:hint="cs"/>
          <w:color w:val="000000"/>
          <w:rtl/>
        </w:rPr>
        <w:t>שני</w:t>
      </w:r>
      <w:r w:rsidRPr="00725158">
        <w:rPr>
          <w:rFonts w:ascii="David" w:hAnsi="David" w:hint="cs"/>
          <w:color w:val="000000"/>
          <w:rtl/>
        </w:rPr>
        <w:t xml:space="preserve">הם באופן זהה, ראיתי לקבוע את עונשו של הנאשם 2 בחלקו הבינוני- תחתון של המתחם, שאם לא כן, היה מקום לקבוע את עונשו בחלקו האמצעי של המתחם. </w:t>
      </w:r>
      <w:r>
        <w:rPr>
          <w:rFonts w:ascii="David" w:hAnsi="David" w:hint="cs"/>
          <w:color w:val="000000"/>
          <w:rtl/>
        </w:rPr>
        <w:t>בנוסף, ו</w:t>
      </w:r>
      <w:r w:rsidRPr="00725158">
        <w:rPr>
          <w:rFonts w:ascii="David" w:hAnsi="David" w:hint="cs"/>
          <w:color w:val="000000"/>
          <w:rtl/>
        </w:rPr>
        <w:t>נוכח המחלוקת שהתגלעה בין הצדדים ביחס לאופן הפעלת המאסר המותנה, הרי שראיתי לאזן במחלוקת זו</w:t>
      </w:r>
      <w:r>
        <w:rPr>
          <w:rFonts w:ascii="David" w:hAnsi="David" w:hint="cs"/>
          <w:color w:val="000000"/>
          <w:rtl/>
        </w:rPr>
        <w:t>-</w:t>
      </w:r>
      <w:r w:rsidRPr="00725158">
        <w:rPr>
          <w:rFonts w:ascii="David" w:hAnsi="David" w:hint="cs"/>
          <w:color w:val="000000"/>
          <w:rtl/>
        </w:rPr>
        <w:t xml:space="preserve"> בדרך של הפעלת המאסר על תנאי חציו במצטבר וחציו בחופף. </w:t>
      </w:r>
    </w:p>
    <w:p w14:paraId="21F34981" w14:textId="77777777" w:rsidR="00336C14" w:rsidRPr="005B2FB6" w:rsidRDefault="00336C14" w:rsidP="00336C14">
      <w:pPr>
        <w:pStyle w:val="a9"/>
        <w:numPr>
          <w:ilvl w:val="0"/>
          <w:numId w:val="2"/>
        </w:numPr>
        <w:shd w:val="clear" w:color="auto" w:fill="FFFFFF"/>
        <w:spacing w:line="360" w:lineRule="atLeast"/>
        <w:jc w:val="both"/>
        <w:rPr>
          <w:rFonts w:ascii="David" w:hAnsi="David"/>
          <w:color w:val="000000"/>
          <w:rtl/>
        </w:rPr>
      </w:pPr>
      <w:r>
        <w:rPr>
          <w:rFonts w:ascii="David" w:hAnsi="David" w:hint="cs"/>
          <w:color w:val="000000"/>
          <w:rtl/>
        </w:rPr>
        <w:t xml:space="preserve">אשר על כן אני מטיל על הנאשמים את העונשים הבאים: </w:t>
      </w:r>
    </w:p>
    <w:p w14:paraId="0D57AE63" w14:textId="77777777" w:rsidR="00336C14" w:rsidRPr="002E4B8C" w:rsidRDefault="00336C14" w:rsidP="00336C14">
      <w:pPr>
        <w:shd w:val="clear" w:color="auto" w:fill="FFFFFF"/>
        <w:spacing w:line="360" w:lineRule="atLeast"/>
        <w:ind w:firstLine="720"/>
        <w:jc w:val="both"/>
        <w:rPr>
          <w:rFonts w:ascii="David" w:hAnsi="David"/>
          <w:b/>
          <w:bCs/>
          <w:color w:val="000000"/>
          <w:u w:val="single"/>
          <w:rtl/>
        </w:rPr>
      </w:pPr>
      <w:r w:rsidRPr="002E4B8C">
        <w:rPr>
          <w:rFonts w:ascii="David" w:hAnsi="David"/>
          <w:b/>
          <w:bCs/>
          <w:color w:val="000000"/>
          <w:u w:val="single"/>
          <w:rtl/>
        </w:rPr>
        <w:t>נאשם 1:</w:t>
      </w:r>
    </w:p>
    <w:p w14:paraId="77C9BB3E" w14:textId="77777777" w:rsidR="00336C14" w:rsidRPr="00971FA8" w:rsidRDefault="00336C14" w:rsidP="00336C14">
      <w:pPr>
        <w:pStyle w:val="a9"/>
        <w:numPr>
          <w:ilvl w:val="0"/>
          <w:numId w:val="4"/>
        </w:numPr>
        <w:shd w:val="clear" w:color="auto" w:fill="FFFFFF"/>
        <w:spacing w:line="360" w:lineRule="atLeast"/>
        <w:jc w:val="both"/>
        <w:rPr>
          <w:rFonts w:ascii="David" w:hAnsi="David"/>
          <w:color w:val="000000"/>
          <w:rtl/>
        </w:rPr>
      </w:pPr>
      <w:r w:rsidRPr="00971FA8">
        <w:rPr>
          <w:rFonts w:ascii="David" w:hAnsi="David" w:hint="cs"/>
          <w:color w:val="000000"/>
          <w:rtl/>
        </w:rPr>
        <w:t>1</w:t>
      </w:r>
      <w:r>
        <w:rPr>
          <w:rFonts w:ascii="David" w:hAnsi="David" w:hint="cs"/>
          <w:color w:val="000000"/>
          <w:rtl/>
        </w:rPr>
        <w:t>5</w:t>
      </w:r>
      <w:r w:rsidRPr="00971FA8">
        <w:rPr>
          <w:rFonts w:ascii="David" w:hAnsi="David"/>
          <w:color w:val="000000"/>
          <w:rtl/>
        </w:rPr>
        <w:t xml:space="preserve"> חודשי מאסר בפועל שמניינם בניכוי ימי מעצרו של הנאשם.</w:t>
      </w:r>
    </w:p>
    <w:p w14:paraId="11212AF8" w14:textId="77777777" w:rsidR="00336C14" w:rsidRPr="00971FA8" w:rsidRDefault="00336C14" w:rsidP="00336C14">
      <w:pPr>
        <w:pStyle w:val="a9"/>
        <w:numPr>
          <w:ilvl w:val="0"/>
          <w:numId w:val="4"/>
        </w:numPr>
        <w:shd w:val="clear" w:color="auto" w:fill="FFFFFF"/>
        <w:spacing w:line="360" w:lineRule="atLeast"/>
        <w:jc w:val="both"/>
        <w:rPr>
          <w:rFonts w:ascii="David" w:hAnsi="David"/>
          <w:rtl/>
        </w:rPr>
      </w:pPr>
      <w:r>
        <w:rPr>
          <w:rFonts w:ascii="David" w:hAnsi="David" w:hint="cs"/>
          <w:color w:val="000000"/>
          <w:rtl/>
        </w:rPr>
        <w:t>8</w:t>
      </w:r>
      <w:r w:rsidRPr="00971FA8">
        <w:rPr>
          <w:rFonts w:ascii="David" w:hAnsi="David"/>
          <w:color w:val="000000"/>
          <w:rtl/>
        </w:rPr>
        <w:t xml:space="preserve"> חודשי מאסר על תנאי, שלא יעבור משך 3 שנים מיום שחרורו מן המאסר עבירה </w:t>
      </w:r>
      <w:r w:rsidRPr="00971FA8">
        <w:rPr>
          <w:rFonts w:ascii="David" w:hAnsi="David"/>
          <w:rtl/>
        </w:rPr>
        <w:t>בניגוד</w:t>
      </w:r>
      <w:r w:rsidR="00E267BC">
        <w:rPr>
          <w:rFonts w:ascii="David" w:hAnsi="David"/>
          <w:rtl/>
        </w:rPr>
        <w:t xml:space="preserve"> </w:t>
      </w:r>
      <w:hyperlink r:id="rId27" w:history="1">
        <w:r w:rsidR="00F77207" w:rsidRPr="00F77207">
          <w:rPr>
            <w:rStyle w:val="Hyperlink"/>
            <w:rFonts w:ascii="David" w:hAnsi="David"/>
            <w:rtl/>
          </w:rPr>
          <w:t>לסעיף 144</w:t>
        </w:r>
      </w:hyperlink>
      <w:r w:rsidR="00E267BC">
        <w:rPr>
          <w:rFonts w:ascii="David" w:hAnsi="David"/>
          <w:rtl/>
        </w:rPr>
        <w:t xml:space="preserve"> </w:t>
      </w:r>
      <w:r w:rsidRPr="00971FA8">
        <w:rPr>
          <w:rFonts w:ascii="David" w:hAnsi="David"/>
          <w:rtl/>
        </w:rPr>
        <w:t>ל</w:t>
      </w:r>
      <w:hyperlink r:id="rId28" w:history="1">
        <w:r w:rsidR="00E267BC" w:rsidRPr="00E267BC">
          <w:rPr>
            <w:rFonts w:ascii="David" w:hAnsi="David"/>
            <w:color w:val="0000FF"/>
            <w:u w:val="single"/>
            <w:rtl/>
          </w:rPr>
          <w:t>חוק העונשין</w:t>
        </w:r>
      </w:hyperlink>
      <w:r w:rsidRPr="00971FA8">
        <w:rPr>
          <w:rFonts w:ascii="David" w:hAnsi="David"/>
          <w:rtl/>
        </w:rPr>
        <w:t>.</w:t>
      </w:r>
    </w:p>
    <w:p w14:paraId="407A1FDF" w14:textId="77777777" w:rsidR="00336C14" w:rsidRPr="00971FA8" w:rsidRDefault="00336C14" w:rsidP="00336C14">
      <w:pPr>
        <w:pStyle w:val="a9"/>
        <w:numPr>
          <w:ilvl w:val="0"/>
          <w:numId w:val="4"/>
        </w:numPr>
        <w:shd w:val="clear" w:color="auto" w:fill="FFFFFF"/>
        <w:spacing w:line="360" w:lineRule="atLeast"/>
        <w:jc w:val="both"/>
        <w:rPr>
          <w:rFonts w:ascii="David" w:hAnsi="David"/>
          <w:color w:val="000000"/>
        </w:rPr>
      </w:pPr>
      <w:r w:rsidRPr="00971FA8">
        <w:rPr>
          <w:rFonts w:ascii="David" w:hAnsi="David"/>
          <w:color w:val="000000"/>
          <w:rtl/>
        </w:rPr>
        <w:t>קנס בסך</w:t>
      </w:r>
      <w:r w:rsidRPr="00971FA8">
        <w:rPr>
          <w:rFonts w:ascii="David" w:hAnsi="David" w:hint="cs"/>
          <w:color w:val="000000"/>
          <w:rtl/>
        </w:rPr>
        <w:t xml:space="preserve"> 6000 </w:t>
      </w:r>
      <w:r w:rsidRPr="00971FA8">
        <w:rPr>
          <w:rFonts w:ascii="David" w:hAnsi="David"/>
          <w:color w:val="000000"/>
          <w:rtl/>
        </w:rPr>
        <w:t>₪ אשר ישולם עד ליום</w:t>
      </w:r>
      <w:r w:rsidRPr="00971FA8">
        <w:rPr>
          <w:rFonts w:ascii="David" w:hAnsi="David" w:hint="cs"/>
          <w:color w:val="000000"/>
          <w:rtl/>
        </w:rPr>
        <w:t xml:space="preserve"> 4.8.2024</w:t>
      </w:r>
      <w:r w:rsidRPr="00971FA8">
        <w:rPr>
          <w:rFonts w:ascii="David" w:hAnsi="David"/>
          <w:color w:val="000000"/>
          <w:rtl/>
        </w:rPr>
        <w:t>.</w:t>
      </w:r>
    </w:p>
    <w:p w14:paraId="28257532" w14:textId="77777777" w:rsidR="00336C14" w:rsidRPr="00FA275E" w:rsidRDefault="00336C14" w:rsidP="00336C14">
      <w:pPr>
        <w:spacing w:line="360" w:lineRule="auto"/>
        <w:ind w:left="1110"/>
        <w:jc w:val="both"/>
        <w:rPr>
          <w:rFonts w:ascii="David" w:hAnsi="David"/>
          <w:sz w:val="20"/>
          <w:szCs w:val="20"/>
          <w:rtl/>
        </w:rPr>
      </w:pPr>
      <w:r w:rsidRPr="00FA275E">
        <w:rPr>
          <w:rFonts w:ascii="David" w:hAnsi="David"/>
          <w:sz w:val="20"/>
          <w:szCs w:val="20"/>
          <w:rtl/>
        </w:rPr>
        <w:t>החוב מועבר למרכז לגביית קנסות, אגרות והוצאות ברשות האכיפה והגבייה, בהתאם למועדים והתשלומים שקבע בית המשפט.</w:t>
      </w:r>
    </w:p>
    <w:p w14:paraId="400DC812" w14:textId="77777777" w:rsidR="00336C14" w:rsidRPr="00FA275E" w:rsidRDefault="00336C14" w:rsidP="00336C14">
      <w:pPr>
        <w:spacing w:line="360" w:lineRule="auto"/>
        <w:ind w:left="1110"/>
        <w:jc w:val="both"/>
        <w:rPr>
          <w:rFonts w:ascii="David" w:hAnsi="David"/>
          <w:sz w:val="20"/>
          <w:szCs w:val="20"/>
        </w:rPr>
      </w:pPr>
      <w:r w:rsidRPr="00FA275E">
        <w:rPr>
          <w:rFonts w:ascii="David" w:hAnsi="David"/>
          <w:sz w:val="20"/>
          <w:szCs w:val="20"/>
          <w:rtl/>
        </w:rPr>
        <w:t>ניתן יהיה לשלם את הקנס/ פיצוי/ ההוצאות כעבור שלושה ימים מיום מתן ההחלטה/</w:t>
      </w:r>
      <w:r w:rsidR="00E267BC">
        <w:rPr>
          <w:rFonts w:ascii="David" w:hAnsi="David"/>
          <w:sz w:val="20"/>
          <w:szCs w:val="20"/>
          <w:rtl/>
        </w:rPr>
        <w:t xml:space="preserve"> </w:t>
      </w:r>
      <w:r w:rsidRPr="00FA275E">
        <w:rPr>
          <w:rFonts w:ascii="David" w:hAnsi="David"/>
          <w:sz w:val="20"/>
          <w:szCs w:val="20"/>
          <w:rtl/>
        </w:rPr>
        <w:t xml:space="preserve"> גזר הדין לחשבון המרכז לגביית קנסות, אגרות והוצאות ברשות האכיפה והגבייה באחת מהדרכים הבאות:</w:t>
      </w:r>
    </w:p>
    <w:p w14:paraId="6BC12A43" w14:textId="77777777" w:rsidR="00336C14" w:rsidRPr="00FA275E" w:rsidRDefault="00336C14" w:rsidP="00336C14">
      <w:pPr>
        <w:numPr>
          <w:ilvl w:val="0"/>
          <w:numId w:val="3"/>
        </w:numPr>
        <w:spacing w:line="360" w:lineRule="auto"/>
        <w:jc w:val="both"/>
        <w:rPr>
          <w:rFonts w:ascii="David" w:hAnsi="David"/>
          <w:b/>
          <w:bCs/>
          <w:sz w:val="20"/>
          <w:szCs w:val="20"/>
        </w:rPr>
      </w:pPr>
      <w:r w:rsidRPr="00FA275E">
        <w:rPr>
          <w:rFonts w:ascii="David" w:hAnsi="David"/>
          <w:b/>
          <w:bCs/>
          <w:sz w:val="20"/>
          <w:szCs w:val="20"/>
          <w:rtl/>
        </w:rPr>
        <w:t>בכרטיס אשראי</w:t>
      </w:r>
      <w:r w:rsidRPr="00FA275E">
        <w:rPr>
          <w:rFonts w:ascii="David" w:hAnsi="David"/>
          <w:sz w:val="20"/>
          <w:szCs w:val="20"/>
          <w:rtl/>
        </w:rPr>
        <w:t xml:space="preserve"> – באתר המקוון של רשות האכיפה והגבייה, </w:t>
      </w:r>
      <w:hyperlink r:id="rId29" w:history="1">
        <w:r w:rsidRPr="00FA275E">
          <w:rPr>
            <w:rStyle w:val="Hyperlink"/>
            <w:rFonts w:ascii="David" w:hAnsi="David"/>
            <w:sz w:val="20"/>
            <w:szCs w:val="20"/>
          </w:rPr>
          <w:t>www.eca.gov.il</w:t>
        </w:r>
      </w:hyperlink>
      <w:r w:rsidRPr="00FA275E">
        <w:rPr>
          <w:rFonts w:ascii="David" w:hAnsi="David"/>
          <w:sz w:val="20"/>
          <w:szCs w:val="20"/>
        </w:rPr>
        <w:t xml:space="preserve"> </w:t>
      </w:r>
      <w:r w:rsidR="00E267BC">
        <w:rPr>
          <w:rFonts w:ascii="David" w:hAnsi="David"/>
          <w:sz w:val="20"/>
          <w:szCs w:val="20"/>
          <w:rtl/>
        </w:rPr>
        <w:t xml:space="preserve"> </w:t>
      </w:r>
    </w:p>
    <w:p w14:paraId="6C7F305E" w14:textId="77777777" w:rsidR="00336C14" w:rsidRPr="00FA275E" w:rsidRDefault="00336C14" w:rsidP="00336C14">
      <w:pPr>
        <w:numPr>
          <w:ilvl w:val="0"/>
          <w:numId w:val="3"/>
        </w:numPr>
        <w:spacing w:line="360" w:lineRule="auto"/>
        <w:jc w:val="both"/>
        <w:rPr>
          <w:rFonts w:ascii="David" w:hAnsi="David"/>
          <w:b/>
          <w:bCs/>
          <w:sz w:val="20"/>
          <w:szCs w:val="20"/>
          <w:rtl/>
        </w:rPr>
      </w:pPr>
      <w:r w:rsidRPr="00FA275E">
        <w:rPr>
          <w:rFonts w:ascii="David" w:hAnsi="David"/>
          <w:b/>
          <w:bCs/>
          <w:sz w:val="20"/>
          <w:szCs w:val="20"/>
          <w:rtl/>
        </w:rPr>
        <w:t>מוקד שירות טלפוני בשרות עצמי (מרכז גבייה)</w:t>
      </w:r>
      <w:r w:rsidR="00E267BC">
        <w:rPr>
          <w:rFonts w:ascii="David" w:hAnsi="David"/>
          <w:b/>
          <w:bCs/>
          <w:sz w:val="20"/>
          <w:szCs w:val="20"/>
          <w:rtl/>
        </w:rPr>
        <w:t xml:space="preserve"> </w:t>
      </w:r>
      <w:r w:rsidRPr="00FA275E">
        <w:rPr>
          <w:rFonts w:ascii="David" w:hAnsi="David"/>
          <w:b/>
          <w:bCs/>
          <w:sz w:val="20"/>
          <w:szCs w:val="20"/>
          <w:rtl/>
        </w:rPr>
        <w:t xml:space="preserve"> – בטלפון 35592* או בטלפון 073-2055000</w:t>
      </w:r>
    </w:p>
    <w:p w14:paraId="666F72DE" w14:textId="77777777" w:rsidR="00336C14" w:rsidRPr="00FA275E" w:rsidRDefault="00336C14" w:rsidP="00336C14">
      <w:pPr>
        <w:numPr>
          <w:ilvl w:val="0"/>
          <w:numId w:val="3"/>
        </w:numPr>
        <w:spacing w:line="360" w:lineRule="auto"/>
        <w:jc w:val="both"/>
        <w:rPr>
          <w:rFonts w:ascii="David" w:hAnsi="David"/>
          <w:b/>
          <w:bCs/>
          <w:sz w:val="20"/>
          <w:szCs w:val="20"/>
          <w:rtl/>
        </w:rPr>
      </w:pPr>
      <w:r w:rsidRPr="00FA275E">
        <w:rPr>
          <w:rFonts w:ascii="David" w:hAnsi="David"/>
          <w:b/>
          <w:bCs/>
          <w:sz w:val="20"/>
          <w:szCs w:val="20"/>
          <w:rtl/>
        </w:rPr>
        <w:t>במזומן בכל סניף של בנק הדואר</w:t>
      </w:r>
      <w:r w:rsidRPr="00FA275E">
        <w:rPr>
          <w:rFonts w:ascii="David" w:hAnsi="David"/>
          <w:sz w:val="20"/>
          <w:szCs w:val="20"/>
          <w:rtl/>
        </w:rPr>
        <w:t xml:space="preserve"> – בהצגת תעודת זהות בלבד (אין צורך בשוברי תשלום).</w:t>
      </w:r>
    </w:p>
    <w:p w14:paraId="5C969E11" w14:textId="77777777" w:rsidR="00336C14" w:rsidRPr="00FA275E" w:rsidRDefault="00336C14" w:rsidP="00336C14">
      <w:pPr>
        <w:spacing w:line="360" w:lineRule="auto"/>
        <w:jc w:val="both"/>
        <w:rPr>
          <w:sz w:val="20"/>
          <w:szCs w:val="20"/>
        </w:rPr>
      </w:pPr>
    </w:p>
    <w:p w14:paraId="193ACFD7" w14:textId="77777777" w:rsidR="00336C14" w:rsidRPr="002E4B8C" w:rsidRDefault="00336C14" w:rsidP="00336C14">
      <w:pPr>
        <w:shd w:val="clear" w:color="auto" w:fill="FFFFFF"/>
        <w:spacing w:line="360" w:lineRule="atLeast"/>
        <w:ind w:left="720" w:firstLine="360"/>
        <w:jc w:val="both"/>
        <w:rPr>
          <w:rFonts w:ascii="David" w:hAnsi="David"/>
          <w:color w:val="000000"/>
          <w:rtl/>
        </w:rPr>
      </w:pPr>
      <w:r w:rsidRPr="002E4B8C">
        <w:rPr>
          <w:rFonts w:ascii="David" w:hAnsi="David"/>
          <w:b/>
          <w:bCs/>
          <w:color w:val="000000"/>
          <w:u w:val="single"/>
          <w:rtl/>
        </w:rPr>
        <w:t>נאשם 2</w:t>
      </w:r>
      <w:r w:rsidRPr="002E4B8C">
        <w:rPr>
          <w:rFonts w:ascii="David" w:hAnsi="David"/>
          <w:b/>
          <w:bCs/>
          <w:color w:val="000000"/>
          <w:rtl/>
        </w:rPr>
        <w:t>:</w:t>
      </w:r>
    </w:p>
    <w:p w14:paraId="00442089" w14:textId="77777777" w:rsidR="00336C14" w:rsidRPr="00971FA8" w:rsidRDefault="00336C14" w:rsidP="00336C14">
      <w:pPr>
        <w:pStyle w:val="a9"/>
        <w:numPr>
          <w:ilvl w:val="0"/>
          <w:numId w:val="5"/>
        </w:numPr>
        <w:shd w:val="clear" w:color="auto" w:fill="FFFFFF"/>
        <w:spacing w:line="360" w:lineRule="atLeast"/>
        <w:jc w:val="both"/>
        <w:rPr>
          <w:rFonts w:ascii="David" w:hAnsi="David"/>
          <w:color w:val="000000"/>
        </w:rPr>
      </w:pPr>
      <w:r w:rsidRPr="00971FA8">
        <w:rPr>
          <w:rFonts w:ascii="David" w:hAnsi="David" w:hint="cs"/>
          <w:color w:val="000000"/>
          <w:rtl/>
        </w:rPr>
        <w:t>1</w:t>
      </w:r>
      <w:r>
        <w:rPr>
          <w:rFonts w:ascii="David" w:hAnsi="David" w:hint="cs"/>
          <w:color w:val="000000"/>
          <w:rtl/>
        </w:rPr>
        <w:t>8</w:t>
      </w:r>
      <w:r w:rsidRPr="00971FA8">
        <w:rPr>
          <w:rFonts w:ascii="David" w:hAnsi="David"/>
          <w:color w:val="000000"/>
          <w:rtl/>
        </w:rPr>
        <w:t xml:space="preserve"> חודשי מאסר בפועל שמניינם החל מיום מעצרו של הנאשם.</w:t>
      </w:r>
    </w:p>
    <w:p w14:paraId="50A0C870" w14:textId="77777777" w:rsidR="00336C14" w:rsidRPr="00971FA8" w:rsidRDefault="00336C14" w:rsidP="00336C14">
      <w:pPr>
        <w:pStyle w:val="a9"/>
        <w:numPr>
          <w:ilvl w:val="0"/>
          <w:numId w:val="5"/>
        </w:numPr>
        <w:shd w:val="clear" w:color="auto" w:fill="FFFFFF"/>
        <w:spacing w:line="360" w:lineRule="atLeast"/>
        <w:jc w:val="both"/>
        <w:rPr>
          <w:rFonts w:ascii="David" w:hAnsi="David"/>
          <w:color w:val="000000"/>
          <w:rtl/>
        </w:rPr>
      </w:pPr>
      <w:r w:rsidRPr="00971FA8">
        <w:rPr>
          <w:rFonts w:ascii="David" w:hAnsi="David" w:hint="cs"/>
          <w:color w:val="000000"/>
          <w:rtl/>
        </w:rPr>
        <w:t xml:space="preserve">הפעלת מאסר על תנאי </w:t>
      </w:r>
      <w:r>
        <w:rPr>
          <w:rFonts w:ascii="David" w:hAnsi="David" w:hint="cs"/>
          <w:color w:val="000000"/>
          <w:rtl/>
        </w:rPr>
        <w:t xml:space="preserve">למשך 6 חודשים </w:t>
      </w:r>
      <w:r w:rsidRPr="00971FA8">
        <w:rPr>
          <w:rFonts w:ascii="David" w:hAnsi="David" w:hint="cs"/>
          <w:color w:val="000000"/>
          <w:rtl/>
        </w:rPr>
        <w:t>כפי שנפסק בתיק מספר</w:t>
      </w:r>
      <w:r>
        <w:rPr>
          <w:rFonts w:ascii="David" w:hAnsi="David" w:hint="cs"/>
          <w:color w:val="000000"/>
          <w:rtl/>
        </w:rPr>
        <w:t xml:space="preserve"> 48964-10-2020 </w:t>
      </w:r>
      <w:r w:rsidRPr="00971FA8">
        <w:rPr>
          <w:rFonts w:ascii="David" w:hAnsi="David" w:hint="cs"/>
          <w:color w:val="000000"/>
          <w:rtl/>
        </w:rPr>
        <w:t>(שלום ירושלים) מיום</w:t>
      </w:r>
      <w:r>
        <w:rPr>
          <w:rFonts w:ascii="David" w:hAnsi="David" w:hint="cs"/>
          <w:color w:val="000000"/>
          <w:rtl/>
        </w:rPr>
        <w:t xml:space="preserve"> 3.6.2021 כך ששלושה חודשים ירוצו במצטבר ושלושה חודשים בחופף</w:t>
      </w:r>
      <w:r w:rsidRPr="00971FA8">
        <w:rPr>
          <w:rFonts w:ascii="David" w:hAnsi="David" w:hint="cs"/>
          <w:color w:val="000000"/>
          <w:rtl/>
        </w:rPr>
        <w:t>. סה"כ ירצה הנאשם</w:t>
      </w:r>
      <w:r>
        <w:rPr>
          <w:rFonts w:ascii="David" w:hAnsi="David" w:hint="cs"/>
          <w:color w:val="000000"/>
          <w:rtl/>
        </w:rPr>
        <w:t xml:space="preserve"> 21</w:t>
      </w:r>
      <w:r w:rsidRPr="00971FA8">
        <w:rPr>
          <w:rFonts w:ascii="David" w:hAnsi="David" w:hint="cs"/>
          <w:color w:val="000000"/>
          <w:rtl/>
        </w:rPr>
        <w:t xml:space="preserve"> חודשים בניכוי ימי המעצר. </w:t>
      </w:r>
    </w:p>
    <w:p w14:paraId="43365205" w14:textId="77777777" w:rsidR="00336C14" w:rsidRPr="00971FA8" w:rsidRDefault="00336C14" w:rsidP="00336C14">
      <w:pPr>
        <w:pStyle w:val="a9"/>
        <w:numPr>
          <w:ilvl w:val="0"/>
          <w:numId w:val="5"/>
        </w:numPr>
        <w:shd w:val="clear" w:color="auto" w:fill="FFFFFF"/>
        <w:spacing w:line="360" w:lineRule="atLeast"/>
        <w:jc w:val="both"/>
        <w:rPr>
          <w:rFonts w:ascii="David" w:hAnsi="David"/>
          <w:color w:val="000000"/>
          <w:rtl/>
        </w:rPr>
      </w:pPr>
      <w:r w:rsidRPr="00971FA8">
        <w:rPr>
          <w:rFonts w:ascii="David" w:hAnsi="David" w:hint="cs"/>
          <w:color w:val="000000"/>
          <w:rtl/>
        </w:rPr>
        <w:t>6</w:t>
      </w:r>
      <w:r w:rsidRPr="00971FA8">
        <w:rPr>
          <w:rFonts w:ascii="David" w:hAnsi="David"/>
          <w:color w:val="000000"/>
          <w:rtl/>
        </w:rPr>
        <w:t xml:space="preserve"> חודשי מאסר על תנאי, שלא יעבור משך 3 שנים מיום שחרורו מן המאסר עבירה </w:t>
      </w:r>
      <w:r w:rsidRPr="00971FA8">
        <w:rPr>
          <w:rFonts w:ascii="David" w:hAnsi="David"/>
          <w:rtl/>
        </w:rPr>
        <w:t>בניגוד</w:t>
      </w:r>
      <w:r w:rsidR="00E267BC">
        <w:rPr>
          <w:rFonts w:ascii="David" w:hAnsi="David"/>
          <w:rtl/>
        </w:rPr>
        <w:t xml:space="preserve"> </w:t>
      </w:r>
      <w:hyperlink r:id="rId30" w:history="1">
        <w:r w:rsidR="00F77207" w:rsidRPr="00F77207">
          <w:rPr>
            <w:rStyle w:val="Hyperlink"/>
            <w:rFonts w:ascii="David" w:hAnsi="David"/>
            <w:rtl/>
          </w:rPr>
          <w:t>לסעיף 144</w:t>
        </w:r>
      </w:hyperlink>
      <w:r w:rsidR="00E267BC">
        <w:rPr>
          <w:rFonts w:ascii="David" w:hAnsi="David"/>
          <w:rtl/>
        </w:rPr>
        <w:t xml:space="preserve"> </w:t>
      </w:r>
      <w:r w:rsidRPr="00971FA8">
        <w:rPr>
          <w:rFonts w:ascii="David" w:hAnsi="David"/>
          <w:rtl/>
        </w:rPr>
        <w:t>ל</w:t>
      </w:r>
      <w:hyperlink r:id="rId31" w:history="1">
        <w:r w:rsidR="00E267BC" w:rsidRPr="00E267BC">
          <w:rPr>
            <w:rFonts w:ascii="David" w:hAnsi="David"/>
            <w:color w:val="0000FF"/>
            <w:u w:val="single"/>
            <w:rtl/>
          </w:rPr>
          <w:t>חוק העונשין</w:t>
        </w:r>
      </w:hyperlink>
      <w:r w:rsidRPr="00971FA8">
        <w:rPr>
          <w:rFonts w:ascii="David" w:hAnsi="David"/>
          <w:rtl/>
        </w:rPr>
        <w:t>.</w:t>
      </w:r>
    </w:p>
    <w:p w14:paraId="15F5702C" w14:textId="77777777" w:rsidR="00336C14" w:rsidRPr="00971FA8" w:rsidRDefault="00336C14" w:rsidP="00336C14">
      <w:pPr>
        <w:pStyle w:val="a9"/>
        <w:numPr>
          <w:ilvl w:val="0"/>
          <w:numId w:val="5"/>
        </w:numPr>
        <w:shd w:val="clear" w:color="auto" w:fill="FFFFFF"/>
        <w:spacing w:line="360" w:lineRule="atLeast"/>
        <w:jc w:val="both"/>
        <w:rPr>
          <w:rFonts w:ascii="David" w:hAnsi="David"/>
          <w:color w:val="000000"/>
        </w:rPr>
      </w:pPr>
      <w:r w:rsidRPr="00971FA8">
        <w:rPr>
          <w:rFonts w:ascii="David" w:hAnsi="David"/>
          <w:color w:val="000000"/>
          <w:rtl/>
        </w:rPr>
        <w:t>קנס בסך</w:t>
      </w:r>
      <w:r w:rsidRPr="00971FA8">
        <w:rPr>
          <w:rFonts w:ascii="David" w:hAnsi="David" w:hint="cs"/>
          <w:color w:val="000000"/>
          <w:rtl/>
        </w:rPr>
        <w:t xml:space="preserve"> 6000</w:t>
      </w:r>
      <w:r w:rsidRPr="00971FA8">
        <w:rPr>
          <w:rFonts w:ascii="David" w:hAnsi="David"/>
          <w:color w:val="000000"/>
          <w:rtl/>
        </w:rPr>
        <w:t xml:space="preserve"> ₪ אשר ישולם עד ליום</w:t>
      </w:r>
      <w:r w:rsidRPr="00971FA8">
        <w:rPr>
          <w:rFonts w:ascii="David" w:hAnsi="David" w:hint="cs"/>
          <w:color w:val="000000"/>
          <w:rtl/>
        </w:rPr>
        <w:t xml:space="preserve"> 4.8.2024</w:t>
      </w:r>
      <w:r w:rsidRPr="00971FA8">
        <w:rPr>
          <w:rFonts w:ascii="David" w:hAnsi="David"/>
          <w:color w:val="000000"/>
          <w:rtl/>
        </w:rPr>
        <w:t>.</w:t>
      </w:r>
    </w:p>
    <w:p w14:paraId="03DD001C" w14:textId="77777777" w:rsidR="00336C14" w:rsidRPr="00971FA8" w:rsidRDefault="00336C14" w:rsidP="00336C14">
      <w:pPr>
        <w:shd w:val="clear" w:color="auto" w:fill="FFFFFF"/>
        <w:spacing w:line="360" w:lineRule="atLeast"/>
        <w:ind w:left="1440"/>
        <w:jc w:val="both"/>
        <w:rPr>
          <w:rFonts w:ascii="David" w:hAnsi="David"/>
          <w:color w:val="000000"/>
          <w:sz w:val="20"/>
          <w:szCs w:val="20"/>
          <w:rtl/>
        </w:rPr>
      </w:pPr>
      <w:r w:rsidRPr="00971FA8">
        <w:rPr>
          <w:rFonts w:ascii="David" w:hAnsi="David"/>
          <w:color w:val="000000"/>
          <w:sz w:val="20"/>
          <w:szCs w:val="20"/>
          <w:rtl/>
        </w:rPr>
        <w:t>החוב מועבר למרכז לגביית קנסות, אגרות והוצאות ברשות האכיפה והגבייה, בהתאם למועדים והתשלומים שקבע בית המשפט.</w:t>
      </w:r>
    </w:p>
    <w:p w14:paraId="5059E785" w14:textId="77777777" w:rsidR="00336C14" w:rsidRPr="00971FA8" w:rsidRDefault="00336C14" w:rsidP="00336C14">
      <w:pPr>
        <w:shd w:val="clear" w:color="auto" w:fill="FFFFFF"/>
        <w:spacing w:line="360" w:lineRule="atLeast"/>
        <w:ind w:left="1440"/>
        <w:jc w:val="both"/>
        <w:rPr>
          <w:rFonts w:ascii="David" w:hAnsi="David"/>
          <w:color w:val="000000"/>
          <w:sz w:val="20"/>
          <w:szCs w:val="20"/>
          <w:rtl/>
        </w:rPr>
      </w:pPr>
      <w:r w:rsidRPr="00971FA8">
        <w:rPr>
          <w:rFonts w:ascii="David" w:hAnsi="David"/>
          <w:color w:val="000000"/>
          <w:sz w:val="20"/>
          <w:szCs w:val="20"/>
          <w:rtl/>
        </w:rPr>
        <w:t>ניתן יהיה לשלם את הקנס/ פיצוי/ ההוצאות כעבור שלושה ימים מיום מתן ההחלטה/  גזר הדין לחשבון המרכז לגביית קנסות, אגרות והוצאות ברשות האכיפה והגבייה באחת מהדרכים הבאות:</w:t>
      </w:r>
    </w:p>
    <w:p w14:paraId="2413BFBF" w14:textId="77777777" w:rsidR="00336C14" w:rsidRPr="00971FA8" w:rsidRDefault="00336C14" w:rsidP="00336C14">
      <w:pPr>
        <w:shd w:val="clear" w:color="auto" w:fill="FFFFFF"/>
        <w:spacing w:line="360" w:lineRule="atLeast"/>
        <w:ind w:left="720" w:firstLine="720"/>
        <w:jc w:val="both"/>
        <w:rPr>
          <w:rFonts w:ascii="David" w:hAnsi="David"/>
          <w:color w:val="000000"/>
          <w:sz w:val="20"/>
          <w:szCs w:val="20"/>
          <w:rtl/>
        </w:rPr>
      </w:pPr>
      <w:r w:rsidRPr="00971FA8">
        <w:rPr>
          <w:rFonts w:ascii="David" w:hAnsi="David"/>
          <w:color w:val="000000"/>
          <w:sz w:val="20"/>
          <w:szCs w:val="20"/>
          <w:rtl/>
        </w:rPr>
        <w:t xml:space="preserve">בכרטיס אשראי – באתר המקוון של רשות האכיפה והגבייה, </w:t>
      </w:r>
      <w:r w:rsidRPr="00971FA8">
        <w:rPr>
          <w:rFonts w:ascii="David" w:hAnsi="David"/>
          <w:color w:val="000000"/>
          <w:sz w:val="20"/>
          <w:szCs w:val="20"/>
        </w:rPr>
        <w:t>www.eca.gov.il</w:t>
      </w:r>
      <w:r w:rsidRPr="00971FA8">
        <w:rPr>
          <w:rFonts w:ascii="David" w:hAnsi="David"/>
          <w:color w:val="000000"/>
          <w:sz w:val="20"/>
          <w:szCs w:val="20"/>
          <w:rtl/>
        </w:rPr>
        <w:t xml:space="preserve">  </w:t>
      </w:r>
    </w:p>
    <w:p w14:paraId="24AFC17A" w14:textId="77777777" w:rsidR="00336C14" w:rsidRPr="00971FA8" w:rsidRDefault="00336C14" w:rsidP="00336C14">
      <w:pPr>
        <w:shd w:val="clear" w:color="auto" w:fill="FFFFFF"/>
        <w:spacing w:line="360" w:lineRule="atLeast"/>
        <w:ind w:left="720" w:firstLine="720"/>
        <w:jc w:val="both"/>
        <w:rPr>
          <w:rFonts w:ascii="David" w:hAnsi="David"/>
          <w:color w:val="000000"/>
          <w:sz w:val="20"/>
          <w:szCs w:val="20"/>
          <w:rtl/>
        </w:rPr>
      </w:pPr>
      <w:r w:rsidRPr="00971FA8">
        <w:rPr>
          <w:rFonts w:ascii="David" w:hAnsi="David"/>
          <w:color w:val="000000"/>
          <w:sz w:val="20"/>
          <w:szCs w:val="20"/>
          <w:rtl/>
        </w:rPr>
        <w:t>מוקד שירות טלפוני בשרות עצמי (מרכז גבייה)  – בטלפון 35592* או בטלפון 073-2055000</w:t>
      </w:r>
    </w:p>
    <w:p w14:paraId="059E3CEA" w14:textId="77777777" w:rsidR="00336C14" w:rsidRDefault="00336C14" w:rsidP="00336C14">
      <w:pPr>
        <w:shd w:val="clear" w:color="auto" w:fill="FFFFFF"/>
        <w:spacing w:line="360" w:lineRule="atLeast"/>
        <w:ind w:left="720" w:firstLine="720"/>
        <w:jc w:val="both"/>
        <w:rPr>
          <w:rFonts w:ascii="David" w:hAnsi="David"/>
          <w:color w:val="000000"/>
          <w:sz w:val="20"/>
          <w:szCs w:val="20"/>
          <w:rtl/>
        </w:rPr>
      </w:pPr>
      <w:r w:rsidRPr="00971FA8">
        <w:rPr>
          <w:rFonts w:ascii="David" w:hAnsi="David"/>
          <w:color w:val="000000"/>
          <w:sz w:val="20"/>
          <w:szCs w:val="20"/>
          <w:rtl/>
        </w:rPr>
        <w:t>במזומן בכל סניף של בנק הדואר – בהצגת תעודת זהות בלבד (אין צורך בשוברי תשלום).</w:t>
      </w:r>
    </w:p>
    <w:p w14:paraId="22939D73" w14:textId="77777777" w:rsidR="00336C14" w:rsidRPr="00725158" w:rsidRDefault="00336C14" w:rsidP="00336C14">
      <w:pPr>
        <w:pStyle w:val="a9"/>
        <w:numPr>
          <w:ilvl w:val="0"/>
          <w:numId w:val="5"/>
        </w:numPr>
        <w:shd w:val="clear" w:color="auto" w:fill="FFFFFF"/>
        <w:spacing w:line="360" w:lineRule="atLeast"/>
        <w:jc w:val="both"/>
        <w:rPr>
          <w:rFonts w:ascii="David" w:hAnsi="David"/>
          <w:color w:val="000000"/>
          <w:rtl/>
        </w:rPr>
      </w:pPr>
      <w:r w:rsidRPr="00725158">
        <w:rPr>
          <w:rFonts w:ascii="David" w:hAnsi="David" w:hint="cs"/>
          <w:color w:val="000000"/>
          <w:rtl/>
        </w:rPr>
        <w:t>המוצגים י</w:t>
      </w:r>
      <w:r>
        <w:rPr>
          <w:rFonts w:ascii="David" w:hAnsi="David" w:hint="cs"/>
          <w:color w:val="000000"/>
          <w:rtl/>
        </w:rPr>
        <w:t>ושמ</w:t>
      </w:r>
      <w:r w:rsidRPr="00725158">
        <w:rPr>
          <w:rFonts w:ascii="David" w:hAnsi="David" w:hint="cs"/>
          <w:color w:val="000000"/>
          <w:rtl/>
        </w:rPr>
        <w:t>דו או יחולטו בהתאם להחלטת רשם המוצגים</w:t>
      </w:r>
      <w:r>
        <w:rPr>
          <w:rFonts w:ascii="David" w:hAnsi="David" w:hint="cs"/>
          <w:color w:val="000000"/>
          <w:rtl/>
        </w:rPr>
        <w:t xml:space="preserve">. </w:t>
      </w:r>
      <w:r w:rsidRPr="00725158">
        <w:rPr>
          <w:rFonts w:ascii="David" w:hAnsi="David" w:hint="cs"/>
          <w:color w:val="000000"/>
          <w:rtl/>
        </w:rPr>
        <w:t>טלפונים ניידים יו</w:t>
      </w:r>
      <w:r>
        <w:rPr>
          <w:rFonts w:ascii="David" w:hAnsi="David" w:hint="cs"/>
          <w:color w:val="000000"/>
          <w:rtl/>
        </w:rPr>
        <w:t>חז</w:t>
      </w:r>
      <w:r w:rsidRPr="00725158">
        <w:rPr>
          <w:rFonts w:ascii="David" w:hAnsi="David" w:hint="cs"/>
          <w:color w:val="000000"/>
          <w:rtl/>
        </w:rPr>
        <w:t>רו לנאשמי</w:t>
      </w:r>
      <w:r>
        <w:rPr>
          <w:rFonts w:ascii="David" w:hAnsi="David" w:hint="cs"/>
          <w:color w:val="000000"/>
          <w:rtl/>
        </w:rPr>
        <w:t>ם</w:t>
      </w:r>
      <w:r w:rsidRPr="00725158">
        <w:rPr>
          <w:rFonts w:ascii="David" w:hAnsi="David" w:hint="cs"/>
          <w:color w:val="000000"/>
          <w:rtl/>
        </w:rPr>
        <w:t xml:space="preserve"> </w:t>
      </w:r>
      <w:r>
        <w:rPr>
          <w:rFonts w:ascii="David" w:hAnsi="David" w:hint="cs"/>
          <w:color w:val="000000"/>
          <w:rtl/>
        </w:rPr>
        <w:t>לאחר ש</w:t>
      </w:r>
      <w:r w:rsidRPr="00725158">
        <w:rPr>
          <w:rFonts w:ascii="David" w:hAnsi="David" w:hint="cs"/>
          <w:color w:val="000000"/>
          <w:rtl/>
        </w:rPr>
        <w:t>פסק הדין יהפוך חלוט.</w:t>
      </w:r>
    </w:p>
    <w:p w14:paraId="140C0059" w14:textId="77777777" w:rsidR="00336C14" w:rsidRPr="00E267BC" w:rsidRDefault="00E267BC" w:rsidP="00336C14">
      <w:pPr>
        <w:spacing w:line="360" w:lineRule="auto"/>
        <w:jc w:val="both"/>
        <w:rPr>
          <w:rFonts w:ascii="Arial" w:hAnsi="Arial"/>
          <w:color w:val="FFFFFF"/>
          <w:sz w:val="2"/>
          <w:szCs w:val="2"/>
          <w:rtl/>
        </w:rPr>
      </w:pPr>
      <w:r w:rsidRPr="00E267BC">
        <w:rPr>
          <w:rFonts w:ascii="Arial" w:hAnsi="Arial"/>
          <w:color w:val="FFFFFF"/>
          <w:sz w:val="2"/>
          <w:szCs w:val="2"/>
          <w:rtl/>
        </w:rPr>
        <w:t>5129371</w:t>
      </w:r>
    </w:p>
    <w:p w14:paraId="2B761952" w14:textId="77777777" w:rsidR="00336C14" w:rsidRPr="00EE1501" w:rsidRDefault="00E267BC" w:rsidP="00336C14">
      <w:pPr>
        <w:spacing w:line="360" w:lineRule="auto"/>
        <w:jc w:val="both"/>
        <w:rPr>
          <w:rFonts w:ascii="Arial" w:hAnsi="Arial"/>
          <w:b/>
          <w:bCs/>
          <w:sz w:val="22"/>
          <w:szCs w:val="22"/>
          <w:rtl/>
        </w:rPr>
      </w:pPr>
      <w:r w:rsidRPr="00E267BC">
        <w:rPr>
          <w:rFonts w:ascii="Arial" w:hAnsi="Arial"/>
          <w:b/>
          <w:bCs/>
          <w:color w:val="FFFFFF"/>
          <w:sz w:val="2"/>
          <w:szCs w:val="2"/>
          <w:rtl/>
        </w:rPr>
        <w:t>54678313</w:t>
      </w:r>
      <w:r w:rsidR="00336C14" w:rsidRPr="00EE1501">
        <w:rPr>
          <w:rFonts w:ascii="Arial" w:hAnsi="Arial"/>
          <w:b/>
          <w:bCs/>
          <w:sz w:val="22"/>
          <w:szCs w:val="22"/>
          <w:rtl/>
        </w:rPr>
        <w:t xml:space="preserve">  </w:t>
      </w:r>
      <w:r w:rsidR="00336C14" w:rsidRPr="00EE1501">
        <w:rPr>
          <w:rFonts w:ascii="David" w:eastAsia="Calibri" w:hAnsi="David"/>
          <w:b/>
          <w:bCs/>
          <w:color w:val="FFFFFF"/>
          <w:sz w:val="22"/>
          <w:szCs w:val="22"/>
          <w:shd w:val="clear" w:color="auto" w:fill="FFFFFF"/>
          <w:rtl/>
        </w:rPr>
        <w:tab/>
      </w:r>
      <w:r w:rsidR="00336C14" w:rsidRPr="00EE1501">
        <w:rPr>
          <w:rFonts w:ascii="David" w:eastAsia="Calibri" w:hAnsi="David"/>
          <w:b/>
          <w:bCs/>
          <w:color w:val="000000"/>
          <w:sz w:val="22"/>
          <w:szCs w:val="22"/>
          <w:shd w:val="clear" w:color="auto" w:fill="FFFFFF"/>
          <w:rtl/>
        </w:rPr>
        <w:t>זכות ערעור לבית המשפט במחוזי בירושלים בתוך 45 יום</w:t>
      </w:r>
      <w:r w:rsidR="00336C14" w:rsidRPr="00EE1501">
        <w:rPr>
          <w:rFonts w:ascii="David" w:eastAsia="Calibri" w:hAnsi="David"/>
          <w:b/>
          <w:bCs/>
          <w:color w:val="000000"/>
          <w:sz w:val="22"/>
          <w:szCs w:val="22"/>
          <w:shd w:val="clear" w:color="auto" w:fill="FFFFFF"/>
        </w:rPr>
        <w:t>.</w:t>
      </w:r>
    </w:p>
    <w:p w14:paraId="6CB62119" w14:textId="77777777" w:rsidR="00336C14" w:rsidRPr="00EE1501" w:rsidRDefault="00336C14" w:rsidP="00336C14">
      <w:pPr>
        <w:spacing w:line="360" w:lineRule="auto"/>
        <w:jc w:val="both"/>
        <w:rPr>
          <w:rFonts w:ascii="Arial" w:hAnsi="Arial"/>
          <w:b/>
          <w:bCs/>
          <w:sz w:val="22"/>
          <w:szCs w:val="22"/>
          <w:rtl/>
        </w:rPr>
      </w:pPr>
    </w:p>
    <w:p w14:paraId="2220B2C5" w14:textId="77777777" w:rsidR="00336C14" w:rsidRPr="00EE1501" w:rsidRDefault="00E267BC" w:rsidP="00336C14">
      <w:pPr>
        <w:spacing w:after="160" w:line="256" w:lineRule="auto"/>
        <w:rPr>
          <w:rFonts w:ascii="Arial" w:hAnsi="Arial"/>
          <w:b/>
          <w:bCs/>
          <w:sz w:val="22"/>
          <w:szCs w:val="22"/>
          <w:rtl/>
        </w:rPr>
      </w:pPr>
      <w:bookmarkStart w:id="7" w:name="Nitan"/>
      <w:r>
        <w:rPr>
          <w:rFonts w:ascii="Arial" w:hAnsi="Arial"/>
          <w:b/>
          <w:bCs/>
          <w:sz w:val="22"/>
          <w:szCs w:val="22"/>
          <w:rtl/>
        </w:rPr>
        <w:t xml:space="preserve">ניתן היום,  כ"ג אדר ב' תשפ"ד, 02 אפריל 2024, במעמד הנוכחים (הנאשמים בוויעוד חזותי) </w:t>
      </w:r>
      <w:bookmarkEnd w:id="7"/>
      <w:r w:rsidR="00336C14" w:rsidRPr="00EE1501">
        <w:rPr>
          <w:rFonts w:ascii="Arial" w:hAnsi="Arial"/>
          <w:b/>
          <w:bCs/>
          <w:sz w:val="22"/>
          <w:szCs w:val="22"/>
          <w:rtl/>
        </w:rPr>
        <w:tab/>
      </w:r>
    </w:p>
    <w:p w14:paraId="5B76FE9D" w14:textId="77777777" w:rsidR="00336C14" w:rsidRPr="00EE1501" w:rsidRDefault="00336C14" w:rsidP="00336C14">
      <w:pPr>
        <w:spacing w:after="160" w:line="256" w:lineRule="auto"/>
        <w:rPr>
          <w:rFonts w:ascii="Arial" w:hAnsi="Arial"/>
          <w:b/>
          <w:bCs/>
          <w:sz w:val="22"/>
          <w:szCs w:val="22"/>
          <w:rtl/>
        </w:rPr>
      </w:pPr>
      <w:r w:rsidRPr="00EE1501">
        <w:rPr>
          <w:rFonts w:ascii="Arial" w:hAnsi="Arial"/>
          <w:b/>
          <w:bCs/>
          <w:sz w:val="22"/>
          <w:szCs w:val="22"/>
          <w:rtl/>
        </w:rPr>
        <w:tab/>
      </w:r>
      <w:r w:rsidRPr="00EE1501">
        <w:rPr>
          <w:rFonts w:ascii="Arial" w:hAnsi="Arial"/>
          <w:b/>
          <w:bCs/>
          <w:sz w:val="22"/>
          <w:szCs w:val="22"/>
          <w:rtl/>
        </w:rPr>
        <w:tab/>
      </w:r>
      <w:r w:rsidRPr="00EE1501">
        <w:rPr>
          <w:rFonts w:ascii="Arial" w:hAnsi="Arial"/>
          <w:b/>
          <w:bCs/>
          <w:sz w:val="22"/>
          <w:szCs w:val="22"/>
          <w:rtl/>
        </w:rPr>
        <w:tab/>
      </w:r>
      <w:r w:rsidRPr="00EE1501">
        <w:rPr>
          <w:rFonts w:ascii="Arial" w:hAnsi="Arial"/>
          <w:b/>
          <w:bCs/>
          <w:sz w:val="22"/>
          <w:szCs w:val="22"/>
          <w:rtl/>
        </w:rPr>
        <w:tab/>
      </w:r>
    </w:p>
    <w:p w14:paraId="7F12BF13" w14:textId="77777777" w:rsidR="00336C14" w:rsidRPr="00EE1501" w:rsidRDefault="00F77207" w:rsidP="00336C14">
      <w:pPr>
        <w:spacing w:after="160" w:line="256" w:lineRule="auto"/>
        <w:rPr>
          <w:rFonts w:ascii="Calibri" w:eastAsia="Calibri" w:hAnsi="Calibri" w:cs="Arial"/>
          <w:sz w:val="22"/>
          <w:szCs w:val="22"/>
          <w:rtl/>
        </w:rPr>
      </w:pPr>
      <w:r w:rsidRPr="00F77207">
        <w:rPr>
          <w:rFonts w:ascii="Arial" w:hAnsi="Arial"/>
          <w:b/>
          <w:bCs/>
          <w:color w:val="FFFFFF"/>
          <w:sz w:val="2"/>
          <w:szCs w:val="2"/>
          <w:rtl/>
        </w:rPr>
        <w:t>5129371</w:t>
      </w:r>
      <w:r w:rsidR="00336C14" w:rsidRPr="00EE1501">
        <w:rPr>
          <w:rFonts w:ascii="Arial" w:hAnsi="Arial"/>
          <w:b/>
          <w:bCs/>
          <w:sz w:val="22"/>
          <w:szCs w:val="22"/>
          <w:rtl/>
        </w:rPr>
        <w:tab/>
      </w:r>
      <w:r w:rsidR="00336C14" w:rsidRPr="00EE1501">
        <w:rPr>
          <w:rFonts w:ascii="Arial" w:hAnsi="Arial"/>
          <w:b/>
          <w:bCs/>
          <w:sz w:val="22"/>
          <w:szCs w:val="22"/>
          <w:rtl/>
        </w:rPr>
        <w:tab/>
      </w:r>
      <w:r w:rsidR="00336C14" w:rsidRPr="00EE1501">
        <w:rPr>
          <w:rFonts w:ascii="Arial" w:hAnsi="Arial"/>
          <w:b/>
          <w:bCs/>
          <w:sz w:val="22"/>
          <w:szCs w:val="22"/>
          <w:rtl/>
        </w:rPr>
        <w:tab/>
      </w:r>
      <w:r w:rsidR="00336C14" w:rsidRPr="00EE1501">
        <w:rPr>
          <w:rFonts w:ascii="Arial" w:hAnsi="Arial"/>
          <w:b/>
          <w:bCs/>
          <w:sz w:val="22"/>
          <w:szCs w:val="22"/>
          <w:rtl/>
        </w:rPr>
        <w:tab/>
      </w:r>
      <w:r w:rsidR="00336C14" w:rsidRPr="00EE1501">
        <w:rPr>
          <w:rFonts w:ascii="Arial" w:hAnsi="Arial"/>
          <w:b/>
          <w:bCs/>
          <w:sz w:val="22"/>
          <w:szCs w:val="22"/>
          <w:rtl/>
        </w:rPr>
        <w:tab/>
      </w:r>
      <w:r w:rsidR="00336C14" w:rsidRPr="00EE1501">
        <w:rPr>
          <w:rFonts w:ascii="Arial" w:hAnsi="Arial"/>
          <w:b/>
          <w:bCs/>
          <w:sz w:val="22"/>
          <w:szCs w:val="22"/>
          <w:rtl/>
        </w:rPr>
        <w:tab/>
      </w:r>
      <w:r w:rsidR="00336C14" w:rsidRPr="00EE1501">
        <w:rPr>
          <w:rFonts w:ascii="Arial" w:hAnsi="Arial"/>
          <w:b/>
          <w:bCs/>
          <w:sz w:val="22"/>
          <w:szCs w:val="22"/>
          <w:rtl/>
        </w:rPr>
        <w:tab/>
      </w:r>
      <w:r w:rsidR="00336C14" w:rsidRPr="00EE1501">
        <w:rPr>
          <w:rFonts w:ascii="Arial" w:hAnsi="Arial"/>
          <w:b/>
          <w:bCs/>
          <w:sz w:val="22"/>
          <w:szCs w:val="22"/>
          <w:rtl/>
        </w:rPr>
        <w:tab/>
        <w:t>חתימה</w:t>
      </w:r>
      <w:r w:rsidR="00336C14" w:rsidRPr="00EE1501">
        <w:rPr>
          <w:rFonts w:ascii="Arial" w:hAnsi="Arial"/>
          <w:b/>
          <w:bCs/>
          <w:sz w:val="22"/>
          <w:szCs w:val="22"/>
          <w:rtl/>
        </w:rPr>
        <w:tab/>
      </w:r>
      <w:r w:rsidR="00336C14" w:rsidRPr="00EE1501">
        <w:rPr>
          <w:rFonts w:ascii="Arial" w:hAnsi="Arial"/>
          <w:b/>
          <w:bCs/>
          <w:sz w:val="22"/>
          <w:szCs w:val="22"/>
          <w:rtl/>
        </w:rPr>
        <w:tab/>
      </w:r>
    </w:p>
    <w:p w14:paraId="0D392747" w14:textId="77777777" w:rsidR="00322241" w:rsidRPr="00F77207" w:rsidRDefault="00F77207" w:rsidP="00E267BC">
      <w:pPr>
        <w:keepNext/>
        <w:rPr>
          <w:rFonts w:ascii="David" w:hAnsi="David"/>
          <w:color w:val="FFFFFF"/>
          <w:sz w:val="2"/>
          <w:szCs w:val="2"/>
          <w:rtl/>
        </w:rPr>
      </w:pPr>
      <w:r w:rsidRPr="00F77207">
        <w:rPr>
          <w:rFonts w:ascii="David" w:hAnsi="David"/>
          <w:color w:val="FFFFFF"/>
          <w:sz w:val="2"/>
          <w:szCs w:val="2"/>
          <w:rtl/>
        </w:rPr>
        <w:t>54678313</w:t>
      </w:r>
    </w:p>
    <w:p w14:paraId="64A48D82" w14:textId="77777777" w:rsidR="00E267BC" w:rsidRDefault="00E267BC" w:rsidP="00E267BC">
      <w:pPr>
        <w:rPr>
          <w:rtl/>
        </w:rPr>
      </w:pPr>
    </w:p>
    <w:p w14:paraId="17D58F58" w14:textId="77777777" w:rsidR="00E267BC" w:rsidRDefault="00E267BC" w:rsidP="00E267BC">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76E8D1A5" w14:textId="77777777" w:rsidR="00F77207" w:rsidRPr="00F77207" w:rsidRDefault="00F77207" w:rsidP="00F77207">
      <w:pPr>
        <w:keepNext/>
        <w:rPr>
          <w:rFonts w:ascii="David" w:hAnsi="David"/>
          <w:color w:val="000000"/>
          <w:sz w:val="22"/>
          <w:szCs w:val="22"/>
          <w:rtl/>
        </w:rPr>
      </w:pPr>
    </w:p>
    <w:p w14:paraId="5CBFAD5D" w14:textId="77777777" w:rsidR="00F77207" w:rsidRPr="00F77207" w:rsidRDefault="00F77207" w:rsidP="00F77207">
      <w:pPr>
        <w:keepNext/>
        <w:rPr>
          <w:rFonts w:ascii="David" w:hAnsi="David"/>
          <w:color w:val="000000"/>
          <w:sz w:val="22"/>
          <w:szCs w:val="22"/>
          <w:rtl/>
        </w:rPr>
      </w:pPr>
      <w:r w:rsidRPr="00F77207">
        <w:rPr>
          <w:rFonts w:ascii="David" w:hAnsi="David"/>
          <w:color w:val="000000"/>
          <w:sz w:val="22"/>
          <w:szCs w:val="22"/>
          <w:rtl/>
        </w:rPr>
        <w:t>ארנון איתן 54678313-/</w:t>
      </w:r>
    </w:p>
    <w:p w14:paraId="406A9D88" w14:textId="77777777" w:rsidR="00E267BC" w:rsidRPr="00E267BC" w:rsidRDefault="00F77207" w:rsidP="00F77207">
      <w:pPr>
        <w:rPr>
          <w:color w:val="0000FF"/>
          <w:u w:val="single"/>
        </w:rPr>
      </w:pPr>
      <w:r w:rsidRPr="00F77207">
        <w:rPr>
          <w:color w:val="000000"/>
          <w:u w:val="single"/>
          <w:rtl/>
        </w:rPr>
        <w:t>נוסח מסמך זה כפוף לשינויי ניסוח ועריכה</w:t>
      </w:r>
    </w:p>
    <w:sectPr w:rsidR="00E267BC" w:rsidRPr="00E267BC" w:rsidSect="00F77207">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FBDF5E" w14:textId="77777777" w:rsidR="00EC10CB" w:rsidRDefault="00EC10CB" w:rsidP="005E0ED0">
      <w:r>
        <w:separator/>
      </w:r>
    </w:p>
  </w:endnote>
  <w:endnote w:type="continuationSeparator" w:id="0">
    <w:p w14:paraId="5D502942" w14:textId="77777777" w:rsidR="00EC10CB" w:rsidRDefault="00EC10CB" w:rsidP="005E0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FFD44" w14:textId="77777777" w:rsidR="00F77207" w:rsidRDefault="00F77207" w:rsidP="00F7720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993ED06" w14:textId="77777777" w:rsidR="00F32B75" w:rsidRPr="00F77207" w:rsidRDefault="00F77207" w:rsidP="00F77207">
    <w:pPr>
      <w:pStyle w:val="a5"/>
      <w:pBdr>
        <w:top w:val="single" w:sz="4" w:space="1" w:color="auto"/>
        <w:between w:val="single" w:sz="4" w:space="0" w:color="auto"/>
      </w:pBdr>
      <w:spacing w:after="60"/>
      <w:jc w:val="center"/>
      <w:rPr>
        <w:rFonts w:ascii="FrankRuehl" w:hAnsi="FrankRuehl" w:cs="FrankRuehl"/>
        <w:color w:val="000000"/>
      </w:rPr>
    </w:pPr>
    <w:r w:rsidRPr="00F7720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36786" w14:textId="77777777" w:rsidR="00F77207" w:rsidRDefault="00F77207" w:rsidP="00F7720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A2107">
      <w:rPr>
        <w:rFonts w:ascii="FrankRuehl" w:hAnsi="FrankRuehl" w:cs="FrankRuehl"/>
        <w:noProof/>
        <w:rtl/>
      </w:rPr>
      <w:t>1</w:t>
    </w:r>
    <w:r>
      <w:rPr>
        <w:rFonts w:ascii="FrankRuehl" w:hAnsi="FrankRuehl" w:cs="FrankRuehl"/>
        <w:rtl/>
      </w:rPr>
      <w:fldChar w:fldCharType="end"/>
    </w:r>
  </w:p>
  <w:p w14:paraId="2CF753D3" w14:textId="77777777" w:rsidR="00F32B75" w:rsidRPr="00F77207" w:rsidRDefault="00F77207" w:rsidP="00F77207">
    <w:pPr>
      <w:pStyle w:val="a5"/>
      <w:pBdr>
        <w:top w:val="single" w:sz="4" w:space="1" w:color="auto"/>
        <w:between w:val="single" w:sz="4" w:space="0" w:color="auto"/>
      </w:pBdr>
      <w:spacing w:after="60"/>
      <w:jc w:val="center"/>
      <w:rPr>
        <w:rFonts w:ascii="FrankRuehl" w:hAnsi="FrankRuehl" w:cs="FrankRuehl"/>
        <w:color w:val="000000"/>
      </w:rPr>
    </w:pPr>
    <w:r w:rsidRPr="00F77207">
      <w:rPr>
        <w:rFonts w:ascii="FrankRuehl" w:hAnsi="FrankRuehl" w:cs="FrankRuehl"/>
        <w:color w:val="000000"/>
      </w:rPr>
      <w:pict w14:anchorId="7EE913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4A3BEF" w14:textId="77777777" w:rsidR="00EC10CB" w:rsidRDefault="00EC10CB" w:rsidP="005E0ED0">
      <w:r>
        <w:separator/>
      </w:r>
    </w:p>
  </w:footnote>
  <w:footnote w:type="continuationSeparator" w:id="0">
    <w:p w14:paraId="00183E3C" w14:textId="77777777" w:rsidR="00EC10CB" w:rsidRDefault="00EC10CB" w:rsidP="005E0E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B3EF2" w14:textId="77777777" w:rsidR="00E267BC" w:rsidRPr="00F77207" w:rsidRDefault="00F77207" w:rsidP="00F7720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18449-04-23</w:t>
    </w:r>
    <w:r>
      <w:rPr>
        <w:rFonts w:ascii="David" w:hAnsi="David"/>
        <w:color w:val="000000"/>
        <w:sz w:val="22"/>
        <w:szCs w:val="22"/>
        <w:rtl/>
      </w:rPr>
      <w:tab/>
      <w:t xml:space="preserve"> מדינת ישראל נ' יזן עמירה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3F1BC" w14:textId="77777777" w:rsidR="00E267BC" w:rsidRPr="00F77207" w:rsidRDefault="00F77207" w:rsidP="00F7720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18449-04-23</w:t>
    </w:r>
    <w:r>
      <w:rPr>
        <w:rFonts w:ascii="David" w:hAnsi="David"/>
        <w:color w:val="000000"/>
        <w:sz w:val="22"/>
        <w:szCs w:val="22"/>
        <w:rtl/>
      </w:rPr>
      <w:tab/>
      <w:t xml:space="preserve"> מדינת ישראל נ' יזן עמירה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470" w:hanging="360"/>
      </w:pPr>
      <w:rPr>
        <w:rFonts w:ascii="Symbol" w:hAnsi="Symbol" w:hint="default"/>
      </w:rPr>
    </w:lvl>
    <w:lvl w:ilvl="1" w:tplc="D0AE272C">
      <w:start w:val="1"/>
      <w:numFmt w:val="bullet"/>
      <w:lvlText w:val="o"/>
      <w:lvlJc w:val="left"/>
      <w:pPr>
        <w:ind w:left="2190" w:hanging="360"/>
      </w:pPr>
      <w:rPr>
        <w:rFonts w:ascii="Courier New" w:hAnsi="Courier New" w:cs="Times New Roman" w:hint="default"/>
      </w:rPr>
    </w:lvl>
    <w:lvl w:ilvl="2" w:tplc="4CE8AFEC">
      <w:start w:val="1"/>
      <w:numFmt w:val="bullet"/>
      <w:lvlText w:val=""/>
      <w:lvlJc w:val="left"/>
      <w:pPr>
        <w:ind w:left="2910" w:hanging="360"/>
      </w:pPr>
      <w:rPr>
        <w:rFonts w:ascii="Wingdings" w:hAnsi="Wingdings" w:hint="default"/>
      </w:rPr>
    </w:lvl>
    <w:lvl w:ilvl="3" w:tplc="66DC63D4">
      <w:start w:val="1"/>
      <w:numFmt w:val="bullet"/>
      <w:lvlText w:val=""/>
      <w:lvlJc w:val="left"/>
      <w:pPr>
        <w:ind w:left="3630" w:hanging="360"/>
      </w:pPr>
      <w:rPr>
        <w:rFonts w:ascii="Symbol" w:hAnsi="Symbol" w:hint="default"/>
      </w:rPr>
    </w:lvl>
    <w:lvl w:ilvl="4" w:tplc="39E8D01E">
      <w:start w:val="1"/>
      <w:numFmt w:val="bullet"/>
      <w:lvlText w:val="o"/>
      <w:lvlJc w:val="left"/>
      <w:pPr>
        <w:ind w:left="4350" w:hanging="360"/>
      </w:pPr>
      <w:rPr>
        <w:rFonts w:ascii="Courier New" w:hAnsi="Courier New" w:cs="Times New Roman" w:hint="default"/>
      </w:rPr>
    </w:lvl>
    <w:lvl w:ilvl="5" w:tplc="A17A33F8">
      <w:start w:val="1"/>
      <w:numFmt w:val="bullet"/>
      <w:lvlText w:val=""/>
      <w:lvlJc w:val="left"/>
      <w:pPr>
        <w:ind w:left="5070" w:hanging="360"/>
      </w:pPr>
      <w:rPr>
        <w:rFonts w:ascii="Wingdings" w:hAnsi="Wingdings" w:hint="default"/>
      </w:rPr>
    </w:lvl>
    <w:lvl w:ilvl="6" w:tplc="32B25C30">
      <w:start w:val="1"/>
      <w:numFmt w:val="bullet"/>
      <w:lvlText w:val=""/>
      <w:lvlJc w:val="left"/>
      <w:pPr>
        <w:ind w:left="5790" w:hanging="360"/>
      </w:pPr>
      <w:rPr>
        <w:rFonts w:ascii="Symbol" w:hAnsi="Symbol" w:hint="default"/>
      </w:rPr>
    </w:lvl>
    <w:lvl w:ilvl="7" w:tplc="117C14FE">
      <w:start w:val="1"/>
      <w:numFmt w:val="bullet"/>
      <w:lvlText w:val="o"/>
      <w:lvlJc w:val="left"/>
      <w:pPr>
        <w:ind w:left="6510" w:hanging="360"/>
      </w:pPr>
      <w:rPr>
        <w:rFonts w:ascii="Courier New" w:hAnsi="Courier New" w:cs="Times New Roman" w:hint="default"/>
      </w:rPr>
    </w:lvl>
    <w:lvl w:ilvl="8" w:tplc="A12A52C8">
      <w:start w:val="1"/>
      <w:numFmt w:val="bullet"/>
      <w:lvlText w:val=""/>
      <w:lvlJc w:val="left"/>
      <w:pPr>
        <w:ind w:left="7230" w:hanging="360"/>
      </w:pPr>
      <w:rPr>
        <w:rFonts w:ascii="Wingdings" w:hAnsi="Wingdings" w:hint="default"/>
      </w:rPr>
    </w:lvl>
  </w:abstractNum>
  <w:abstractNum w:abstractNumId="1" w15:restartNumberingAfterBreak="0">
    <w:nsid w:val="34D21BB8"/>
    <w:multiLevelType w:val="hybridMultilevel"/>
    <w:tmpl w:val="8BC22576"/>
    <w:lvl w:ilvl="0" w:tplc="D59C5EC6">
      <w:start w:val="1"/>
      <w:numFmt w:val="hebrew1"/>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76018D4"/>
    <w:multiLevelType w:val="hybridMultilevel"/>
    <w:tmpl w:val="2FDA11F2"/>
    <w:lvl w:ilvl="0" w:tplc="D59C5EC6">
      <w:start w:val="1"/>
      <w:numFmt w:val="hebrew1"/>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3" w15:restartNumberingAfterBreak="0">
    <w:nsid w:val="6FAA0B6E"/>
    <w:multiLevelType w:val="hybridMultilevel"/>
    <w:tmpl w:val="0400AB98"/>
    <w:lvl w:ilvl="0" w:tplc="D59C5EC6">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DA91F1E"/>
    <w:multiLevelType w:val="hybridMultilevel"/>
    <w:tmpl w:val="3684B920"/>
    <w:lvl w:ilvl="0" w:tplc="99248DCC">
      <w:start w:val="1"/>
      <w:numFmt w:val="decimal"/>
      <w:lvlText w:val="%1."/>
      <w:lvlJc w:val="left"/>
      <w:pPr>
        <w:ind w:left="390" w:hanging="390"/>
      </w:pPr>
      <w:rPr>
        <w:rFonts w:hint="default"/>
        <w:lang w:val="en-US" w:bidi="he-IL"/>
      </w:rPr>
    </w:lvl>
    <w:lvl w:ilvl="1" w:tplc="B3066EC6">
      <w:start w:val="1"/>
      <w:numFmt w:val="hebrew1"/>
      <w:lvlText w:val="%2."/>
      <w:lvlJc w:val="left"/>
      <w:pPr>
        <w:ind w:left="1545" w:hanging="825"/>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42389948">
    <w:abstractNumId w:val="3"/>
  </w:num>
  <w:num w:numId="2" w16cid:durableId="1308172137">
    <w:abstractNumId w:val="4"/>
  </w:num>
  <w:num w:numId="3" w16cid:durableId="791553622">
    <w:abstractNumId w:val="0"/>
  </w:num>
  <w:num w:numId="4" w16cid:durableId="1881890719">
    <w:abstractNumId w:val="2"/>
  </w:num>
  <w:num w:numId="5" w16cid:durableId="726882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36C14"/>
    <w:rsid w:val="001A628D"/>
    <w:rsid w:val="001B5A3B"/>
    <w:rsid w:val="00322241"/>
    <w:rsid w:val="00336C14"/>
    <w:rsid w:val="003A2107"/>
    <w:rsid w:val="005E0ED0"/>
    <w:rsid w:val="006B3F2E"/>
    <w:rsid w:val="007D034E"/>
    <w:rsid w:val="00AF2065"/>
    <w:rsid w:val="00B3506F"/>
    <w:rsid w:val="00BC325D"/>
    <w:rsid w:val="00E267BC"/>
    <w:rsid w:val="00EC10CB"/>
    <w:rsid w:val="00F31F9F"/>
    <w:rsid w:val="00F32B75"/>
    <w:rsid w:val="00F772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321A452"/>
  <w15:chartTrackingRefBased/>
  <w15:docId w15:val="{5251D920-29D9-4B29-8630-472625086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36C1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36C14"/>
    <w:pPr>
      <w:tabs>
        <w:tab w:val="center" w:pos="4153"/>
        <w:tab w:val="right" w:pos="8306"/>
      </w:tabs>
    </w:pPr>
  </w:style>
  <w:style w:type="character" w:customStyle="1" w:styleId="a4">
    <w:name w:val="כותרת עליונה תו"/>
    <w:link w:val="a3"/>
    <w:rsid w:val="00336C14"/>
    <w:rPr>
      <w:rFonts w:ascii="Times New Roman" w:eastAsia="Times New Roman" w:hAnsi="Times New Roman" w:cs="David"/>
      <w:sz w:val="24"/>
      <w:szCs w:val="24"/>
    </w:rPr>
  </w:style>
  <w:style w:type="paragraph" w:styleId="a5">
    <w:name w:val="footer"/>
    <w:basedOn w:val="a"/>
    <w:link w:val="a6"/>
    <w:rsid w:val="00336C14"/>
    <w:pPr>
      <w:tabs>
        <w:tab w:val="center" w:pos="4153"/>
        <w:tab w:val="right" w:pos="8306"/>
      </w:tabs>
    </w:pPr>
  </w:style>
  <w:style w:type="character" w:customStyle="1" w:styleId="a6">
    <w:name w:val="כותרת תחתונה תו"/>
    <w:link w:val="a5"/>
    <w:rsid w:val="00336C14"/>
    <w:rPr>
      <w:rFonts w:ascii="Times New Roman" w:eastAsia="Times New Roman" w:hAnsi="Times New Roman" w:cs="David"/>
      <w:sz w:val="24"/>
      <w:szCs w:val="24"/>
    </w:rPr>
  </w:style>
  <w:style w:type="table" w:styleId="a7">
    <w:name w:val="Table Grid"/>
    <w:basedOn w:val="a1"/>
    <w:rsid w:val="00336C1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36C14"/>
  </w:style>
  <w:style w:type="paragraph" w:styleId="a9">
    <w:name w:val="List Paragraph"/>
    <w:basedOn w:val="a"/>
    <w:qFormat/>
    <w:rsid w:val="00336C14"/>
    <w:pPr>
      <w:ind w:left="720"/>
      <w:contextualSpacing/>
    </w:pPr>
  </w:style>
  <w:style w:type="character" w:styleId="Hyperlink">
    <w:name w:val="Hyperlink"/>
    <w:rsid w:val="00336C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6913995" TargetMode="External"/><Relationship Id="rId18" Type="http://schemas.openxmlformats.org/officeDocument/2006/relationships/hyperlink" Target="http://www.nevo.co.il/case/26383419" TargetMode="External"/><Relationship Id="rId26" Type="http://schemas.openxmlformats.org/officeDocument/2006/relationships/hyperlink" Target="http://www.nevo.co.il/case/26520337" TargetMode="External"/><Relationship Id="rId21" Type="http://schemas.openxmlformats.org/officeDocument/2006/relationships/hyperlink" Target="http://www.nevo.co.il/case/22228298" TargetMode="External"/><Relationship Id="rId34"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5762686" TargetMode="External"/><Relationship Id="rId25" Type="http://schemas.openxmlformats.org/officeDocument/2006/relationships/hyperlink" Target="http://www.nevo.co.il/case/16992066"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5969313" TargetMode="External"/><Relationship Id="rId20" Type="http://schemas.openxmlformats.org/officeDocument/2006/relationships/hyperlink" Target="http://www.nevo.co.il/case/6058757" TargetMode="External"/><Relationship Id="rId29" Type="http://schemas.openxmlformats.org/officeDocument/2006/relationships/hyperlink" Target="http://www.eca.gov.i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5724364"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5063920" TargetMode="External"/><Relationship Id="rId23" Type="http://schemas.openxmlformats.org/officeDocument/2006/relationships/hyperlink" Target="http://www.nevo.co.il/case/26484690" TargetMode="External"/><Relationship Id="rId28" Type="http://schemas.openxmlformats.org/officeDocument/2006/relationships/hyperlink" Target="http://www.nevo.co.il/law/70301" TargetMode="External"/><Relationship Id="rId36" Type="http://schemas.openxmlformats.org/officeDocument/2006/relationships/footer" Target="footer2.xml"/><Relationship Id="rId10" Type="http://schemas.openxmlformats.org/officeDocument/2006/relationships/hyperlink" Target="http://www.nevo.co.il/law/70301/144.a" TargetMode="External"/><Relationship Id="rId19" Type="http://schemas.openxmlformats.org/officeDocument/2006/relationships/hyperlink" Target="http://www.nevo.co.il/case/6024035"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5824863" TargetMode="External"/><Relationship Id="rId22" Type="http://schemas.openxmlformats.org/officeDocument/2006/relationships/hyperlink" Target="http://www.nevo.co.il/case/23817589" TargetMode="External"/><Relationship Id="rId27" Type="http://schemas.openxmlformats.org/officeDocument/2006/relationships/hyperlink" Target="http://www.nevo.co.il/law/70301/144" TargetMode="External"/><Relationship Id="rId30" Type="http://schemas.openxmlformats.org/officeDocument/2006/relationships/hyperlink" Target="http://www.nevo.co.il/law/70301/144" TargetMode="External"/><Relationship Id="rId35" Type="http://schemas.openxmlformats.org/officeDocument/2006/relationships/footer" Target="footer1.xml"/><Relationship Id="rId8" Type="http://schemas.openxmlformats.org/officeDocument/2006/relationships/hyperlink" Target="http://www.nevo.co.il/law/70301/144"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2256</Words>
  <Characters>11285</Characters>
  <Application>Microsoft Office Word</Application>
  <DocSecurity>0</DocSecurity>
  <Lines>94</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13514</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7995492</vt:i4>
      </vt:variant>
      <vt:variant>
        <vt:i4>72</vt:i4>
      </vt:variant>
      <vt:variant>
        <vt:i4>0</vt:i4>
      </vt:variant>
      <vt:variant>
        <vt:i4>5</vt:i4>
      </vt:variant>
      <vt:variant>
        <vt:lpwstr>http://www.nevo.co.il/law/70301</vt:lpwstr>
      </vt:variant>
      <vt:variant>
        <vt:lpwstr/>
      </vt:variant>
      <vt:variant>
        <vt:i4>6357092</vt:i4>
      </vt:variant>
      <vt:variant>
        <vt:i4>69</vt:i4>
      </vt:variant>
      <vt:variant>
        <vt:i4>0</vt:i4>
      </vt:variant>
      <vt:variant>
        <vt:i4>5</vt:i4>
      </vt:variant>
      <vt:variant>
        <vt:lpwstr>http://www.nevo.co.il/law/70301/144</vt:lpwstr>
      </vt:variant>
      <vt:variant>
        <vt:lpwstr/>
      </vt:variant>
      <vt:variant>
        <vt:i4>7864368</vt:i4>
      </vt:variant>
      <vt:variant>
        <vt:i4>66</vt:i4>
      </vt:variant>
      <vt:variant>
        <vt:i4>0</vt:i4>
      </vt:variant>
      <vt:variant>
        <vt:i4>5</vt:i4>
      </vt:variant>
      <vt:variant>
        <vt:lpwstr>http://www.eca.gov.il/</vt:lpwstr>
      </vt:variant>
      <vt:variant>
        <vt:lpwstr/>
      </vt:variant>
      <vt:variant>
        <vt:i4>7995492</vt:i4>
      </vt:variant>
      <vt:variant>
        <vt:i4>63</vt:i4>
      </vt:variant>
      <vt:variant>
        <vt:i4>0</vt:i4>
      </vt:variant>
      <vt:variant>
        <vt:i4>5</vt:i4>
      </vt:variant>
      <vt:variant>
        <vt:lpwstr>http://www.nevo.co.il/law/70301</vt:lpwstr>
      </vt:variant>
      <vt:variant>
        <vt:lpwstr/>
      </vt:variant>
      <vt:variant>
        <vt:i4>6357092</vt:i4>
      </vt:variant>
      <vt:variant>
        <vt:i4>60</vt:i4>
      </vt:variant>
      <vt:variant>
        <vt:i4>0</vt:i4>
      </vt:variant>
      <vt:variant>
        <vt:i4>5</vt:i4>
      </vt:variant>
      <vt:variant>
        <vt:lpwstr>http://www.nevo.co.il/law/70301/144</vt:lpwstr>
      </vt:variant>
      <vt:variant>
        <vt:lpwstr/>
      </vt:variant>
      <vt:variant>
        <vt:i4>3407987</vt:i4>
      </vt:variant>
      <vt:variant>
        <vt:i4>57</vt:i4>
      </vt:variant>
      <vt:variant>
        <vt:i4>0</vt:i4>
      </vt:variant>
      <vt:variant>
        <vt:i4>5</vt:i4>
      </vt:variant>
      <vt:variant>
        <vt:lpwstr>http://www.nevo.co.il/case/26520337</vt:lpwstr>
      </vt:variant>
      <vt:variant>
        <vt:lpwstr/>
      </vt:variant>
      <vt:variant>
        <vt:i4>3932283</vt:i4>
      </vt:variant>
      <vt:variant>
        <vt:i4>54</vt:i4>
      </vt:variant>
      <vt:variant>
        <vt:i4>0</vt:i4>
      </vt:variant>
      <vt:variant>
        <vt:i4>5</vt:i4>
      </vt:variant>
      <vt:variant>
        <vt:lpwstr>http://www.nevo.co.il/case/16992066</vt:lpwstr>
      </vt:variant>
      <vt:variant>
        <vt:lpwstr/>
      </vt:variant>
      <vt:variant>
        <vt:i4>3145841</vt:i4>
      </vt:variant>
      <vt:variant>
        <vt:i4>51</vt:i4>
      </vt:variant>
      <vt:variant>
        <vt:i4>0</vt:i4>
      </vt:variant>
      <vt:variant>
        <vt:i4>5</vt:i4>
      </vt:variant>
      <vt:variant>
        <vt:lpwstr>http://www.nevo.co.il/case/5724364</vt:lpwstr>
      </vt:variant>
      <vt:variant>
        <vt:lpwstr/>
      </vt:variant>
      <vt:variant>
        <vt:i4>3866748</vt:i4>
      </vt:variant>
      <vt:variant>
        <vt:i4>48</vt:i4>
      </vt:variant>
      <vt:variant>
        <vt:i4>0</vt:i4>
      </vt:variant>
      <vt:variant>
        <vt:i4>5</vt:i4>
      </vt:variant>
      <vt:variant>
        <vt:lpwstr>http://www.nevo.co.il/case/26484690</vt:lpwstr>
      </vt:variant>
      <vt:variant>
        <vt:lpwstr/>
      </vt:variant>
      <vt:variant>
        <vt:i4>3473523</vt:i4>
      </vt:variant>
      <vt:variant>
        <vt:i4>45</vt:i4>
      </vt:variant>
      <vt:variant>
        <vt:i4>0</vt:i4>
      </vt:variant>
      <vt:variant>
        <vt:i4>5</vt:i4>
      </vt:variant>
      <vt:variant>
        <vt:lpwstr>http://www.nevo.co.il/case/23817589</vt:lpwstr>
      </vt:variant>
      <vt:variant>
        <vt:lpwstr/>
      </vt:variant>
      <vt:variant>
        <vt:i4>3211382</vt:i4>
      </vt:variant>
      <vt:variant>
        <vt:i4>42</vt:i4>
      </vt:variant>
      <vt:variant>
        <vt:i4>0</vt:i4>
      </vt:variant>
      <vt:variant>
        <vt:i4>5</vt:i4>
      </vt:variant>
      <vt:variant>
        <vt:lpwstr>http://www.nevo.co.il/case/22228298</vt:lpwstr>
      </vt:variant>
      <vt:variant>
        <vt:lpwstr/>
      </vt:variant>
      <vt:variant>
        <vt:i4>3342457</vt:i4>
      </vt:variant>
      <vt:variant>
        <vt:i4>39</vt:i4>
      </vt:variant>
      <vt:variant>
        <vt:i4>0</vt:i4>
      </vt:variant>
      <vt:variant>
        <vt:i4>5</vt:i4>
      </vt:variant>
      <vt:variant>
        <vt:lpwstr>http://www.nevo.co.il/case/6058757</vt:lpwstr>
      </vt:variant>
      <vt:variant>
        <vt:lpwstr/>
      </vt:variant>
      <vt:variant>
        <vt:i4>3211379</vt:i4>
      </vt:variant>
      <vt:variant>
        <vt:i4>36</vt:i4>
      </vt:variant>
      <vt:variant>
        <vt:i4>0</vt:i4>
      </vt:variant>
      <vt:variant>
        <vt:i4>5</vt:i4>
      </vt:variant>
      <vt:variant>
        <vt:lpwstr>http://www.nevo.co.il/case/6024035</vt:lpwstr>
      </vt:variant>
      <vt:variant>
        <vt:lpwstr/>
      </vt:variant>
      <vt:variant>
        <vt:i4>3342462</vt:i4>
      </vt:variant>
      <vt:variant>
        <vt:i4>33</vt:i4>
      </vt:variant>
      <vt:variant>
        <vt:i4>0</vt:i4>
      </vt:variant>
      <vt:variant>
        <vt:i4>5</vt:i4>
      </vt:variant>
      <vt:variant>
        <vt:lpwstr>http://www.nevo.co.il/case/26383419</vt:lpwstr>
      </vt:variant>
      <vt:variant>
        <vt:lpwstr/>
      </vt:variant>
      <vt:variant>
        <vt:i4>3342457</vt:i4>
      </vt:variant>
      <vt:variant>
        <vt:i4>30</vt:i4>
      </vt:variant>
      <vt:variant>
        <vt:i4>0</vt:i4>
      </vt:variant>
      <vt:variant>
        <vt:i4>5</vt:i4>
      </vt:variant>
      <vt:variant>
        <vt:lpwstr>http://www.nevo.co.il/case/5762686</vt:lpwstr>
      </vt:variant>
      <vt:variant>
        <vt:lpwstr/>
      </vt:variant>
      <vt:variant>
        <vt:i4>3342453</vt:i4>
      </vt:variant>
      <vt:variant>
        <vt:i4>27</vt:i4>
      </vt:variant>
      <vt:variant>
        <vt:i4>0</vt:i4>
      </vt:variant>
      <vt:variant>
        <vt:i4>5</vt:i4>
      </vt:variant>
      <vt:variant>
        <vt:lpwstr>http://www.nevo.co.il/case/5969313</vt:lpwstr>
      </vt:variant>
      <vt:variant>
        <vt:lpwstr/>
      </vt:variant>
      <vt:variant>
        <vt:i4>3342462</vt:i4>
      </vt:variant>
      <vt:variant>
        <vt:i4>24</vt:i4>
      </vt:variant>
      <vt:variant>
        <vt:i4>0</vt:i4>
      </vt:variant>
      <vt:variant>
        <vt:i4>5</vt:i4>
      </vt:variant>
      <vt:variant>
        <vt:lpwstr>http://www.nevo.co.il/case/25063920</vt:lpwstr>
      </vt:variant>
      <vt:variant>
        <vt:lpwstr/>
      </vt:variant>
      <vt:variant>
        <vt:i4>3670139</vt:i4>
      </vt:variant>
      <vt:variant>
        <vt:i4>21</vt:i4>
      </vt:variant>
      <vt:variant>
        <vt:i4>0</vt:i4>
      </vt:variant>
      <vt:variant>
        <vt:i4>5</vt:i4>
      </vt:variant>
      <vt:variant>
        <vt:lpwstr>http://www.nevo.co.il/case/25824863</vt:lpwstr>
      </vt:variant>
      <vt:variant>
        <vt:lpwstr/>
      </vt:variant>
      <vt:variant>
        <vt:i4>3211386</vt:i4>
      </vt:variant>
      <vt:variant>
        <vt:i4>18</vt:i4>
      </vt:variant>
      <vt:variant>
        <vt:i4>0</vt:i4>
      </vt:variant>
      <vt:variant>
        <vt:i4>5</vt:i4>
      </vt:variant>
      <vt:variant>
        <vt:lpwstr>http://www.nevo.co.il/case/26913995</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2025-04-25T11:08:00Z</dcterms:created>
  <dcterms:modified xsi:type="dcterms:W3CDTF">2025-04-25T11:08:00Z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18449</vt:lpwstr>
  </property>
  <property fmtid="{D5CDD505-2E9C-101B-9397-08002B2CF9AE}" pid="6" name="NEWPARTB">
    <vt:lpwstr>04</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יזן עמירה;גאהד עמירה</vt:lpwstr>
  </property>
  <property fmtid="{D5CDD505-2E9C-101B-9397-08002B2CF9AE}" pid="10" name="JUDGE">
    <vt:lpwstr>ארנון איתן</vt:lpwstr>
  </property>
  <property fmtid="{D5CDD505-2E9C-101B-9397-08002B2CF9AE}" pid="11" name="CITY">
    <vt:lpwstr>י-ם</vt:lpwstr>
  </property>
  <property fmtid="{D5CDD505-2E9C-101B-9397-08002B2CF9AE}" pid="12" name="DATE">
    <vt:lpwstr>20240402</vt:lpwstr>
  </property>
  <property fmtid="{D5CDD505-2E9C-101B-9397-08002B2CF9AE}" pid="13" name="TYPE_N_DATE">
    <vt:lpwstr>38020240402</vt:lpwstr>
  </property>
  <property fmtid="{D5CDD505-2E9C-101B-9397-08002B2CF9AE}" pid="14" name="WORDNUMPAGES">
    <vt:lpwstr>7</vt:lpwstr>
  </property>
  <property fmtid="{D5CDD505-2E9C-101B-9397-08002B2CF9AE}" pid="15" name="TYPE_ABS_DATE">
    <vt:lpwstr>380020240402</vt:lpwstr>
  </property>
  <property fmtid="{D5CDD505-2E9C-101B-9397-08002B2CF9AE}" pid="16" name="LAWYER">
    <vt:lpwstr>אחמד עואודה;מוחמד חלאילה</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26913995;25824863;25063920;5969313;5762686;26383419;6024035;6058757;22228298;23817589;26484690;5724364;16992066;26520337</vt:lpwstr>
  </property>
  <property fmtid="{D5CDD505-2E9C-101B-9397-08002B2CF9AE}" pid="36" name="LAWLISTTMP1">
    <vt:lpwstr>70301/144.a:2;144:2</vt:lpwstr>
  </property>
</Properties>
</file>