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364FF4" w:rsidRPr="00735BE6" w14:paraId="24B80BCE" w14:textId="77777777" w:rsidTr="00CB58EB">
        <w:trPr>
          <w:trHeight w:hRule="exact" w:val="418"/>
          <w:jc w:val="center"/>
        </w:trPr>
        <w:tc>
          <w:tcPr>
            <w:tcW w:w="8721" w:type="dxa"/>
            <w:gridSpan w:val="2"/>
          </w:tcPr>
          <w:p w14:paraId="411D865A" w14:textId="77777777" w:rsidR="00364FF4" w:rsidRPr="00735BE6" w:rsidRDefault="00364FF4" w:rsidP="00B11FE6">
            <w:pPr>
              <w:pStyle w:val="a3"/>
              <w:jc w:val="center"/>
              <w:rPr>
                <w:rFonts w:ascii="Tahoma" w:hAnsi="Tahoma" w:cs="Tahoma"/>
                <w:color w:val="000080"/>
                <w:rtl/>
              </w:rPr>
            </w:pPr>
            <w:bookmarkStart w:id="0" w:name="LastJudge"/>
            <w:r w:rsidRPr="00735BE6">
              <w:rPr>
                <w:rFonts w:ascii="Tahoma" w:hAnsi="Tahoma" w:cs="Tahoma"/>
                <w:b/>
                <w:bCs/>
                <w:color w:val="000080"/>
                <w:rtl/>
              </w:rPr>
              <w:t>בית משפט השלום בירושלים</w:t>
            </w:r>
          </w:p>
        </w:tc>
      </w:tr>
      <w:tr w:rsidR="00364FF4" w:rsidRPr="00735BE6" w14:paraId="54F4BC56" w14:textId="77777777" w:rsidTr="00CB58EB">
        <w:trPr>
          <w:trHeight w:val="337"/>
          <w:jc w:val="center"/>
        </w:trPr>
        <w:tc>
          <w:tcPr>
            <w:tcW w:w="5059" w:type="dxa"/>
          </w:tcPr>
          <w:p w14:paraId="43A9A0E6" w14:textId="77777777" w:rsidR="00364FF4" w:rsidRPr="00735BE6" w:rsidRDefault="00364FF4" w:rsidP="00B11FE6">
            <w:pPr>
              <w:rPr>
                <w:rFonts w:cs="FrankRuehl"/>
                <w:sz w:val="28"/>
                <w:szCs w:val="28"/>
                <w:rtl/>
              </w:rPr>
            </w:pPr>
            <w:r w:rsidRPr="00735BE6">
              <w:rPr>
                <w:rFonts w:cs="FrankRuehl"/>
                <w:sz w:val="28"/>
                <w:szCs w:val="28"/>
                <w:rtl/>
              </w:rPr>
              <w:t>ת"פ</w:t>
            </w:r>
            <w:r w:rsidRPr="00735BE6">
              <w:rPr>
                <w:rFonts w:cs="FrankRuehl" w:hint="cs"/>
                <w:sz w:val="28"/>
                <w:szCs w:val="28"/>
                <w:rtl/>
              </w:rPr>
              <w:t xml:space="preserve"> </w:t>
            </w:r>
            <w:r w:rsidRPr="00735BE6">
              <w:rPr>
                <w:rFonts w:cs="FrankRuehl"/>
                <w:sz w:val="28"/>
                <w:szCs w:val="28"/>
                <w:rtl/>
              </w:rPr>
              <w:t>33774-05-23</w:t>
            </w:r>
            <w:r w:rsidRPr="00735BE6">
              <w:rPr>
                <w:rFonts w:cs="FrankRuehl" w:hint="cs"/>
                <w:sz w:val="28"/>
                <w:szCs w:val="28"/>
                <w:rtl/>
              </w:rPr>
              <w:t xml:space="preserve"> </w:t>
            </w:r>
            <w:r w:rsidRPr="00735BE6">
              <w:rPr>
                <w:rFonts w:cs="FrankRuehl"/>
                <w:sz w:val="28"/>
                <w:szCs w:val="28"/>
                <w:rtl/>
              </w:rPr>
              <w:t>מדינת ישראל נ' סלאמה(עציר)</w:t>
            </w:r>
          </w:p>
          <w:p w14:paraId="5D8E60D5" w14:textId="77777777" w:rsidR="00364FF4" w:rsidRPr="00735BE6" w:rsidRDefault="00364FF4" w:rsidP="00B11FE6">
            <w:pPr>
              <w:pStyle w:val="a3"/>
              <w:rPr>
                <w:rFonts w:cs="FrankRuehl"/>
                <w:sz w:val="28"/>
                <w:szCs w:val="28"/>
                <w:rtl/>
              </w:rPr>
            </w:pPr>
          </w:p>
        </w:tc>
        <w:tc>
          <w:tcPr>
            <w:tcW w:w="3662" w:type="dxa"/>
          </w:tcPr>
          <w:p w14:paraId="3A25BDF2" w14:textId="77777777" w:rsidR="00364FF4" w:rsidRPr="00735BE6" w:rsidRDefault="00364FF4" w:rsidP="00B11FE6">
            <w:pPr>
              <w:pStyle w:val="a3"/>
              <w:jc w:val="right"/>
              <w:rPr>
                <w:rFonts w:cs="FrankRuehl"/>
                <w:sz w:val="28"/>
                <w:szCs w:val="28"/>
                <w:rtl/>
              </w:rPr>
            </w:pPr>
          </w:p>
        </w:tc>
      </w:tr>
    </w:tbl>
    <w:p w14:paraId="4BEA1DC3" w14:textId="77777777" w:rsidR="00364FF4" w:rsidRPr="00735BE6" w:rsidRDefault="00364FF4" w:rsidP="00364FF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64FF4" w:rsidRPr="00735BE6" w14:paraId="017E5585" w14:textId="77777777" w:rsidTr="00364FF4">
        <w:trPr>
          <w:trHeight w:val="295"/>
          <w:jc w:val="center"/>
        </w:trPr>
        <w:tc>
          <w:tcPr>
            <w:tcW w:w="923" w:type="dxa"/>
            <w:tcBorders>
              <w:top w:val="nil"/>
              <w:left w:val="nil"/>
              <w:bottom w:val="nil"/>
              <w:right w:val="nil"/>
            </w:tcBorders>
            <w:shd w:val="clear" w:color="auto" w:fill="auto"/>
          </w:tcPr>
          <w:p w14:paraId="6F84989B" w14:textId="77777777" w:rsidR="00364FF4" w:rsidRPr="00735BE6" w:rsidRDefault="00364FF4" w:rsidP="00364FF4">
            <w:pPr>
              <w:jc w:val="both"/>
              <w:rPr>
                <w:rFonts w:ascii="David" w:hAnsi="David"/>
              </w:rPr>
            </w:pPr>
            <w:r w:rsidRPr="00735BE6">
              <w:rPr>
                <w:rFonts w:ascii="David" w:hAnsi="David" w:hint="cs"/>
                <w:rtl/>
              </w:rPr>
              <w:t>ל</w:t>
            </w:r>
            <w:r w:rsidRPr="00735BE6">
              <w:rPr>
                <w:rFonts w:ascii="David" w:hAnsi="David"/>
                <w:rtl/>
              </w:rPr>
              <w:t xml:space="preserve">פני </w:t>
            </w:r>
          </w:p>
        </w:tc>
        <w:tc>
          <w:tcPr>
            <w:tcW w:w="7897" w:type="dxa"/>
            <w:gridSpan w:val="2"/>
            <w:tcBorders>
              <w:top w:val="nil"/>
              <w:left w:val="nil"/>
              <w:bottom w:val="nil"/>
              <w:right w:val="nil"/>
            </w:tcBorders>
            <w:shd w:val="clear" w:color="auto" w:fill="auto"/>
          </w:tcPr>
          <w:p w14:paraId="4CDF592F" w14:textId="77777777" w:rsidR="00364FF4" w:rsidRPr="00735BE6" w:rsidRDefault="00364FF4" w:rsidP="00B11FE6">
            <w:pPr>
              <w:rPr>
                <w:rFonts w:ascii="David" w:hAnsi="David"/>
                <w:b/>
                <w:bCs/>
                <w:rtl/>
              </w:rPr>
            </w:pPr>
            <w:r w:rsidRPr="00735BE6">
              <w:rPr>
                <w:rFonts w:ascii="David" w:hAnsi="David"/>
                <w:b/>
                <w:bCs/>
                <w:rtl/>
              </w:rPr>
              <w:t>כבוד השופט  ארנון איתן</w:t>
            </w:r>
          </w:p>
          <w:p w14:paraId="2F6D490D" w14:textId="77777777" w:rsidR="00364FF4" w:rsidRPr="00735BE6" w:rsidRDefault="00364FF4" w:rsidP="00B11FE6">
            <w:pPr>
              <w:rPr>
                <w:rFonts w:ascii="David" w:hAnsi="David"/>
                <w:rtl/>
              </w:rPr>
            </w:pPr>
          </w:p>
          <w:p w14:paraId="0E983D8F" w14:textId="77777777" w:rsidR="00364FF4" w:rsidRPr="00735BE6" w:rsidRDefault="00364FF4" w:rsidP="00364FF4">
            <w:pPr>
              <w:jc w:val="both"/>
              <w:rPr>
                <w:rFonts w:ascii="David" w:hAnsi="David"/>
              </w:rPr>
            </w:pPr>
          </w:p>
        </w:tc>
      </w:tr>
      <w:tr w:rsidR="00364FF4" w:rsidRPr="00735BE6" w14:paraId="78F49B6B" w14:textId="77777777" w:rsidTr="00364FF4">
        <w:trPr>
          <w:trHeight w:val="355"/>
          <w:jc w:val="center"/>
        </w:trPr>
        <w:tc>
          <w:tcPr>
            <w:tcW w:w="923" w:type="dxa"/>
            <w:tcBorders>
              <w:top w:val="nil"/>
              <w:left w:val="nil"/>
              <w:bottom w:val="nil"/>
              <w:right w:val="nil"/>
            </w:tcBorders>
            <w:shd w:val="clear" w:color="auto" w:fill="auto"/>
          </w:tcPr>
          <w:p w14:paraId="66A37621" w14:textId="77777777" w:rsidR="00364FF4" w:rsidRPr="00735BE6" w:rsidRDefault="00364FF4" w:rsidP="00364FF4">
            <w:pPr>
              <w:jc w:val="both"/>
              <w:rPr>
                <w:rFonts w:ascii="David" w:hAnsi="David"/>
              </w:rPr>
            </w:pPr>
            <w:bookmarkStart w:id="1" w:name="FirstAppellant"/>
            <w:r w:rsidRPr="00735BE6">
              <w:rPr>
                <w:rFonts w:ascii="David" w:hAnsi="David"/>
                <w:rtl/>
              </w:rPr>
              <w:t>בעניין:</w:t>
            </w:r>
          </w:p>
        </w:tc>
        <w:tc>
          <w:tcPr>
            <w:tcW w:w="3219" w:type="dxa"/>
            <w:tcBorders>
              <w:top w:val="nil"/>
              <w:left w:val="nil"/>
              <w:bottom w:val="nil"/>
              <w:right w:val="nil"/>
            </w:tcBorders>
            <w:shd w:val="clear" w:color="auto" w:fill="auto"/>
          </w:tcPr>
          <w:p w14:paraId="27F7AD47" w14:textId="77777777" w:rsidR="00364FF4" w:rsidRPr="00735BE6" w:rsidRDefault="00364FF4" w:rsidP="00364FF4">
            <w:pPr>
              <w:suppressLineNumbers/>
            </w:pPr>
            <w:r w:rsidRPr="00735BE6">
              <w:rPr>
                <w:rFonts w:ascii="Arial" w:hAnsi="Arial" w:hint="cs"/>
                <w:b/>
                <w:bCs/>
                <w:rtl/>
              </w:rPr>
              <w:t>ה</w:t>
            </w:r>
            <w:r w:rsidRPr="00735BE6">
              <w:rPr>
                <w:rFonts w:ascii="Arial" w:hAnsi="Arial"/>
                <w:b/>
                <w:bCs/>
                <w:rtl/>
              </w:rPr>
              <w:t>מאשימה</w:t>
            </w:r>
          </w:p>
          <w:p w14:paraId="63BF4133" w14:textId="77777777" w:rsidR="00364FF4" w:rsidRPr="00735BE6" w:rsidRDefault="00364FF4" w:rsidP="00B11FE6">
            <w:pPr>
              <w:rPr>
                <w:rFonts w:ascii="David" w:hAnsi="David"/>
              </w:rPr>
            </w:pPr>
          </w:p>
        </w:tc>
        <w:tc>
          <w:tcPr>
            <w:tcW w:w="4678" w:type="dxa"/>
            <w:tcBorders>
              <w:top w:val="nil"/>
              <w:left w:val="nil"/>
              <w:bottom w:val="nil"/>
              <w:right w:val="nil"/>
            </w:tcBorders>
            <w:shd w:val="clear" w:color="auto" w:fill="auto"/>
            <w:vAlign w:val="center"/>
          </w:tcPr>
          <w:p w14:paraId="3B353B83" w14:textId="77777777" w:rsidR="00364FF4" w:rsidRPr="00735BE6" w:rsidRDefault="00364FF4" w:rsidP="00364FF4">
            <w:pPr>
              <w:suppressLineNumbers/>
              <w:rPr>
                <w:rFonts w:ascii="Arial" w:hAnsi="Arial"/>
                <w:b/>
                <w:bCs/>
                <w:rtl/>
              </w:rPr>
            </w:pPr>
            <w:r w:rsidRPr="00735BE6">
              <w:rPr>
                <w:rFonts w:ascii="Arial" w:hAnsi="Arial"/>
                <w:b/>
                <w:bCs/>
                <w:rtl/>
              </w:rPr>
              <w:t>מדינת ישראל</w:t>
            </w:r>
            <w:r w:rsidRPr="00735BE6">
              <w:rPr>
                <w:rFonts w:ascii="Arial" w:hAnsi="Arial" w:hint="cs"/>
                <w:b/>
                <w:bCs/>
                <w:rtl/>
              </w:rPr>
              <w:t xml:space="preserve"> </w:t>
            </w:r>
          </w:p>
          <w:p w14:paraId="0438DF58" w14:textId="77777777" w:rsidR="00364FF4" w:rsidRPr="00735BE6" w:rsidRDefault="00364FF4" w:rsidP="00364FF4">
            <w:pPr>
              <w:suppressLineNumbers/>
            </w:pPr>
            <w:r w:rsidRPr="00735BE6">
              <w:rPr>
                <w:rFonts w:ascii="Arial" w:hAnsi="Arial" w:hint="cs"/>
                <w:rtl/>
              </w:rPr>
              <w:t>באמצעות פרקליטות מחוז ירושלים</w:t>
            </w:r>
          </w:p>
          <w:p w14:paraId="14DCE2C7" w14:textId="77777777" w:rsidR="00364FF4" w:rsidRPr="00735BE6" w:rsidRDefault="00364FF4" w:rsidP="00B11FE6">
            <w:pPr>
              <w:rPr>
                <w:rFonts w:ascii="David" w:hAnsi="David"/>
              </w:rPr>
            </w:pPr>
          </w:p>
        </w:tc>
      </w:tr>
      <w:bookmarkEnd w:id="1"/>
      <w:tr w:rsidR="00364FF4" w:rsidRPr="00735BE6" w14:paraId="32E921A1" w14:textId="77777777" w:rsidTr="00364FF4">
        <w:trPr>
          <w:trHeight w:val="355"/>
          <w:jc w:val="center"/>
        </w:trPr>
        <w:tc>
          <w:tcPr>
            <w:tcW w:w="923" w:type="dxa"/>
            <w:tcBorders>
              <w:top w:val="nil"/>
              <w:left w:val="nil"/>
              <w:bottom w:val="nil"/>
              <w:right w:val="nil"/>
            </w:tcBorders>
            <w:shd w:val="clear" w:color="auto" w:fill="auto"/>
          </w:tcPr>
          <w:p w14:paraId="5AFB61BD" w14:textId="77777777" w:rsidR="00364FF4" w:rsidRPr="00735BE6" w:rsidRDefault="00364FF4" w:rsidP="00364FF4">
            <w:pPr>
              <w:jc w:val="both"/>
              <w:rPr>
                <w:rFonts w:ascii="David" w:hAnsi="David"/>
                <w:rtl/>
              </w:rPr>
            </w:pPr>
          </w:p>
        </w:tc>
        <w:tc>
          <w:tcPr>
            <w:tcW w:w="7897" w:type="dxa"/>
            <w:gridSpan w:val="2"/>
            <w:tcBorders>
              <w:top w:val="nil"/>
              <w:left w:val="nil"/>
              <w:bottom w:val="nil"/>
              <w:right w:val="nil"/>
            </w:tcBorders>
            <w:shd w:val="clear" w:color="auto" w:fill="auto"/>
          </w:tcPr>
          <w:p w14:paraId="78E171E3" w14:textId="77777777" w:rsidR="00364FF4" w:rsidRPr="00735BE6" w:rsidRDefault="00364FF4" w:rsidP="00364FF4">
            <w:pPr>
              <w:jc w:val="center"/>
              <w:rPr>
                <w:rFonts w:ascii="David" w:hAnsi="David"/>
                <w:b/>
                <w:bCs/>
                <w:rtl/>
              </w:rPr>
            </w:pPr>
          </w:p>
          <w:p w14:paraId="7BDB16AF" w14:textId="77777777" w:rsidR="00364FF4" w:rsidRPr="00735BE6" w:rsidRDefault="00364FF4" w:rsidP="00364FF4">
            <w:pPr>
              <w:jc w:val="center"/>
              <w:rPr>
                <w:rFonts w:ascii="David" w:hAnsi="David"/>
                <w:b/>
                <w:bCs/>
                <w:rtl/>
              </w:rPr>
            </w:pPr>
            <w:r w:rsidRPr="00735BE6">
              <w:rPr>
                <w:rFonts w:ascii="David" w:hAnsi="David"/>
                <w:b/>
                <w:bCs/>
                <w:rtl/>
              </w:rPr>
              <w:t>נגד</w:t>
            </w:r>
          </w:p>
          <w:p w14:paraId="1F023648" w14:textId="77777777" w:rsidR="00364FF4" w:rsidRPr="00735BE6" w:rsidRDefault="00364FF4" w:rsidP="00364FF4">
            <w:pPr>
              <w:jc w:val="both"/>
              <w:rPr>
                <w:rFonts w:ascii="David" w:hAnsi="David"/>
              </w:rPr>
            </w:pPr>
          </w:p>
        </w:tc>
      </w:tr>
      <w:tr w:rsidR="00364FF4" w:rsidRPr="00735BE6" w14:paraId="74B0676C" w14:textId="77777777" w:rsidTr="00364FF4">
        <w:trPr>
          <w:trHeight w:val="355"/>
          <w:jc w:val="center"/>
        </w:trPr>
        <w:tc>
          <w:tcPr>
            <w:tcW w:w="923" w:type="dxa"/>
            <w:tcBorders>
              <w:top w:val="nil"/>
              <w:left w:val="nil"/>
              <w:bottom w:val="nil"/>
              <w:right w:val="nil"/>
            </w:tcBorders>
            <w:shd w:val="clear" w:color="auto" w:fill="auto"/>
          </w:tcPr>
          <w:p w14:paraId="34BBDD2E" w14:textId="77777777" w:rsidR="00364FF4" w:rsidRPr="00735BE6" w:rsidRDefault="00364FF4" w:rsidP="00B11FE6">
            <w:pPr>
              <w:rPr>
                <w:rFonts w:ascii="David" w:hAnsi="David"/>
                <w:rtl/>
              </w:rPr>
            </w:pPr>
            <w:bookmarkStart w:id="2" w:name="FirstLawyer"/>
          </w:p>
        </w:tc>
        <w:tc>
          <w:tcPr>
            <w:tcW w:w="3219" w:type="dxa"/>
            <w:tcBorders>
              <w:top w:val="nil"/>
              <w:left w:val="nil"/>
              <w:bottom w:val="nil"/>
              <w:right w:val="nil"/>
            </w:tcBorders>
            <w:shd w:val="clear" w:color="auto" w:fill="auto"/>
          </w:tcPr>
          <w:p w14:paraId="2620F053" w14:textId="77777777" w:rsidR="00364FF4" w:rsidRPr="00735BE6" w:rsidRDefault="00364FF4" w:rsidP="00B11FE6">
            <w:pPr>
              <w:rPr>
                <w:rFonts w:ascii="Arial" w:hAnsi="Arial"/>
                <w:b/>
                <w:bCs/>
                <w:rtl/>
              </w:rPr>
            </w:pPr>
            <w:r w:rsidRPr="00735BE6">
              <w:rPr>
                <w:rFonts w:ascii="Arial" w:hAnsi="Arial"/>
                <w:b/>
                <w:bCs/>
                <w:rtl/>
              </w:rPr>
              <w:t>הנאשם</w:t>
            </w:r>
          </w:p>
        </w:tc>
        <w:tc>
          <w:tcPr>
            <w:tcW w:w="4678" w:type="dxa"/>
            <w:tcBorders>
              <w:top w:val="nil"/>
              <w:left w:val="nil"/>
              <w:bottom w:val="nil"/>
              <w:right w:val="nil"/>
            </w:tcBorders>
            <w:shd w:val="clear" w:color="auto" w:fill="auto"/>
            <w:vAlign w:val="center"/>
          </w:tcPr>
          <w:p w14:paraId="58B065FC" w14:textId="77777777" w:rsidR="00364FF4" w:rsidRPr="00735BE6" w:rsidRDefault="00364FF4" w:rsidP="00364FF4">
            <w:pPr>
              <w:suppressLineNumbers/>
              <w:rPr>
                <w:rFonts w:ascii="Arial" w:hAnsi="Arial"/>
                <w:b/>
                <w:bCs/>
                <w:rtl/>
              </w:rPr>
            </w:pPr>
            <w:r w:rsidRPr="00735BE6">
              <w:rPr>
                <w:rFonts w:ascii="Arial" w:hAnsi="Arial"/>
                <w:b/>
                <w:bCs/>
                <w:rtl/>
              </w:rPr>
              <w:t>מוסא סלאמה (עציר)</w:t>
            </w:r>
            <w:r w:rsidRPr="00735BE6">
              <w:rPr>
                <w:rFonts w:ascii="Arial" w:hAnsi="Arial" w:hint="cs"/>
                <w:b/>
                <w:bCs/>
                <w:rtl/>
              </w:rPr>
              <w:t xml:space="preserve"> </w:t>
            </w:r>
          </w:p>
          <w:p w14:paraId="0245597B" w14:textId="77777777" w:rsidR="00364FF4" w:rsidRPr="00735BE6" w:rsidRDefault="00364FF4" w:rsidP="00364FF4">
            <w:pPr>
              <w:suppressLineNumbers/>
            </w:pPr>
            <w:r w:rsidRPr="00735BE6">
              <w:rPr>
                <w:rFonts w:ascii="Arial" w:hAnsi="Arial"/>
                <w:rtl/>
              </w:rPr>
              <w:t>ע"י ב"כ עוה"ד</w:t>
            </w:r>
            <w:r w:rsidRPr="00735BE6">
              <w:rPr>
                <w:rFonts w:hint="cs"/>
                <w:rtl/>
              </w:rPr>
              <w:t xml:space="preserve"> אמיר נבון</w:t>
            </w:r>
          </w:p>
          <w:p w14:paraId="39866A7F" w14:textId="77777777" w:rsidR="00364FF4" w:rsidRPr="00735BE6" w:rsidRDefault="00364FF4" w:rsidP="00B11FE6">
            <w:pPr>
              <w:rPr>
                <w:rFonts w:ascii="David" w:hAnsi="David"/>
              </w:rPr>
            </w:pPr>
          </w:p>
        </w:tc>
      </w:tr>
      <w:bookmarkEnd w:id="2"/>
    </w:tbl>
    <w:p w14:paraId="2E7C908C" w14:textId="77777777" w:rsidR="00735BE6" w:rsidRPr="00735BE6" w:rsidRDefault="00735BE6" w:rsidP="00735BE6">
      <w:pPr>
        <w:spacing w:before="120" w:after="120" w:line="240" w:lineRule="exact"/>
        <w:ind w:left="283" w:hanging="283"/>
        <w:jc w:val="both"/>
        <w:rPr>
          <w:rFonts w:ascii="FrankRuehl" w:hAnsi="FrankRuehl" w:cs="FrankRuehl"/>
          <w:rtl/>
        </w:rPr>
      </w:pPr>
    </w:p>
    <w:p w14:paraId="7BC21D81" w14:textId="77777777" w:rsidR="00735BE6" w:rsidRPr="00735BE6" w:rsidRDefault="00735BE6" w:rsidP="00735BE6">
      <w:pPr>
        <w:rPr>
          <w:sz w:val="26"/>
          <w:szCs w:val="26"/>
          <w:rtl/>
        </w:rPr>
      </w:pPr>
    </w:p>
    <w:p w14:paraId="60F2C51D" w14:textId="77777777" w:rsidR="00CB58EB" w:rsidRPr="00CB58EB" w:rsidRDefault="00CB58EB" w:rsidP="00CB58EB">
      <w:pPr>
        <w:spacing w:before="120" w:after="120" w:line="240" w:lineRule="exact"/>
        <w:ind w:left="283" w:hanging="283"/>
        <w:jc w:val="both"/>
        <w:rPr>
          <w:rFonts w:ascii="FrankRuehl" w:hAnsi="FrankRuehl" w:cs="FrankRuehl"/>
          <w:rtl/>
        </w:rPr>
      </w:pPr>
    </w:p>
    <w:p w14:paraId="5C80CF10" w14:textId="77777777" w:rsidR="009A3373" w:rsidRPr="009A3373" w:rsidRDefault="009A3373" w:rsidP="009A3373">
      <w:pPr>
        <w:spacing w:before="120" w:after="120" w:line="240" w:lineRule="exact"/>
        <w:ind w:left="283" w:hanging="283"/>
        <w:jc w:val="both"/>
        <w:rPr>
          <w:rFonts w:ascii="FrankRuehl" w:hAnsi="FrankRuehl" w:cs="FrankRuehl"/>
          <w:rtl/>
        </w:rPr>
      </w:pPr>
    </w:p>
    <w:p w14:paraId="5494775F" w14:textId="77777777" w:rsidR="00FD4E86" w:rsidRDefault="00FD4E86" w:rsidP="00FD4E86">
      <w:pPr>
        <w:rPr>
          <w:sz w:val="26"/>
          <w:szCs w:val="26"/>
          <w:rtl/>
        </w:rPr>
      </w:pPr>
      <w:bookmarkStart w:id="3" w:name="LawTable"/>
      <w:bookmarkEnd w:id="3"/>
    </w:p>
    <w:p w14:paraId="5EB45A31" w14:textId="77777777" w:rsidR="00FD4E86" w:rsidRPr="00FD4E86" w:rsidRDefault="00FD4E86" w:rsidP="00FD4E86">
      <w:pPr>
        <w:spacing w:before="120" w:after="120" w:line="240" w:lineRule="exact"/>
        <w:ind w:left="283" w:hanging="283"/>
        <w:jc w:val="both"/>
        <w:rPr>
          <w:rFonts w:ascii="FrankRuehl" w:hAnsi="FrankRuehl" w:cs="FrankRuehl"/>
          <w:rtl/>
        </w:rPr>
      </w:pPr>
    </w:p>
    <w:p w14:paraId="47F4EC1B" w14:textId="77777777" w:rsidR="00FD4E86" w:rsidRPr="00FD4E86" w:rsidRDefault="00FD4E86" w:rsidP="00FD4E86">
      <w:pPr>
        <w:spacing w:before="120" w:after="120" w:line="240" w:lineRule="exact"/>
        <w:ind w:left="283" w:hanging="283"/>
        <w:jc w:val="both"/>
        <w:rPr>
          <w:rFonts w:ascii="FrankRuehl" w:hAnsi="FrankRuehl" w:cs="FrankRuehl"/>
          <w:rtl/>
        </w:rPr>
      </w:pPr>
    </w:p>
    <w:p w14:paraId="1A12ADA4" w14:textId="77777777" w:rsidR="00FD4E86" w:rsidRPr="00FD4E86" w:rsidRDefault="00FD4E86" w:rsidP="00FD4E86">
      <w:pPr>
        <w:spacing w:before="120" w:after="120" w:line="240" w:lineRule="exact"/>
        <w:ind w:left="283" w:hanging="283"/>
        <w:jc w:val="both"/>
        <w:rPr>
          <w:rFonts w:ascii="FrankRuehl" w:hAnsi="FrankRuehl" w:cs="FrankRuehl"/>
          <w:rtl/>
        </w:rPr>
      </w:pPr>
      <w:r w:rsidRPr="00FD4E86">
        <w:rPr>
          <w:rFonts w:ascii="FrankRuehl" w:hAnsi="FrankRuehl" w:cs="FrankRuehl"/>
          <w:rtl/>
        </w:rPr>
        <w:t xml:space="preserve">חקיקה שאוזכרה: </w:t>
      </w:r>
    </w:p>
    <w:p w14:paraId="599C1A48" w14:textId="77777777" w:rsidR="00FD4E86" w:rsidRPr="00FD4E86" w:rsidRDefault="00FD4E86" w:rsidP="00FD4E86">
      <w:pPr>
        <w:spacing w:before="120" w:after="120" w:line="240" w:lineRule="exact"/>
        <w:ind w:left="283" w:hanging="283"/>
        <w:jc w:val="both"/>
        <w:rPr>
          <w:rFonts w:ascii="FrankRuehl" w:hAnsi="FrankRuehl" w:cs="FrankRuehl"/>
          <w:rtl/>
        </w:rPr>
      </w:pPr>
      <w:hyperlink r:id="rId7" w:history="1">
        <w:r w:rsidRPr="00FD4E86">
          <w:rPr>
            <w:rFonts w:ascii="FrankRuehl" w:hAnsi="FrankRuehl" w:cs="FrankRuehl"/>
            <w:color w:val="0000FF"/>
            <w:rtl/>
          </w:rPr>
          <w:t>חוק העונשין, תשל"ז-1977</w:t>
        </w:r>
      </w:hyperlink>
      <w:r w:rsidRPr="00FD4E86">
        <w:rPr>
          <w:rFonts w:ascii="FrankRuehl" w:hAnsi="FrankRuehl" w:cs="FrankRuehl"/>
          <w:rtl/>
        </w:rPr>
        <w:t xml:space="preserve">: סע'  </w:t>
      </w:r>
      <w:hyperlink r:id="rId8" w:history="1">
        <w:r w:rsidRPr="00FD4E86">
          <w:rPr>
            <w:rFonts w:ascii="FrankRuehl" w:hAnsi="FrankRuehl" w:cs="FrankRuehl"/>
            <w:color w:val="0000FF"/>
            <w:rtl/>
          </w:rPr>
          <w:t>144</w:t>
        </w:r>
      </w:hyperlink>
      <w:r w:rsidRPr="00FD4E86">
        <w:rPr>
          <w:rFonts w:ascii="FrankRuehl" w:hAnsi="FrankRuehl" w:cs="FrankRuehl"/>
          <w:rtl/>
        </w:rPr>
        <w:t xml:space="preserve">, </w:t>
      </w:r>
      <w:hyperlink r:id="rId9" w:history="1">
        <w:r w:rsidRPr="00FD4E86">
          <w:rPr>
            <w:rFonts w:ascii="FrankRuehl" w:hAnsi="FrankRuehl" w:cs="FrankRuehl"/>
            <w:color w:val="0000FF"/>
            <w:rtl/>
          </w:rPr>
          <w:t>144(א)</w:t>
        </w:r>
      </w:hyperlink>
    </w:p>
    <w:p w14:paraId="54A934B7" w14:textId="77777777" w:rsidR="00FD4E86" w:rsidRPr="00FD4E86" w:rsidRDefault="00FD4E86" w:rsidP="00FD4E86">
      <w:pPr>
        <w:rPr>
          <w:sz w:val="26"/>
          <w:szCs w:val="26"/>
          <w:rtl/>
        </w:rPr>
      </w:pPr>
      <w:bookmarkStart w:id="4" w:name="LawTable_End"/>
      <w:bookmarkEnd w:id="4"/>
    </w:p>
    <w:p w14:paraId="7A583448" w14:textId="77777777" w:rsidR="00CB58EB" w:rsidRPr="009A3373" w:rsidRDefault="00CB58EB" w:rsidP="009A3373">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64FF4" w:rsidRPr="00432751" w14:paraId="0B34AA0B" w14:textId="77777777" w:rsidTr="00364FF4">
        <w:trPr>
          <w:trHeight w:val="355"/>
          <w:jc w:val="center"/>
        </w:trPr>
        <w:tc>
          <w:tcPr>
            <w:tcW w:w="8820" w:type="dxa"/>
            <w:tcBorders>
              <w:top w:val="nil"/>
              <w:left w:val="nil"/>
              <w:bottom w:val="nil"/>
              <w:right w:val="nil"/>
            </w:tcBorders>
            <w:shd w:val="clear" w:color="auto" w:fill="auto"/>
          </w:tcPr>
          <w:p w14:paraId="24DAAC43" w14:textId="77777777" w:rsidR="00735BE6" w:rsidRPr="00735BE6" w:rsidRDefault="00735BE6" w:rsidP="00735BE6">
            <w:pPr>
              <w:jc w:val="center"/>
              <w:rPr>
                <w:rFonts w:ascii="David" w:hAnsi="David"/>
                <w:b/>
                <w:bCs/>
                <w:u w:val="single"/>
                <w:rtl/>
              </w:rPr>
            </w:pPr>
            <w:bookmarkStart w:id="5" w:name="PsakDin" w:colFirst="0" w:colLast="0"/>
            <w:bookmarkEnd w:id="0"/>
            <w:r w:rsidRPr="00735BE6">
              <w:rPr>
                <w:rFonts w:ascii="David" w:hAnsi="David"/>
                <w:b/>
                <w:bCs/>
                <w:u w:val="single"/>
                <w:rtl/>
              </w:rPr>
              <w:t>גזר דין</w:t>
            </w:r>
          </w:p>
          <w:p w14:paraId="740F54C9" w14:textId="77777777" w:rsidR="00364FF4" w:rsidRPr="00735BE6" w:rsidRDefault="00364FF4" w:rsidP="00735BE6">
            <w:pPr>
              <w:jc w:val="center"/>
              <w:rPr>
                <w:rFonts w:ascii="David" w:hAnsi="David"/>
                <w:bCs/>
                <w:u w:val="single"/>
                <w:rtl/>
              </w:rPr>
            </w:pPr>
          </w:p>
        </w:tc>
      </w:tr>
    </w:tbl>
    <w:p w14:paraId="7E6C27C2" w14:textId="77777777" w:rsidR="00364FF4" w:rsidRPr="00432751" w:rsidRDefault="00364FF4" w:rsidP="00364FF4">
      <w:pPr>
        <w:rPr>
          <w:rFonts w:ascii="Arial" w:hAnsi="Arial"/>
          <w:b/>
          <w:bCs/>
          <w:rtl/>
        </w:rPr>
      </w:pPr>
      <w:bookmarkStart w:id="6" w:name="ABSTRACT_START"/>
      <w:bookmarkEnd w:id="5"/>
      <w:bookmarkEnd w:id="6"/>
    </w:p>
    <w:p w14:paraId="163E2D6C" w14:textId="77777777" w:rsidR="00364FF4" w:rsidRPr="00432751" w:rsidRDefault="00364FF4" w:rsidP="00364FF4">
      <w:pPr>
        <w:pStyle w:val="a9"/>
        <w:numPr>
          <w:ilvl w:val="0"/>
          <w:numId w:val="1"/>
        </w:numPr>
        <w:spacing w:line="360" w:lineRule="auto"/>
        <w:jc w:val="both"/>
        <w:rPr>
          <w:rFonts w:ascii="Arial" w:hAnsi="Arial"/>
        </w:rPr>
      </w:pPr>
      <w:r w:rsidRPr="00432751">
        <w:rPr>
          <w:rFonts w:ascii="Arial" w:hAnsi="Arial" w:hint="cs"/>
          <w:rtl/>
        </w:rPr>
        <w:t>הנאשם הורשע על פי הודאתו ובמסגרת הסדר טעון ב</w:t>
      </w:r>
      <w:r>
        <w:rPr>
          <w:rFonts w:ascii="Arial" w:hAnsi="Arial" w:hint="cs"/>
          <w:rtl/>
        </w:rPr>
        <w:t>כתב אישום מתוקן ב</w:t>
      </w:r>
      <w:r w:rsidRPr="00432751">
        <w:rPr>
          <w:rFonts w:ascii="Arial" w:hAnsi="Arial" w:hint="cs"/>
          <w:rtl/>
        </w:rPr>
        <w:t xml:space="preserve">עבירה של החזקת נשק לפי </w:t>
      </w:r>
      <w:hyperlink r:id="rId10" w:history="1">
        <w:r w:rsidR="00CB58EB" w:rsidRPr="00CB58EB">
          <w:rPr>
            <w:rStyle w:val="Hyperlink"/>
            <w:rFonts w:ascii="Arial" w:hAnsi="Arial" w:hint="eastAsia"/>
            <w:rtl/>
          </w:rPr>
          <w:t>סעיף</w:t>
        </w:r>
        <w:r w:rsidR="00CB58EB" w:rsidRPr="00CB58EB">
          <w:rPr>
            <w:rStyle w:val="Hyperlink"/>
            <w:rFonts w:ascii="Arial" w:hAnsi="Arial"/>
            <w:rtl/>
          </w:rPr>
          <w:t xml:space="preserve"> 144(א)</w:t>
        </w:r>
      </w:hyperlink>
      <w:r w:rsidRPr="00432751">
        <w:rPr>
          <w:rFonts w:ascii="Arial" w:hAnsi="Arial" w:hint="cs"/>
          <w:rtl/>
        </w:rPr>
        <w:t xml:space="preserve"> רישא ל</w:t>
      </w:r>
      <w:hyperlink r:id="rId11" w:history="1">
        <w:r w:rsidR="00735BE6" w:rsidRPr="00735BE6">
          <w:rPr>
            <w:rFonts w:ascii="Arial" w:hAnsi="Arial"/>
            <w:color w:val="0000FF"/>
            <w:u w:val="single"/>
            <w:rtl/>
          </w:rPr>
          <w:t>חוק העונשין</w:t>
        </w:r>
      </w:hyperlink>
      <w:r w:rsidRPr="00432751">
        <w:rPr>
          <w:rFonts w:ascii="Arial" w:hAnsi="Arial" w:hint="cs"/>
          <w:rtl/>
        </w:rPr>
        <w:t>, תשל"ז 1977.</w:t>
      </w:r>
    </w:p>
    <w:p w14:paraId="6A614A18" w14:textId="77777777" w:rsidR="00364FF4" w:rsidRDefault="00364FF4" w:rsidP="00364FF4">
      <w:pPr>
        <w:pStyle w:val="a9"/>
        <w:numPr>
          <w:ilvl w:val="0"/>
          <w:numId w:val="1"/>
        </w:numPr>
        <w:spacing w:line="360" w:lineRule="auto"/>
        <w:jc w:val="both"/>
        <w:rPr>
          <w:rFonts w:ascii="Arial" w:hAnsi="Arial"/>
        </w:rPr>
      </w:pPr>
      <w:r>
        <w:rPr>
          <w:rFonts w:ascii="Arial" w:hAnsi="Arial" w:hint="cs"/>
          <w:rtl/>
        </w:rPr>
        <w:t>על פי הנטען בכתב האישום, הנאשם הינו בעלים של חברה אשר משרדיה ממוקמים ברחוב ואדי אל ג'וז 17 בירושלים.</w:t>
      </w:r>
    </w:p>
    <w:p w14:paraId="31646DF6" w14:textId="77777777" w:rsidR="00364FF4" w:rsidRDefault="00364FF4" w:rsidP="00364FF4">
      <w:pPr>
        <w:pStyle w:val="a9"/>
        <w:numPr>
          <w:ilvl w:val="0"/>
          <w:numId w:val="1"/>
        </w:numPr>
        <w:spacing w:line="360" w:lineRule="auto"/>
        <w:jc w:val="both"/>
        <w:rPr>
          <w:rFonts w:ascii="Arial" w:hAnsi="Arial"/>
        </w:rPr>
      </w:pPr>
      <w:bookmarkStart w:id="7" w:name="ABSTRACT_END"/>
      <w:bookmarkEnd w:id="7"/>
      <w:r>
        <w:rPr>
          <w:rFonts w:ascii="Arial" w:hAnsi="Arial" w:hint="cs"/>
          <w:rtl/>
        </w:rPr>
        <w:t>עובר ליום 29.4.2023 או בסמוך, במועד שאינו ידוע במדויק, החל סכסוך בין משפחת אבו עסב למשפחת סלאמה, מסיבות שאינן ידועות למאשימה.</w:t>
      </w:r>
    </w:p>
    <w:p w14:paraId="74DB37C7" w14:textId="77777777" w:rsidR="00364FF4" w:rsidRDefault="00364FF4" w:rsidP="00364FF4">
      <w:pPr>
        <w:pStyle w:val="a9"/>
        <w:numPr>
          <w:ilvl w:val="0"/>
          <w:numId w:val="1"/>
        </w:numPr>
        <w:spacing w:line="360" w:lineRule="auto"/>
        <w:jc w:val="both"/>
        <w:rPr>
          <w:rFonts w:ascii="Arial" w:hAnsi="Arial"/>
        </w:rPr>
      </w:pPr>
      <w:r>
        <w:rPr>
          <w:rFonts w:ascii="Arial" w:hAnsi="Arial" w:hint="cs"/>
          <w:rtl/>
        </w:rPr>
        <w:t>ביום 29.4.2023 סמוך לשעה 14:00, התקהלו הנאשם ואחרים במשרד, בין היתר במטרה להיערך לסכסוך עם משפחת אבו עסב, תוך שחלקם מחזיקים אלות וגז מדמיע.</w:t>
      </w:r>
    </w:p>
    <w:p w14:paraId="18F7BD17" w14:textId="77777777" w:rsidR="00364FF4" w:rsidRDefault="00364FF4" w:rsidP="00364FF4">
      <w:pPr>
        <w:pStyle w:val="a9"/>
        <w:numPr>
          <w:ilvl w:val="0"/>
          <w:numId w:val="1"/>
        </w:numPr>
        <w:spacing w:line="360" w:lineRule="auto"/>
        <w:jc w:val="both"/>
        <w:rPr>
          <w:rFonts w:ascii="Arial" w:hAnsi="Arial"/>
        </w:rPr>
      </w:pPr>
      <w:r>
        <w:rPr>
          <w:rFonts w:ascii="Arial" w:hAnsi="Arial" w:hint="cs"/>
          <w:rtl/>
        </w:rPr>
        <w:lastRenderedPageBreak/>
        <w:t>סמוך למתואר, באופן שאינו ידוע למאשימה, הוחזק במשרדו של הנאשם אקדח חצי אוטומט</w:t>
      </w:r>
      <w:r>
        <w:rPr>
          <w:rFonts w:ascii="Arial" w:hAnsi="Arial" w:hint="eastAsia"/>
          <w:rtl/>
        </w:rPr>
        <w:t>י</w:t>
      </w:r>
      <w:r>
        <w:rPr>
          <w:rFonts w:ascii="Arial" w:hAnsi="Arial" w:hint="cs"/>
          <w:rtl/>
        </w:rPr>
        <w:t xml:space="preserve"> מסוג בארטה תוצרת איטליה קליבר </w:t>
      </w:r>
      <w:r w:rsidRPr="0073421A">
        <w:rPr>
          <w:rFonts w:ascii="David" w:hAnsi="David"/>
          <w:sz w:val="22"/>
          <w:szCs w:val="22"/>
          <w:rtl/>
        </w:rPr>
        <w:t>22</w:t>
      </w:r>
      <w:r w:rsidRPr="0073421A">
        <w:rPr>
          <w:rFonts w:ascii="David" w:hAnsi="David"/>
          <w:sz w:val="22"/>
          <w:szCs w:val="22"/>
        </w:rPr>
        <w:t>LR</w:t>
      </w:r>
      <w:r w:rsidRPr="0073421A">
        <w:rPr>
          <w:rFonts w:ascii="David" w:hAnsi="David"/>
          <w:sz w:val="22"/>
          <w:szCs w:val="22"/>
          <w:rtl/>
        </w:rPr>
        <w:t xml:space="preserve"> 22</w:t>
      </w:r>
      <w:r>
        <w:rPr>
          <w:rFonts w:ascii="Arial" w:hAnsi="Arial" w:hint="cs"/>
          <w:rtl/>
        </w:rPr>
        <w:t xml:space="preserve"> מס' סידורי </w:t>
      </w:r>
      <w:r w:rsidRPr="00EF580B">
        <w:rPr>
          <w:rFonts w:ascii="David" w:hAnsi="David"/>
          <w:sz w:val="22"/>
          <w:szCs w:val="22"/>
        </w:rPr>
        <w:t>A27804U</w:t>
      </w:r>
      <w:r>
        <w:rPr>
          <w:rFonts w:ascii="Arial" w:hAnsi="Arial" w:hint="cs"/>
          <w:rtl/>
        </w:rPr>
        <w:t xml:space="preserve"> אשר יורה ובכוחו להמית אדם, עם מחסנית בגוף האקדח ובתוכה תשעה כדורים.</w:t>
      </w:r>
    </w:p>
    <w:p w14:paraId="731DCF21" w14:textId="77777777" w:rsidR="00364FF4" w:rsidRDefault="00364FF4" w:rsidP="00364FF4">
      <w:pPr>
        <w:pStyle w:val="a9"/>
        <w:numPr>
          <w:ilvl w:val="0"/>
          <w:numId w:val="1"/>
        </w:numPr>
        <w:spacing w:line="360" w:lineRule="auto"/>
        <w:jc w:val="both"/>
        <w:rPr>
          <w:rFonts w:ascii="Arial" w:hAnsi="Arial"/>
        </w:rPr>
      </w:pPr>
      <w:r>
        <w:rPr>
          <w:rFonts w:ascii="Arial" w:hAnsi="Arial" w:hint="cs"/>
          <w:rtl/>
        </w:rPr>
        <w:t>בשלב מסוים, בשעה 16:22 נכנס באסם ג'אעפרה לחדר הנמצא במשרד כשהוא נושא את האקדח בידיו, עם מסכה על צווארו וכפפה מכסה את ידו הימנית. אדם אחר שזהותו אינה ידועה למאשימה, הכניס לחדר פיסת בד ורודה, אז יצא באסם מהחדר שהוא מחזיק בידו הימנית את האקדח ובידו השמאלית את פיסת הבד. באסם הסתובב במשרד מספר דקות כאשר הוא מחזיק את האקדח ומנקה אותו באמצעות פיסת הבד.</w:t>
      </w:r>
    </w:p>
    <w:p w14:paraId="59A01288" w14:textId="77777777" w:rsidR="00364FF4" w:rsidRDefault="00364FF4" w:rsidP="00364FF4">
      <w:pPr>
        <w:pStyle w:val="a9"/>
        <w:numPr>
          <w:ilvl w:val="0"/>
          <w:numId w:val="1"/>
        </w:numPr>
        <w:spacing w:line="360" w:lineRule="auto"/>
        <w:jc w:val="both"/>
        <w:rPr>
          <w:rFonts w:ascii="Arial" w:hAnsi="Arial"/>
        </w:rPr>
      </w:pPr>
      <w:r>
        <w:rPr>
          <w:rFonts w:ascii="Arial" w:hAnsi="Arial" w:hint="cs"/>
          <w:rtl/>
        </w:rPr>
        <w:t>אז ניגש הנאשם לבאסם, לקח את האקדח וניקה אותו באמצעות פיסת הבד בין השעות 16:23:20 ועד 16:23:28 בשלב מסוים, יצא הנאשם מהמשרד ובאסם מספר שניות לאחר מכן, והשניים חזרו לאחר מספר דקות.</w:t>
      </w:r>
    </w:p>
    <w:p w14:paraId="6CF3DAD2" w14:textId="77777777" w:rsidR="00364FF4" w:rsidRDefault="00364FF4" w:rsidP="00364FF4">
      <w:pPr>
        <w:pStyle w:val="a9"/>
        <w:numPr>
          <w:ilvl w:val="0"/>
          <w:numId w:val="1"/>
        </w:numPr>
        <w:spacing w:line="360" w:lineRule="auto"/>
        <w:jc w:val="both"/>
        <w:rPr>
          <w:rFonts w:ascii="Arial" w:hAnsi="Arial"/>
        </w:rPr>
      </w:pPr>
      <w:r>
        <w:rPr>
          <w:rFonts w:ascii="Arial" w:hAnsi="Arial" w:hint="cs"/>
          <w:rtl/>
        </w:rPr>
        <w:t>בזמן שאינו ידוע במדויק למאשימה, העבירו הנאשם ובאסם את האקדח לתוך ארגז הנמצא בפתח המשרד, על גבי מדפים המשמשים את המשרד. בשעה 16:37 נכנסו שוטרים לתוך המשרד, ובשעה 16:44 או בסמוך לכך, נתפס האקדח על ידי השוטרים.</w:t>
      </w:r>
    </w:p>
    <w:p w14:paraId="621EAE50" w14:textId="77777777" w:rsidR="00364FF4" w:rsidRDefault="00364FF4" w:rsidP="00364FF4">
      <w:pPr>
        <w:pStyle w:val="a9"/>
        <w:numPr>
          <w:ilvl w:val="0"/>
          <w:numId w:val="1"/>
        </w:numPr>
        <w:spacing w:line="360" w:lineRule="auto"/>
        <w:jc w:val="both"/>
        <w:rPr>
          <w:rFonts w:ascii="Arial" w:hAnsi="Arial"/>
        </w:rPr>
      </w:pPr>
      <w:r w:rsidRPr="00F3690B">
        <w:rPr>
          <w:rFonts w:ascii="Arial" w:hAnsi="Arial" w:hint="cs"/>
          <w:rtl/>
        </w:rPr>
        <w:t>סוכם בין הצדדים כי הטעון לעונש היה חופשי, ושהנאשם י</w:t>
      </w:r>
      <w:r>
        <w:rPr>
          <w:rFonts w:ascii="Arial" w:hAnsi="Arial" w:hint="cs"/>
          <w:rtl/>
        </w:rPr>
        <w:t>וכל לטעו</w:t>
      </w:r>
      <w:r w:rsidRPr="00F3690B">
        <w:rPr>
          <w:rFonts w:ascii="Arial" w:hAnsi="Arial" w:hint="cs"/>
          <w:rtl/>
        </w:rPr>
        <w:t>ן</w:t>
      </w:r>
      <w:r>
        <w:rPr>
          <w:rFonts w:ascii="Arial" w:hAnsi="Arial" w:hint="cs"/>
          <w:rtl/>
        </w:rPr>
        <w:t>,</w:t>
      </w:r>
      <w:r w:rsidRPr="00F3690B">
        <w:rPr>
          <w:rFonts w:ascii="Arial" w:hAnsi="Arial" w:hint="cs"/>
          <w:rtl/>
        </w:rPr>
        <w:t xml:space="preserve"> כי אין למאשימה ראיות לכך שהנשק היה מלכתחילה במשרד, והמאשימה לא תביא ראיות לסתור זאת</w:t>
      </w:r>
      <w:r>
        <w:rPr>
          <w:rFonts w:ascii="Arial" w:hAnsi="Arial" w:hint="cs"/>
          <w:rtl/>
        </w:rPr>
        <w:t>.</w:t>
      </w:r>
    </w:p>
    <w:p w14:paraId="4E120F00" w14:textId="77777777" w:rsidR="00364FF4" w:rsidRDefault="00364FF4" w:rsidP="00364FF4">
      <w:pPr>
        <w:pStyle w:val="a9"/>
        <w:numPr>
          <w:ilvl w:val="0"/>
          <w:numId w:val="1"/>
        </w:numPr>
        <w:spacing w:line="360" w:lineRule="auto"/>
        <w:jc w:val="both"/>
        <w:rPr>
          <w:rFonts w:ascii="Arial" w:hAnsi="Arial"/>
        </w:rPr>
      </w:pPr>
      <w:r>
        <w:rPr>
          <w:rFonts w:ascii="Arial" w:hAnsi="Arial" w:hint="cs"/>
          <w:rtl/>
        </w:rPr>
        <w:t>המאשימה ציינה, שהערכים בהם פגע הנאשם הינם שלום הציבור, ביטחונו ושלטון החוק, ובמיוחד בעת הזו, נוכח שימוש נרחב בכלי נשק שאינם חוקיים.</w:t>
      </w:r>
    </w:p>
    <w:p w14:paraId="25D647F8" w14:textId="77777777" w:rsidR="00364FF4" w:rsidRDefault="00364FF4" w:rsidP="00364FF4">
      <w:pPr>
        <w:pStyle w:val="a9"/>
        <w:numPr>
          <w:ilvl w:val="0"/>
          <w:numId w:val="1"/>
        </w:numPr>
        <w:spacing w:line="360" w:lineRule="auto"/>
        <w:jc w:val="both"/>
        <w:rPr>
          <w:rFonts w:ascii="Arial" w:hAnsi="Arial"/>
        </w:rPr>
      </w:pPr>
      <w:r>
        <w:rPr>
          <w:rFonts w:ascii="Arial" w:hAnsi="Arial" w:hint="cs"/>
          <w:rtl/>
        </w:rPr>
        <w:t>המאשימה ביקשה לקבוע את המתחם החל מ-18 חודשים ועד 36 חודשים לצד ענישה נלווית.</w:t>
      </w:r>
    </w:p>
    <w:p w14:paraId="2893CE2F" w14:textId="77777777" w:rsidR="00364FF4" w:rsidRDefault="00364FF4" w:rsidP="00364FF4">
      <w:pPr>
        <w:pStyle w:val="a9"/>
        <w:numPr>
          <w:ilvl w:val="0"/>
          <w:numId w:val="1"/>
        </w:numPr>
        <w:spacing w:line="360" w:lineRule="auto"/>
        <w:jc w:val="both"/>
        <w:rPr>
          <w:rFonts w:ascii="Arial" w:hAnsi="Arial"/>
        </w:rPr>
      </w:pPr>
      <w:r>
        <w:rPr>
          <w:rFonts w:ascii="Arial" w:hAnsi="Arial" w:hint="cs"/>
          <w:rtl/>
        </w:rPr>
        <w:t>בנסיבות בהן המדובר בהחזקה אקטיבית מצד הנאשם, לצד פוטנציאל סיכון גבוה- נוכח הסכסוך הקיים כפי המתואר באישום, לרבות רישום בעבירת ביטחון משנת 2018, ביקשה המאשימה להטיל על הנאשם 24 חודשי מאסר לצד ענישה נלווית.</w:t>
      </w:r>
    </w:p>
    <w:p w14:paraId="4959B9CA" w14:textId="77777777" w:rsidR="00364FF4" w:rsidRPr="0008117A" w:rsidRDefault="00364FF4" w:rsidP="00364FF4">
      <w:pPr>
        <w:pStyle w:val="a9"/>
        <w:numPr>
          <w:ilvl w:val="0"/>
          <w:numId w:val="1"/>
        </w:numPr>
        <w:spacing w:line="360" w:lineRule="auto"/>
        <w:jc w:val="both"/>
        <w:rPr>
          <w:rFonts w:ascii="Arial" w:hAnsi="Arial"/>
        </w:rPr>
      </w:pPr>
      <w:r w:rsidRPr="0008117A">
        <w:rPr>
          <w:rFonts w:ascii="Arial" w:hAnsi="Arial" w:hint="cs"/>
          <w:rtl/>
        </w:rPr>
        <w:t>לדברי הסנגור המדובר בהחזקה רגעית של נשק למשך מספר שניות בודדות, ו</w:t>
      </w:r>
      <w:r>
        <w:rPr>
          <w:rFonts w:ascii="Arial" w:hAnsi="Arial" w:hint="cs"/>
          <w:rtl/>
        </w:rPr>
        <w:t xml:space="preserve">בנוסף </w:t>
      </w:r>
      <w:r w:rsidRPr="0008117A">
        <w:rPr>
          <w:rFonts w:ascii="Arial" w:hAnsi="Arial" w:hint="cs"/>
          <w:rtl/>
        </w:rPr>
        <w:t xml:space="preserve">החזקה קונסטרוקטיבית, ובסה"כ למשך 21 דקות, ועל כן יכול וייחשב הדבר כנסיבה לקולא (כך בהתאם לפסיקה אותה הגיש). צוין, כי המדובר בכלי נשק שאינו שייך לנאשם, אשר הוחזק במקום לצורך הגנה, כאשר לא נעשה בו כל שימוש. בנסיבות אלו ביקש הסנגור לקבוע את המתחם החל מ-8 עד 9 חודשים, ולהסתפק בתקופת המעצר בה נתון הנאשם. בהתייחס לנסיבותיו האישיות של הנאשם, צוין כי </w:t>
      </w:r>
      <w:r>
        <w:rPr>
          <w:rFonts w:ascii="Arial" w:hAnsi="Arial" w:hint="cs"/>
          <w:rtl/>
        </w:rPr>
        <w:t>בבעלות ה</w:t>
      </w:r>
      <w:r w:rsidRPr="0008117A">
        <w:rPr>
          <w:rFonts w:ascii="Arial" w:hAnsi="Arial" w:hint="cs"/>
          <w:rtl/>
        </w:rPr>
        <w:t xml:space="preserve">נאשם חברה המספקת מוצרי חלב </w:t>
      </w:r>
      <w:r>
        <w:rPr>
          <w:rFonts w:ascii="Arial" w:hAnsi="Arial" w:hint="cs"/>
          <w:rtl/>
        </w:rPr>
        <w:t>ל</w:t>
      </w:r>
      <w:r w:rsidRPr="0008117A">
        <w:rPr>
          <w:rFonts w:ascii="Arial" w:hAnsi="Arial" w:hint="cs"/>
          <w:rtl/>
        </w:rPr>
        <w:t xml:space="preserve">כל </w:t>
      </w:r>
      <w:r>
        <w:rPr>
          <w:rFonts w:ascii="Arial" w:hAnsi="Arial" w:hint="cs"/>
          <w:rtl/>
        </w:rPr>
        <w:t xml:space="preserve">אזור </w:t>
      </w:r>
      <w:r w:rsidRPr="0008117A">
        <w:rPr>
          <w:rFonts w:ascii="Arial" w:hAnsi="Arial" w:hint="cs"/>
          <w:rtl/>
        </w:rPr>
        <w:t>עוטף ירושלים ובשטחי האזור.</w:t>
      </w:r>
    </w:p>
    <w:p w14:paraId="1239569F" w14:textId="77777777" w:rsidR="00364FF4" w:rsidRDefault="00364FF4" w:rsidP="00364FF4">
      <w:pPr>
        <w:pStyle w:val="a9"/>
        <w:numPr>
          <w:ilvl w:val="0"/>
          <w:numId w:val="1"/>
        </w:numPr>
        <w:spacing w:line="360" w:lineRule="auto"/>
        <w:jc w:val="both"/>
        <w:rPr>
          <w:rFonts w:ascii="Arial" w:hAnsi="Arial"/>
        </w:rPr>
      </w:pPr>
      <w:r>
        <w:rPr>
          <w:rFonts w:ascii="Arial" w:hAnsi="Arial" w:hint="cs"/>
          <w:rtl/>
        </w:rPr>
        <w:t xml:space="preserve">הנאשם ביקש לשוב למשפחתו, ולהסתפק בתקופת המעצר אותה ריצה עד כה. </w:t>
      </w:r>
    </w:p>
    <w:p w14:paraId="3CBCDC3E" w14:textId="77777777" w:rsidR="00364FF4" w:rsidRPr="009168B8" w:rsidRDefault="00364FF4" w:rsidP="00364FF4">
      <w:pPr>
        <w:spacing w:line="360" w:lineRule="auto"/>
        <w:ind w:firstLine="720"/>
        <w:jc w:val="both"/>
        <w:rPr>
          <w:rFonts w:ascii="Arial" w:hAnsi="Arial"/>
          <w:b/>
          <w:bCs/>
        </w:rPr>
      </w:pPr>
      <w:r w:rsidRPr="009168B8">
        <w:rPr>
          <w:rFonts w:ascii="Arial" w:hAnsi="Arial" w:hint="cs"/>
          <w:b/>
          <w:bCs/>
          <w:u w:val="single"/>
          <w:rtl/>
        </w:rPr>
        <w:t>דיון</w:t>
      </w:r>
      <w:r w:rsidRPr="009168B8">
        <w:rPr>
          <w:rFonts w:ascii="Arial" w:hAnsi="Arial" w:hint="cs"/>
          <w:b/>
          <w:bCs/>
          <w:rtl/>
        </w:rPr>
        <w:t>:</w:t>
      </w:r>
    </w:p>
    <w:p w14:paraId="3459FF21" w14:textId="77777777" w:rsidR="00364FF4" w:rsidRDefault="00364FF4" w:rsidP="00364FF4">
      <w:pPr>
        <w:pStyle w:val="a9"/>
        <w:numPr>
          <w:ilvl w:val="0"/>
          <w:numId w:val="1"/>
        </w:numPr>
        <w:spacing w:line="360" w:lineRule="auto"/>
        <w:jc w:val="both"/>
        <w:rPr>
          <w:rFonts w:ascii="Arial" w:hAnsi="Arial"/>
        </w:rPr>
      </w:pPr>
      <w:r w:rsidRPr="00AB5EE9">
        <w:rPr>
          <w:rFonts w:ascii="Arial" w:hAnsi="Arial"/>
          <w:rtl/>
        </w:rPr>
        <w:t xml:space="preserve">הערך החברתי המוגן העומד בבסיס עבירות הנשק </w:t>
      </w:r>
      <w:r w:rsidRPr="00AB5EE9">
        <w:rPr>
          <w:rFonts w:ascii="Arial" w:hAnsi="Arial" w:hint="cs"/>
          <w:rtl/>
        </w:rPr>
        <w:t>הינו ה</w:t>
      </w:r>
      <w:r w:rsidRPr="00AB5EE9">
        <w:rPr>
          <w:rFonts w:ascii="Arial" w:hAnsi="Arial"/>
          <w:rtl/>
        </w:rPr>
        <w:t>הגנה על שלום הציבור וביטחונו. בעבירות מסוג זה, גלום סיכון רב לשימוש בנשק שאינ</w:t>
      </w:r>
      <w:r w:rsidRPr="00AB5EE9">
        <w:rPr>
          <w:rFonts w:ascii="Arial" w:hAnsi="Arial" w:hint="cs"/>
          <w:rtl/>
        </w:rPr>
        <w:t>ו</w:t>
      </w:r>
      <w:r w:rsidRPr="00AB5EE9">
        <w:rPr>
          <w:rFonts w:ascii="Arial" w:hAnsi="Arial"/>
          <w:rtl/>
        </w:rPr>
        <w:t xml:space="preserve"> חוקי על ידי המחזיק ב</w:t>
      </w:r>
      <w:r w:rsidRPr="00AB5EE9">
        <w:rPr>
          <w:rFonts w:ascii="Arial" w:hAnsi="Arial" w:hint="cs"/>
          <w:rtl/>
        </w:rPr>
        <w:t>ו</w:t>
      </w:r>
      <w:r w:rsidRPr="00AB5EE9">
        <w:rPr>
          <w:rFonts w:ascii="Arial" w:hAnsi="Arial"/>
          <w:rtl/>
        </w:rPr>
        <w:t xml:space="preserve"> לצורך </w:t>
      </w:r>
      <w:r w:rsidRPr="00AB5EE9">
        <w:rPr>
          <w:rFonts w:ascii="Arial" w:hAnsi="Arial"/>
          <w:rtl/>
        </w:rPr>
        <w:lastRenderedPageBreak/>
        <w:t>ביצוע</w:t>
      </w:r>
      <w:r w:rsidRPr="00AB5EE9">
        <w:rPr>
          <w:rFonts w:ascii="Arial" w:hAnsi="Arial" w:hint="cs"/>
          <w:rtl/>
        </w:rPr>
        <w:t>ן של</w:t>
      </w:r>
      <w:r w:rsidRPr="00AB5EE9">
        <w:rPr>
          <w:rFonts w:ascii="Arial" w:hAnsi="Arial"/>
          <w:rtl/>
        </w:rPr>
        <w:t xml:space="preserve"> עבירות פליליות, וה</w:t>
      </w:r>
      <w:r w:rsidRPr="00AB5EE9">
        <w:rPr>
          <w:rFonts w:ascii="Arial" w:hAnsi="Arial" w:hint="cs"/>
          <w:rtl/>
        </w:rPr>
        <w:t xml:space="preserve">וא </w:t>
      </w:r>
      <w:r w:rsidRPr="00AB5EE9">
        <w:rPr>
          <w:rFonts w:ascii="Arial" w:hAnsi="Arial"/>
          <w:rtl/>
        </w:rPr>
        <w:t>עלול להגיע לגורמים עברייניים העוסקים בפעילות פלילית</w:t>
      </w:r>
      <w:r>
        <w:rPr>
          <w:rFonts w:ascii="Arial" w:hAnsi="Arial" w:hint="cs"/>
          <w:rtl/>
        </w:rPr>
        <w:t>, או אף חמור מכך, לביצוע עבירות ביטחון</w:t>
      </w:r>
      <w:r w:rsidRPr="00AB5EE9">
        <w:rPr>
          <w:rFonts w:ascii="Arial" w:hAnsi="Arial" w:hint="cs"/>
          <w:rtl/>
        </w:rPr>
        <w:t xml:space="preserve">. </w:t>
      </w:r>
    </w:p>
    <w:p w14:paraId="7B9D6F33" w14:textId="77777777" w:rsidR="00364FF4" w:rsidRDefault="00364FF4" w:rsidP="00364FF4">
      <w:pPr>
        <w:pStyle w:val="a9"/>
        <w:numPr>
          <w:ilvl w:val="0"/>
          <w:numId w:val="1"/>
        </w:numPr>
        <w:spacing w:line="360" w:lineRule="auto"/>
        <w:jc w:val="both"/>
        <w:rPr>
          <w:rFonts w:ascii="Arial" w:hAnsi="Arial"/>
        </w:rPr>
      </w:pPr>
      <w:r w:rsidRPr="001C1EFC">
        <w:rPr>
          <w:rFonts w:ascii="Arial" w:hAnsi="Arial" w:hint="cs"/>
          <w:rtl/>
        </w:rPr>
        <w:t xml:space="preserve">בענייננו, </w:t>
      </w:r>
      <w:r>
        <w:rPr>
          <w:rFonts w:ascii="Arial" w:hAnsi="Arial" w:hint="cs"/>
          <w:rtl/>
        </w:rPr>
        <w:t>סוכם בין הצדדים כי הנאשם יוכל לטעון ש</w:t>
      </w:r>
      <w:r w:rsidRPr="001C1EFC">
        <w:rPr>
          <w:rFonts w:ascii="Arial" w:hAnsi="Arial" w:hint="cs"/>
          <w:rtl/>
        </w:rPr>
        <w:t>כלי הנשק לא הוחזק מלכתחילה במשרדו</w:t>
      </w:r>
      <w:r>
        <w:rPr>
          <w:rFonts w:ascii="Arial" w:hAnsi="Arial" w:hint="cs"/>
          <w:rtl/>
        </w:rPr>
        <w:t xml:space="preserve">, והמאשימה לא תביא ראיות לסתור זאת. לכך משקל בקביעת המתחם שכן אין בנסיבות האירוע כדי ללמד על החזקה בכלי הנשק במשרדו של הנאשם, טרם המתואר בכתב האישום, אף לא שכלי הנשק הובא על ידי הנאשם בשלב כלשהו למשרד, אלא שבשלב מסוים ולמשך מספר שניות גם הנאשם החזיק בו באופן ממשי, ומשך זמן רב יותר של כ-20 דקות ההחזקה הינה קונסטרוקטיבית מכוח הימצאותו של האקדח במשרד. בנוסף, ובסיומו של האירוע, </w:t>
      </w:r>
      <w:r w:rsidRPr="00CC7B00">
        <w:rPr>
          <w:rFonts w:ascii="Arial" w:hAnsi="Arial"/>
          <w:rtl/>
        </w:rPr>
        <w:t xml:space="preserve">הנשק והתחמושת נתפסו על ידי </w:t>
      </w:r>
      <w:r>
        <w:rPr>
          <w:rFonts w:ascii="Arial" w:hAnsi="Arial" w:hint="cs"/>
          <w:rtl/>
        </w:rPr>
        <w:t xml:space="preserve">כוח שיטור שהגיע למקום. מן העבר השני יש להביא בחשבון את העובדה שהצטיידות בכלי נשק חם </w:t>
      </w:r>
      <w:r w:rsidRPr="001C1EFC">
        <w:rPr>
          <w:rFonts w:ascii="Arial" w:hAnsi="Arial" w:hint="cs"/>
          <w:rtl/>
        </w:rPr>
        <w:t>, אקדח טעון במחסנית עם 9 כדורים תואמים, מבסס רף חומרה</w:t>
      </w:r>
      <w:r>
        <w:rPr>
          <w:rFonts w:ascii="Arial" w:hAnsi="Arial" w:hint="cs"/>
          <w:rtl/>
        </w:rPr>
        <w:t xml:space="preserve"> גבוה, ודאי בנסיבות בהן </w:t>
      </w:r>
      <w:r w:rsidRPr="001C1EFC">
        <w:rPr>
          <w:rFonts w:ascii="Arial" w:hAnsi="Arial" w:hint="cs"/>
          <w:rtl/>
        </w:rPr>
        <w:t xml:space="preserve">הרקע למעשה נעוץ </w:t>
      </w:r>
      <w:r>
        <w:rPr>
          <w:rFonts w:ascii="Arial" w:hAnsi="Arial" w:hint="cs"/>
          <w:rtl/>
        </w:rPr>
        <w:t xml:space="preserve">היה </w:t>
      </w:r>
      <w:r w:rsidRPr="001C1EFC">
        <w:rPr>
          <w:rFonts w:ascii="Arial" w:hAnsi="Arial" w:hint="cs"/>
          <w:rtl/>
        </w:rPr>
        <w:t>בסכסוך בין משפחת הנאשם למשפחה אחרת</w:t>
      </w:r>
      <w:r w:rsidRPr="001C1EFC">
        <w:rPr>
          <w:rFonts w:ascii="Arial" w:hAnsi="Arial"/>
          <w:rtl/>
        </w:rPr>
        <w:t>.</w:t>
      </w:r>
      <w:r w:rsidRPr="001C1EFC">
        <w:rPr>
          <w:rFonts w:ascii="Arial" w:hAnsi="Arial" w:hint="cs"/>
          <w:rtl/>
        </w:rPr>
        <w:t xml:space="preserve"> </w:t>
      </w:r>
      <w:r>
        <w:rPr>
          <w:rFonts w:ascii="Arial" w:hAnsi="Arial" w:hint="cs"/>
          <w:rtl/>
        </w:rPr>
        <w:t xml:space="preserve">על פי </w:t>
      </w:r>
      <w:r w:rsidRPr="001C1EFC">
        <w:rPr>
          <w:rFonts w:ascii="Arial" w:hAnsi="Arial" w:hint="cs"/>
          <w:rtl/>
        </w:rPr>
        <w:t xml:space="preserve">כתב האישום, באותו מעמד </w:t>
      </w:r>
      <w:r>
        <w:rPr>
          <w:rFonts w:ascii="Arial" w:hAnsi="Arial" w:hint="cs"/>
          <w:rtl/>
        </w:rPr>
        <w:t xml:space="preserve">נכחו </w:t>
      </w:r>
      <w:r w:rsidRPr="001C1EFC">
        <w:rPr>
          <w:rFonts w:ascii="Arial" w:hAnsi="Arial" w:hint="cs"/>
          <w:rtl/>
        </w:rPr>
        <w:t>במשרד אנשים נוספים, זולת הנאשם, לצורך היערכות לסכסוך</w:t>
      </w:r>
      <w:r>
        <w:rPr>
          <w:rFonts w:ascii="Arial" w:hAnsi="Arial" w:hint="cs"/>
          <w:rtl/>
        </w:rPr>
        <w:t>,</w:t>
      </w:r>
      <w:r w:rsidRPr="001C1EFC">
        <w:rPr>
          <w:rFonts w:ascii="Arial" w:hAnsi="Arial" w:hint="cs"/>
          <w:rtl/>
        </w:rPr>
        <w:t xml:space="preserve"> כשברשותם אלות וגז מדמיע. אף התיאור העובדתי באשר לאופן התנהלותו של באסם, ונוכחותו במשרד</w:t>
      </w:r>
      <w:r>
        <w:rPr>
          <w:rFonts w:ascii="Arial" w:hAnsi="Arial" w:hint="cs"/>
          <w:rtl/>
        </w:rPr>
        <w:t>,</w:t>
      </w:r>
      <w:r w:rsidRPr="001C1EFC">
        <w:rPr>
          <w:rFonts w:ascii="Arial" w:hAnsi="Arial" w:hint="cs"/>
          <w:rtl/>
        </w:rPr>
        <w:t xml:space="preserve"> </w:t>
      </w:r>
      <w:r w:rsidRPr="001C1EFC">
        <w:rPr>
          <w:rFonts w:ascii="Arial" w:hAnsi="Arial"/>
          <w:rtl/>
        </w:rPr>
        <w:t>כ</w:t>
      </w:r>
      <w:r w:rsidRPr="001C1EFC">
        <w:rPr>
          <w:rFonts w:ascii="Arial" w:hAnsi="Arial" w:hint="cs"/>
          <w:rtl/>
        </w:rPr>
        <w:t xml:space="preserve">אשר </w:t>
      </w:r>
      <w:r w:rsidRPr="001C1EFC">
        <w:rPr>
          <w:rFonts w:ascii="Arial" w:hAnsi="Arial"/>
          <w:rtl/>
        </w:rPr>
        <w:t>הוא נושא את האקדח בידיו עם מסכה על צווארו וכפפה מכסה את ידו הימנית</w:t>
      </w:r>
      <w:r w:rsidRPr="001C1EFC">
        <w:rPr>
          <w:rFonts w:ascii="Arial" w:hAnsi="Arial" w:hint="cs"/>
          <w:rtl/>
        </w:rPr>
        <w:t xml:space="preserve">, מלמדת על התארגנות </w:t>
      </w:r>
      <w:r>
        <w:rPr>
          <w:rFonts w:ascii="Arial" w:hAnsi="Arial" w:hint="cs"/>
          <w:rtl/>
        </w:rPr>
        <w:t>לקראת אירוע אלים</w:t>
      </w:r>
      <w:r w:rsidRPr="001C1EFC">
        <w:rPr>
          <w:rFonts w:ascii="Arial" w:hAnsi="Arial" w:hint="cs"/>
          <w:rtl/>
        </w:rPr>
        <w:t xml:space="preserve">. </w:t>
      </w:r>
      <w:r>
        <w:rPr>
          <w:rFonts w:ascii="Arial" w:hAnsi="Arial" w:hint="cs"/>
          <w:rtl/>
        </w:rPr>
        <w:t>הנאשם כאמור לא ישב בחיבוק ידיים, אלא לקח בשלב מסוים את ה</w:t>
      </w:r>
      <w:r w:rsidRPr="001C1EFC">
        <w:rPr>
          <w:rFonts w:ascii="Arial" w:hAnsi="Arial" w:hint="cs"/>
          <w:rtl/>
        </w:rPr>
        <w:t xml:space="preserve">נשק </w:t>
      </w:r>
      <w:r>
        <w:rPr>
          <w:rFonts w:ascii="Arial" w:hAnsi="Arial" w:hint="cs"/>
          <w:rtl/>
        </w:rPr>
        <w:t xml:space="preserve">מבאסם, החזיקו </w:t>
      </w:r>
      <w:r w:rsidRPr="001C1EFC">
        <w:rPr>
          <w:rFonts w:ascii="Arial" w:hAnsi="Arial" w:hint="cs"/>
          <w:rtl/>
        </w:rPr>
        <w:t>למשך מספר שניות תוך שהוא מנקה אותו באמצעות פיסת בד</w:t>
      </w:r>
      <w:r>
        <w:rPr>
          <w:rFonts w:ascii="Arial" w:hAnsi="Arial" w:hint="cs"/>
          <w:rtl/>
        </w:rPr>
        <w:t xml:space="preserve">, ובהמשך הניחו אותו שניהם בארגז המצוי בכניסה למשרד. </w:t>
      </w:r>
    </w:p>
    <w:p w14:paraId="61BFEC0A" w14:textId="77777777" w:rsidR="00364FF4" w:rsidRPr="00571247" w:rsidRDefault="00364FF4" w:rsidP="00364FF4">
      <w:pPr>
        <w:pStyle w:val="a9"/>
        <w:numPr>
          <w:ilvl w:val="0"/>
          <w:numId w:val="1"/>
        </w:numPr>
        <w:spacing w:line="360" w:lineRule="auto"/>
        <w:jc w:val="both"/>
        <w:rPr>
          <w:rFonts w:ascii="Arial" w:hAnsi="Arial"/>
          <w:rtl/>
        </w:rPr>
      </w:pPr>
      <w:r w:rsidRPr="00571247">
        <w:rPr>
          <w:rFonts w:ascii="Arial" w:hAnsi="Arial"/>
          <w:rtl/>
        </w:rPr>
        <w:t xml:space="preserve">במסגרת </w:t>
      </w:r>
      <w:hyperlink r:id="rId12" w:history="1">
        <w:r w:rsidR="00735BE6" w:rsidRPr="00735BE6">
          <w:rPr>
            <w:rFonts w:ascii="Arial" w:hAnsi="Arial"/>
            <w:color w:val="0000FF"/>
            <w:u w:val="single"/>
            <w:rtl/>
          </w:rPr>
          <w:t>רע"פ 5613/20</w:t>
        </w:r>
      </w:hyperlink>
      <w:r w:rsidRPr="00571247">
        <w:rPr>
          <w:rFonts w:ascii="Arial" w:hAnsi="Arial"/>
          <w:rtl/>
        </w:rPr>
        <w:t xml:space="preserve"> </w:t>
      </w:r>
      <w:r w:rsidRPr="009168B8">
        <w:rPr>
          <w:rFonts w:ascii="Arial" w:hAnsi="Arial"/>
          <w:b/>
          <w:bCs/>
          <w:rtl/>
        </w:rPr>
        <w:t>אלהוזייל נגד מדינת ישראל</w:t>
      </w:r>
      <w:r w:rsidRPr="00571247">
        <w:rPr>
          <w:rFonts w:ascii="Arial" w:hAnsi="Arial"/>
          <w:rtl/>
        </w:rPr>
        <w:t xml:space="preserve"> (25.8.2020) ציין בית המשפט את הדברים הבאים:</w:t>
      </w:r>
    </w:p>
    <w:p w14:paraId="1ACF26DC" w14:textId="77777777" w:rsidR="00364FF4" w:rsidRDefault="00364FF4" w:rsidP="00364FF4">
      <w:pPr>
        <w:spacing w:line="360" w:lineRule="auto"/>
        <w:ind w:left="720"/>
        <w:jc w:val="both"/>
        <w:rPr>
          <w:rFonts w:ascii="Arial" w:hAnsi="Arial"/>
          <w:sz w:val="22"/>
          <w:szCs w:val="22"/>
          <w:rtl/>
        </w:rPr>
      </w:pPr>
      <w:r w:rsidRPr="00571247">
        <w:rPr>
          <w:rFonts w:ascii="Arial" w:hAnsi="Arial"/>
          <w:sz w:val="22"/>
          <w:szCs w:val="22"/>
          <w:rtl/>
        </w:rPr>
        <w:t>"לגופם של דברים, 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13" w:history="1">
        <w:r w:rsidR="00735BE6" w:rsidRPr="00735BE6">
          <w:rPr>
            <w:rFonts w:ascii="Arial" w:hAnsi="Arial"/>
            <w:color w:val="0000FF"/>
            <w:sz w:val="22"/>
            <w:szCs w:val="22"/>
            <w:u w:val="single"/>
            <w:rtl/>
          </w:rPr>
          <w:t>ע"פ 4406/19</w:t>
        </w:r>
      </w:hyperlink>
      <w:r w:rsidRPr="00571247">
        <w:rPr>
          <w:rFonts w:ascii="Arial" w:hAnsi="Arial"/>
          <w:sz w:val="22"/>
          <w:szCs w:val="22"/>
          <w:rtl/>
        </w:rPr>
        <w:t xml:space="preserve"> מדינת ישראל נ' סובח, [פורסם בנבו] פסקאות 16–17 לחוות דעתי (5.11.2019); </w:t>
      </w:r>
      <w:hyperlink r:id="rId14" w:history="1">
        <w:r w:rsidR="00735BE6" w:rsidRPr="00735BE6">
          <w:rPr>
            <w:rFonts w:ascii="Arial" w:hAnsi="Arial"/>
            <w:color w:val="0000FF"/>
            <w:sz w:val="22"/>
            <w:szCs w:val="22"/>
            <w:u w:val="single"/>
            <w:rtl/>
          </w:rPr>
          <w:t>רע"פ 7344/18</w:t>
        </w:r>
      </w:hyperlink>
      <w:r w:rsidRPr="00571247">
        <w:rPr>
          <w:rFonts w:ascii="Arial" w:hAnsi="Arial"/>
          <w:sz w:val="22"/>
          <w:szCs w:val="22"/>
          <w:rtl/>
        </w:rPr>
        <w:t xml:space="preserve"> מג'יד נ' מדינת ישראל, [פורסם בנבו] פסקה 10 (21.10.2018))".</w:t>
      </w:r>
    </w:p>
    <w:p w14:paraId="181276A1" w14:textId="77777777" w:rsidR="00364FF4" w:rsidRDefault="00364FF4" w:rsidP="00364FF4">
      <w:pPr>
        <w:spacing w:line="360" w:lineRule="auto"/>
        <w:ind w:left="720"/>
        <w:rPr>
          <w:rFonts w:ascii="Arial" w:hAnsi="Arial"/>
          <w:rtl/>
        </w:rPr>
      </w:pPr>
    </w:p>
    <w:p w14:paraId="175DB484" w14:textId="77777777" w:rsidR="00364FF4" w:rsidRPr="007C22BB" w:rsidRDefault="00364FF4" w:rsidP="00364FF4">
      <w:pPr>
        <w:spacing w:line="360" w:lineRule="auto"/>
        <w:ind w:left="720"/>
        <w:rPr>
          <w:rFonts w:ascii="Arial" w:hAnsi="Arial"/>
          <w:rtl/>
        </w:rPr>
      </w:pPr>
      <w:r w:rsidRPr="007C22BB">
        <w:rPr>
          <w:rFonts w:ascii="Arial" w:hAnsi="Arial" w:hint="cs"/>
          <w:rtl/>
        </w:rPr>
        <w:t xml:space="preserve">וראו גם:  </w:t>
      </w:r>
      <w:hyperlink r:id="rId15" w:history="1">
        <w:r w:rsidR="00735BE6" w:rsidRPr="00735BE6">
          <w:rPr>
            <w:rFonts w:ascii="Arial" w:hAnsi="Arial"/>
            <w:color w:val="0000FF"/>
            <w:u w:val="single"/>
            <w:rtl/>
          </w:rPr>
          <w:t>ע"פ 8416/09</w:t>
        </w:r>
      </w:hyperlink>
      <w:r w:rsidRPr="007C22BB">
        <w:rPr>
          <w:rFonts w:ascii="Arial" w:hAnsi="Arial"/>
          <w:rtl/>
        </w:rPr>
        <w:t xml:space="preserve"> </w:t>
      </w:r>
      <w:r w:rsidRPr="007C22BB">
        <w:rPr>
          <w:rFonts w:ascii="Arial" w:hAnsi="Arial"/>
          <w:b/>
          <w:bCs/>
          <w:rtl/>
        </w:rPr>
        <w:t>מדינת ישראל נ' חרבוש ואח'</w:t>
      </w:r>
      <w:r w:rsidRPr="007C22BB">
        <w:rPr>
          <w:rFonts w:ascii="Arial" w:hAnsi="Arial"/>
          <w:rtl/>
        </w:rPr>
        <w:t xml:space="preserve"> </w:t>
      </w:r>
      <w:r>
        <w:rPr>
          <w:rFonts w:ascii="Arial" w:hAnsi="Arial" w:hint="cs"/>
          <w:rtl/>
        </w:rPr>
        <w:t>(9.6.2010)</w:t>
      </w:r>
      <w:r w:rsidRPr="007C22BB">
        <w:rPr>
          <w:rFonts w:ascii="Arial" w:hAnsi="Arial"/>
          <w:rtl/>
        </w:rPr>
        <w:t>:</w:t>
      </w:r>
    </w:p>
    <w:p w14:paraId="00E2DE02" w14:textId="77777777" w:rsidR="00364FF4" w:rsidRPr="00571247" w:rsidRDefault="00364FF4" w:rsidP="00364FF4">
      <w:pPr>
        <w:spacing w:line="360" w:lineRule="auto"/>
        <w:ind w:left="720"/>
        <w:jc w:val="both"/>
        <w:rPr>
          <w:rFonts w:ascii="Arial" w:hAnsi="Arial"/>
          <w:sz w:val="22"/>
          <w:szCs w:val="22"/>
          <w:rtl/>
        </w:rPr>
      </w:pPr>
      <w:r w:rsidRPr="007C22BB">
        <w:rPr>
          <w:rFonts w:ascii="Arial" w:hAnsi="Arial"/>
          <w:sz w:val="22"/>
          <w:szCs w:val="22"/>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w:t>
      </w:r>
      <w:r>
        <w:rPr>
          <w:rFonts w:ascii="Arial" w:hAnsi="Arial" w:hint="cs"/>
          <w:sz w:val="22"/>
          <w:szCs w:val="22"/>
          <w:rtl/>
        </w:rPr>
        <w:t>...</w:t>
      </w:r>
      <w:r w:rsidRPr="007C22BB">
        <w:rPr>
          <w:rFonts w:ascii="Arial" w:hAnsi="Arial"/>
          <w:sz w:val="22"/>
          <w:szCs w:val="22"/>
          <w:rtl/>
        </w:rPr>
        <w:t xml:space="preserve">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ע"פ 1332/04 מדינת ישראל נ' פס, סעיף 4 </w:t>
      </w:r>
      <w:r>
        <w:rPr>
          <w:rFonts w:ascii="Arial" w:hAnsi="Arial" w:hint="cs"/>
          <w:sz w:val="22"/>
          <w:szCs w:val="22"/>
          <w:rtl/>
        </w:rPr>
        <w:t>(</w:t>
      </w:r>
      <w:r w:rsidRPr="007C22BB">
        <w:rPr>
          <w:rFonts w:ascii="Arial" w:hAnsi="Arial"/>
          <w:sz w:val="22"/>
          <w:szCs w:val="22"/>
          <w:rtl/>
        </w:rPr>
        <w:t>19.4.04). יש לעשות כן</w:t>
      </w:r>
      <w:r>
        <w:rPr>
          <w:rFonts w:ascii="Arial" w:hAnsi="Arial" w:hint="cs"/>
          <w:sz w:val="22"/>
          <w:szCs w:val="22"/>
          <w:rtl/>
        </w:rPr>
        <w:t xml:space="preserve"> </w:t>
      </w:r>
      <w:r w:rsidRPr="007C22BB">
        <w:rPr>
          <w:rFonts w:ascii="Arial" w:hAnsi="Arial"/>
          <w:sz w:val="22"/>
          <w:szCs w:val="22"/>
          <w:rtl/>
        </w:rPr>
        <w:t>עוד בטרם ייעשה באקדח שימוש קטלני, באמצעות הרחקת המחזיק בו מן החברה לפרק זמן, והעברת מסר מרתיע באמצעות עונש מאסר ממשי לריצוי בפועל...".</w:t>
      </w:r>
    </w:p>
    <w:p w14:paraId="1A6BB318" w14:textId="77777777" w:rsidR="00364FF4" w:rsidRPr="007C22BB" w:rsidRDefault="00364FF4" w:rsidP="00364FF4">
      <w:pPr>
        <w:pStyle w:val="a9"/>
        <w:numPr>
          <w:ilvl w:val="0"/>
          <w:numId w:val="1"/>
        </w:numPr>
        <w:spacing w:line="360" w:lineRule="auto"/>
        <w:jc w:val="both"/>
        <w:rPr>
          <w:rFonts w:ascii="Arial" w:hAnsi="Arial"/>
          <w:rtl/>
        </w:rPr>
      </w:pPr>
      <w:r w:rsidRPr="007C22BB">
        <w:rPr>
          <w:rFonts w:ascii="Arial" w:hAnsi="Arial"/>
          <w:rtl/>
        </w:rPr>
        <w:t>סקירת מדיניות הענישה הנהוגה בעבירת החזקת נשק מלמדת על טווח ענישה רחב התלוי לרוב בנסיבותיו של כל מקרה ומקרה.</w:t>
      </w:r>
    </w:p>
    <w:p w14:paraId="30C25452" w14:textId="77777777" w:rsidR="00364FF4" w:rsidRPr="004334F7" w:rsidRDefault="00735BE6" w:rsidP="00364FF4">
      <w:pPr>
        <w:pStyle w:val="a9"/>
        <w:numPr>
          <w:ilvl w:val="0"/>
          <w:numId w:val="3"/>
        </w:numPr>
        <w:spacing w:line="360" w:lineRule="auto"/>
        <w:jc w:val="both"/>
        <w:rPr>
          <w:rFonts w:ascii="Arial" w:hAnsi="Arial"/>
          <w:rtl/>
        </w:rPr>
      </w:pPr>
      <w:hyperlink r:id="rId16" w:history="1">
        <w:r w:rsidRPr="00735BE6">
          <w:rPr>
            <w:rFonts w:ascii="Arial" w:hAnsi="Arial"/>
            <w:color w:val="0000FF"/>
            <w:u w:val="single"/>
            <w:rtl/>
          </w:rPr>
          <w:t>ע"פ 545/20</w:t>
        </w:r>
      </w:hyperlink>
      <w:r w:rsidR="00364FF4" w:rsidRPr="004334F7">
        <w:rPr>
          <w:rFonts w:ascii="Arial" w:hAnsi="Arial"/>
          <w:rtl/>
        </w:rPr>
        <w:t xml:space="preserve"> </w:t>
      </w:r>
      <w:r w:rsidR="00364FF4" w:rsidRPr="004334F7">
        <w:rPr>
          <w:rFonts w:ascii="Arial" w:hAnsi="Arial"/>
          <w:b/>
          <w:bCs/>
          <w:rtl/>
        </w:rPr>
        <w:t>פלוני נ' מדינת ישראל</w:t>
      </w:r>
      <w:r w:rsidR="00364FF4" w:rsidRPr="004334F7">
        <w:rPr>
          <w:rFonts w:ascii="Arial" w:hAnsi="Arial"/>
          <w:rtl/>
        </w:rPr>
        <w:t xml:space="preserve"> (3.5.21) ערעור על חומרת עונש </w:t>
      </w:r>
      <w:r w:rsidR="00364FF4">
        <w:rPr>
          <w:rFonts w:ascii="Arial" w:hAnsi="Arial" w:hint="cs"/>
          <w:rtl/>
        </w:rPr>
        <w:t xml:space="preserve">של נאשם עליו הוטלו 12 </w:t>
      </w:r>
      <w:r w:rsidR="00364FF4" w:rsidRPr="004334F7">
        <w:rPr>
          <w:rFonts w:ascii="Arial" w:hAnsi="Arial"/>
          <w:rtl/>
        </w:rPr>
        <w:t>חודשי</w:t>
      </w:r>
      <w:r w:rsidR="00364FF4">
        <w:rPr>
          <w:rFonts w:ascii="Arial" w:hAnsi="Arial" w:hint="cs"/>
          <w:rtl/>
        </w:rPr>
        <w:t xml:space="preserve">ם, </w:t>
      </w:r>
      <w:r w:rsidR="00364FF4" w:rsidRPr="004334F7">
        <w:rPr>
          <w:rFonts w:ascii="Arial" w:hAnsi="Arial"/>
          <w:rtl/>
        </w:rPr>
        <w:t xml:space="preserve">לאחר שהמערער, </w:t>
      </w:r>
      <w:r w:rsidR="00364FF4">
        <w:rPr>
          <w:rFonts w:ascii="Arial" w:hAnsi="Arial" w:hint="cs"/>
          <w:rtl/>
        </w:rPr>
        <w:t>נעדר רישום פלילי,</w:t>
      </w:r>
      <w:r w:rsidR="00364FF4" w:rsidRPr="004334F7">
        <w:rPr>
          <w:rFonts w:ascii="Arial" w:hAnsi="Arial"/>
          <w:rtl/>
        </w:rPr>
        <w:t xml:space="preserve"> הורשע באחזק</w:t>
      </w:r>
      <w:r w:rsidR="00364FF4">
        <w:rPr>
          <w:rFonts w:ascii="Arial" w:hAnsi="Arial" w:hint="cs"/>
          <w:rtl/>
        </w:rPr>
        <w:t>ה/ נ</w:t>
      </w:r>
      <w:r w:rsidR="00364FF4" w:rsidRPr="004334F7">
        <w:rPr>
          <w:rFonts w:ascii="Arial" w:hAnsi="Arial"/>
          <w:rtl/>
        </w:rPr>
        <w:t>שיאת אקדח</w:t>
      </w:r>
      <w:r w:rsidR="00364FF4">
        <w:rPr>
          <w:rFonts w:ascii="Arial" w:hAnsi="Arial" w:hint="cs"/>
          <w:rtl/>
        </w:rPr>
        <w:t xml:space="preserve"> ו</w:t>
      </w:r>
      <w:r w:rsidR="00364FF4" w:rsidRPr="004334F7">
        <w:rPr>
          <w:rFonts w:ascii="Arial" w:hAnsi="Arial"/>
          <w:rtl/>
        </w:rPr>
        <w:t>מחסנית תואמת ו-50 כדורים.</w:t>
      </w:r>
    </w:p>
    <w:p w14:paraId="2A29A066" w14:textId="77777777" w:rsidR="00364FF4" w:rsidRPr="004334F7" w:rsidRDefault="00735BE6" w:rsidP="00364FF4">
      <w:pPr>
        <w:pStyle w:val="a9"/>
        <w:numPr>
          <w:ilvl w:val="0"/>
          <w:numId w:val="3"/>
        </w:numPr>
        <w:spacing w:line="360" w:lineRule="auto"/>
        <w:jc w:val="both"/>
        <w:rPr>
          <w:rFonts w:ascii="Arial" w:hAnsi="Arial"/>
          <w:rtl/>
        </w:rPr>
      </w:pPr>
      <w:hyperlink r:id="rId17" w:history="1">
        <w:r w:rsidRPr="00735BE6">
          <w:rPr>
            <w:rFonts w:ascii="Arial" w:hAnsi="Arial"/>
            <w:color w:val="0000FF"/>
            <w:u w:val="single"/>
            <w:rtl/>
          </w:rPr>
          <w:t>ע"פ 5604/11</w:t>
        </w:r>
      </w:hyperlink>
      <w:r w:rsidR="00364FF4" w:rsidRPr="004334F7">
        <w:rPr>
          <w:rFonts w:ascii="Arial" w:hAnsi="Arial"/>
          <w:rtl/>
        </w:rPr>
        <w:t xml:space="preserve"> </w:t>
      </w:r>
      <w:r w:rsidR="00364FF4" w:rsidRPr="004334F7">
        <w:rPr>
          <w:rFonts w:ascii="Arial" w:hAnsi="Arial"/>
          <w:b/>
          <w:bCs/>
          <w:rtl/>
        </w:rPr>
        <w:t>נאסר נ' מדינת ישראל</w:t>
      </w:r>
      <w:r w:rsidR="00364FF4" w:rsidRPr="004334F7">
        <w:rPr>
          <w:rFonts w:ascii="Arial" w:hAnsi="Arial"/>
          <w:rtl/>
        </w:rPr>
        <w:t xml:space="preserve"> (5.10.11), </w:t>
      </w:r>
      <w:r w:rsidR="00364FF4">
        <w:rPr>
          <w:rFonts w:ascii="Arial" w:hAnsi="Arial" w:hint="cs"/>
          <w:rtl/>
        </w:rPr>
        <w:t xml:space="preserve">ערעור על חומרת עונשו של נאשם עליו הוטלו 12 חודשים, לאחר שהמערער הורשע </w:t>
      </w:r>
      <w:r w:rsidR="00364FF4" w:rsidRPr="004334F7">
        <w:rPr>
          <w:rFonts w:ascii="Arial" w:hAnsi="Arial"/>
          <w:rtl/>
        </w:rPr>
        <w:t xml:space="preserve">בביצוע עבירה של החזקת נשק ותחמושת.  אקדח ומחסנית לאקדח ובה 8 כדורים. </w:t>
      </w:r>
    </w:p>
    <w:p w14:paraId="19FB39A5" w14:textId="77777777" w:rsidR="00364FF4" w:rsidRPr="00F00CA3" w:rsidRDefault="00364FF4" w:rsidP="00364FF4">
      <w:pPr>
        <w:pStyle w:val="a9"/>
        <w:numPr>
          <w:ilvl w:val="0"/>
          <w:numId w:val="3"/>
        </w:numPr>
        <w:spacing w:line="360" w:lineRule="auto"/>
        <w:jc w:val="both"/>
        <w:rPr>
          <w:rFonts w:ascii="Arial" w:hAnsi="Arial"/>
          <w:rtl/>
        </w:rPr>
      </w:pPr>
      <w:r w:rsidRPr="00F00CA3">
        <w:rPr>
          <w:rFonts w:ascii="Arial" w:hAnsi="Arial"/>
          <w:rtl/>
        </w:rPr>
        <w:t>ב</w:t>
      </w:r>
      <w:hyperlink r:id="rId18" w:history="1">
        <w:r w:rsidR="00735BE6" w:rsidRPr="00735BE6">
          <w:rPr>
            <w:rFonts w:ascii="Arial" w:hAnsi="Arial"/>
            <w:color w:val="0000FF"/>
            <w:u w:val="single"/>
            <w:rtl/>
          </w:rPr>
          <w:t>ע"פ 6294/10</w:t>
        </w:r>
      </w:hyperlink>
      <w:r w:rsidRPr="00F00CA3">
        <w:rPr>
          <w:rFonts w:ascii="Arial" w:hAnsi="Arial"/>
          <w:rtl/>
        </w:rPr>
        <w:t xml:space="preserve"> אלקיעאן נ' מדינת ישראל (13.2.11),</w:t>
      </w:r>
      <w:r>
        <w:rPr>
          <w:rFonts w:ascii="Arial" w:hAnsi="Arial" w:hint="cs"/>
          <w:rtl/>
        </w:rPr>
        <w:t xml:space="preserve"> </w:t>
      </w:r>
      <w:r w:rsidRPr="00F00CA3">
        <w:rPr>
          <w:rFonts w:ascii="Arial" w:hAnsi="Arial"/>
          <w:rtl/>
        </w:rPr>
        <w:t>ערעור</w:t>
      </w:r>
      <w:r>
        <w:rPr>
          <w:rFonts w:ascii="Arial" w:hAnsi="Arial" w:hint="cs"/>
          <w:rtl/>
        </w:rPr>
        <w:t xml:space="preserve"> על חומרת עונשם ש</w:t>
      </w:r>
      <w:r w:rsidRPr="00F00CA3">
        <w:rPr>
          <w:rFonts w:ascii="Arial" w:hAnsi="Arial"/>
          <w:rtl/>
        </w:rPr>
        <w:t>ל נאשמים</w:t>
      </w:r>
      <w:r>
        <w:rPr>
          <w:rFonts w:ascii="Arial" w:hAnsi="Arial" w:hint="cs"/>
          <w:rtl/>
        </w:rPr>
        <w:t xml:space="preserve"> עליהם הוטלו 10 חודשי מאסר בגין </w:t>
      </w:r>
      <w:r w:rsidRPr="00F00CA3">
        <w:rPr>
          <w:rFonts w:ascii="Arial" w:hAnsi="Arial"/>
          <w:rtl/>
        </w:rPr>
        <w:t>ביצוע עבירה של החזקת נשק ותחמושת שלא כדין. הנאשמים נתפסו, כאשר כל אחד מהם החזיק באקדח טעון ומחסנית, וכן הנאשם 2 החזיק בכיס מעילו מחסנית נוספת.</w:t>
      </w:r>
    </w:p>
    <w:p w14:paraId="55DF1CD5" w14:textId="77777777" w:rsidR="00364FF4" w:rsidRPr="00F00CA3" w:rsidRDefault="00735BE6" w:rsidP="00364FF4">
      <w:pPr>
        <w:pStyle w:val="a9"/>
        <w:numPr>
          <w:ilvl w:val="0"/>
          <w:numId w:val="3"/>
        </w:numPr>
        <w:spacing w:line="360" w:lineRule="auto"/>
        <w:jc w:val="both"/>
        <w:rPr>
          <w:rFonts w:ascii="Arial" w:hAnsi="Arial"/>
          <w:rtl/>
        </w:rPr>
      </w:pPr>
      <w:hyperlink r:id="rId19" w:history="1">
        <w:r w:rsidRPr="00735BE6">
          <w:rPr>
            <w:rFonts w:ascii="Arial" w:hAnsi="Arial"/>
            <w:color w:val="0000FF"/>
            <w:u w:val="single"/>
            <w:rtl/>
          </w:rPr>
          <w:t>רע"פ 1246/17</w:t>
        </w:r>
      </w:hyperlink>
      <w:r w:rsidR="00364FF4" w:rsidRPr="00F00CA3">
        <w:rPr>
          <w:rFonts w:ascii="Arial" w:hAnsi="Arial"/>
          <w:rtl/>
        </w:rPr>
        <w:t xml:space="preserve"> מטר (פורסם בנבו, 12.3.2017) - נדחתה בקשת רשות ערעור של נאשם שהורשע בהחזקת אקדח ותחמושת בביתו</w:t>
      </w:r>
      <w:r w:rsidR="00364FF4" w:rsidRPr="00F00CA3">
        <w:rPr>
          <w:rFonts w:ascii="Arial" w:hAnsi="Arial" w:hint="cs"/>
          <w:rtl/>
        </w:rPr>
        <w:t>, לאחר ש</w:t>
      </w:r>
      <w:r w:rsidR="00364FF4" w:rsidRPr="00F00CA3">
        <w:rPr>
          <w:rFonts w:ascii="Arial" w:hAnsi="Arial"/>
          <w:rtl/>
        </w:rPr>
        <w:t>בית משפט מחוזי החמיר בע</w:t>
      </w:r>
      <w:r w:rsidR="00364FF4" w:rsidRPr="00F00CA3">
        <w:rPr>
          <w:rFonts w:ascii="Arial" w:hAnsi="Arial" w:hint="cs"/>
          <w:rtl/>
        </w:rPr>
        <w:t>ו</w:t>
      </w:r>
      <w:r w:rsidR="00364FF4" w:rsidRPr="00F00CA3">
        <w:rPr>
          <w:rFonts w:ascii="Arial" w:hAnsi="Arial"/>
          <w:rtl/>
        </w:rPr>
        <w:t xml:space="preserve">נשו </w:t>
      </w:r>
      <w:r w:rsidR="00364FF4" w:rsidRPr="00F00CA3">
        <w:rPr>
          <w:rFonts w:ascii="Arial" w:hAnsi="Arial" w:hint="cs"/>
          <w:rtl/>
        </w:rPr>
        <w:t>של הנאשם ל-9 חודשי מאסר חלף שישה ח</w:t>
      </w:r>
      <w:r w:rsidR="00364FF4" w:rsidRPr="00F00CA3">
        <w:rPr>
          <w:rFonts w:ascii="Arial" w:hAnsi="Arial"/>
          <w:rtl/>
        </w:rPr>
        <w:t>ודשי מאסר בדרך של עבודות שירות.</w:t>
      </w:r>
    </w:p>
    <w:p w14:paraId="6B620E2D" w14:textId="77777777" w:rsidR="00364FF4" w:rsidRPr="00FD04B3" w:rsidRDefault="00735BE6" w:rsidP="00364FF4">
      <w:pPr>
        <w:pStyle w:val="a9"/>
        <w:numPr>
          <w:ilvl w:val="0"/>
          <w:numId w:val="3"/>
        </w:numPr>
        <w:spacing w:line="360" w:lineRule="auto"/>
        <w:jc w:val="both"/>
        <w:rPr>
          <w:rFonts w:ascii="Arial" w:hAnsi="Arial"/>
          <w:rtl/>
        </w:rPr>
      </w:pPr>
      <w:hyperlink r:id="rId20" w:history="1">
        <w:r w:rsidRPr="00735BE6">
          <w:rPr>
            <w:rFonts w:ascii="Arial" w:hAnsi="Arial"/>
            <w:color w:val="0000FF"/>
            <w:u w:val="single"/>
            <w:rtl/>
          </w:rPr>
          <w:t>עפ"ג (מחוזי ב"ש) 56010-03-18</w:t>
        </w:r>
      </w:hyperlink>
      <w:r w:rsidR="00364FF4" w:rsidRPr="00FD04B3">
        <w:rPr>
          <w:rFonts w:ascii="Arial" w:hAnsi="Arial"/>
          <w:rtl/>
        </w:rPr>
        <w:t xml:space="preserve"> אלאסד (27.6.18) - דחה בית המשפט המחוזי ערעורו של נאשם כבן 50, אשר החזיק בביתו אקדח ללא תחמושת ונדון לתשעה חודשי מאסר בפועל ועונשים נלווים.</w:t>
      </w:r>
    </w:p>
    <w:p w14:paraId="2BC6C0FF" w14:textId="77777777" w:rsidR="00364FF4" w:rsidRPr="00FD04B3" w:rsidRDefault="00735BE6" w:rsidP="00364FF4">
      <w:pPr>
        <w:pStyle w:val="a9"/>
        <w:numPr>
          <w:ilvl w:val="0"/>
          <w:numId w:val="3"/>
        </w:numPr>
        <w:spacing w:line="360" w:lineRule="auto"/>
        <w:jc w:val="both"/>
        <w:rPr>
          <w:rFonts w:ascii="Arial" w:hAnsi="Arial"/>
        </w:rPr>
      </w:pPr>
      <w:hyperlink r:id="rId21" w:history="1">
        <w:r w:rsidRPr="00735BE6">
          <w:rPr>
            <w:rFonts w:ascii="Arial" w:hAnsi="Arial"/>
            <w:color w:val="0000FF"/>
            <w:u w:val="single"/>
            <w:rtl/>
          </w:rPr>
          <w:t>עפ"ג (ב"ש) 56305-02-20</w:t>
        </w:r>
      </w:hyperlink>
      <w:r w:rsidR="00364FF4" w:rsidRPr="00FD04B3">
        <w:rPr>
          <w:rFonts w:ascii="Arial" w:hAnsi="Arial"/>
          <w:rtl/>
        </w:rPr>
        <w:t>‏ אלקריעאן (18.8.20) – נדון נאשם ללא עבר פלילי שברכבו נמצא אקדח ומחסנית</w:t>
      </w:r>
      <w:r w:rsidR="00364FF4" w:rsidRPr="00FD04B3">
        <w:rPr>
          <w:rFonts w:ascii="Arial" w:hAnsi="Arial" w:hint="cs"/>
          <w:rtl/>
        </w:rPr>
        <w:t xml:space="preserve"> ל-15 חודשים</w:t>
      </w:r>
      <w:r w:rsidR="00364FF4" w:rsidRPr="00FD04B3">
        <w:rPr>
          <w:rFonts w:ascii="Arial" w:hAnsi="Arial"/>
          <w:rtl/>
        </w:rPr>
        <w:t xml:space="preserve">. </w:t>
      </w:r>
      <w:r w:rsidR="00364FF4" w:rsidRPr="00FD04B3">
        <w:rPr>
          <w:rFonts w:ascii="Arial" w:hAnsi="Arial" w:hint="cs"/>
          <w:rtl/>
        </w:rPr>
        <w:t xml:space="preserve">נקבע מתחם שבין 15 חודשים ועד 30 חודשים. ערכאת הערעור הפחיתה את עונשו </w:t>
      </w:r>
      <w:r w:rsidR="00364FF4" w:rsidRPr="00FD04B3">
        <w:rPr>
          <w:rFonts w:ascii="Arial" w:hAnsi="Arial"/>
          <w:rtl/>
        </w:rPr>
        <w:t>ל-12 חודשי מאסר.</w:t>
      </w:r>
    </w:p>
    <w:p w14:paraId="02E6B8CD" w14:textId="77777777" w:rsidR="00364FF4" w:rsidRPr="00FD04B3" w:rsidRDefault="00735BE6" w:rsidP="00364FF4">
      <w:pPr>
        <w:pStyle w:val="a9"/>
        <w:numPr>
          <w:ilvl w:val="0"/>
          <w:numId w:val="3"/>
        </w:numPr>
        <w:spacing w:line="360" w:lineRule="auto"/>
        <w:jc w:val="both"/>
        <w:rPr>
          <w:rFonts w:ascii="Arial" w:hAnsi="Arial"/>
          <w:rtl/>
        </w:rPr>
      </w:pPr>
      <w:hyperlink r:id="rId22" w:history="1">
        <w:r w:rsidRPr="00735BE6">
          <w:rPr>
            <w:rFonts w:ascii="Arial" w:hAnsi="Arial"/>
            <w:color w:val="0000FF"/>
            <w:u w:val="single"/>
            <w:rtl/>
          </w:rPr>
          <w:t>ע"פ 761/07</w:t>
        </w:r>
      </w:hyperlink>
      <w:r w:rsidR="00364FF4" w:rsidRPr="00FD04B3">
        <w:rPr>
          <w:rFonts w:ascii="Arial" w:hAnsi="Arial"/>
          <w:rtl/>
        </w:rPr>
        <w:t xml:space="preserve"> מדינת ישראל נ' מיכאל אדרי (22/02/07) המערער נהג ברכב ונתפס מחזיק באקדח, מחסנית ותחמושת. כשנעצר, הזדהה כאחר. הוא הורשע בהחזקת נשק שלא כדין ובהפרעה לשוטר במילוי תפקידו, </w:t>
      </w:r>
      <w:r w:rsidR="00364FF4" w:rsidRPr="00FD04B3">
        <w:rPr>
          <w:rFonts w:ascii="Arial" w:hAnsi="Arial" w:hint="cs"/>
          <w:rtl/>
        </w:rPr>
        <w:t>נגזרו עליו ב</w:t>
      </w:r>
      <w:r w:rsidR="00364FF4" w:rsidRPr="00FD04B3">
        <w:rPr>
          <w:rFonts w:ascii="Arial" w:hAnsi="Arial"/>
          <w:rtl/>
        </w:rPr>
        <w:t>בית המשפט המחוזי 12 חודשי מאסר בפועל</w:t>
      </w:r>
      <w:r w:rsidR="00364FF4" w:rsidRPr="00FD04B3">
        <w:rPr>
          <w:rFonts w:ascii="Arial" w:hAnsi="Arial" w:hint="cs"/>
          <w:rtl/>
        </w:rPr>
        <w:t xml:space="preserve">, ובמסגרת ערעור המדינה על קולת העונש, ונוכח רישום פלילי משמעותי, </w:t>
      </w:r>
      <w:r w:rsidR="00364FF4" w:rsidRPr="00FD04B3">
        <w:rPr>
          <w:rFonts w:ascii="Arial" w:hAnsi="Arial"/>
          <w:rtl/>
        </w:rPr>
        <w:t xml:space="preserve">הוחמר </w:t>
      </w:r>
      <w:r w:rsidR="00364FF4" w:rsidRPr="00FD04B3">
        <w:rPr>
          <w:rFonts w:ascii="Arial" w:hAnsi="Arial" w:hint="cs"/>
          <w:rtl/>
        </w:rPr>
        <w:t xml:space="preserve">עונשו </w:t>
      </w:r>
      <w:r w:rsidR="00364FF4" w:rsidRPr="00FD04B3">
        <w:rPr>
          <w:rFonts w:ascii="Arial" w:hAnsi="Arial"/>
          <w:rtl/>
        </w:rPr>
        <w:t>ל- 24 חודשי מאסר בפועל.</w:t>
      </w:r>
    </w:p>
    <w:p w14:paraId="684C52DB" w14:textId="77777777" w:rsidR="00364FF4" w:rsidRPr="00FD04B3" w:rsidRDefault="00735BE6" w:rsidP="00364FF4">
      <w:pPr>
        <w:pStyle w:val="a9"/>
        <w:numPr>
          <w:ilvl w:val="0"/>
          <w:numId w:val="3"/>
        </w:numPr>
        <w:spacing w:line="360" w:lineRule="auto"/>
        <w:jc w:val="both"/>
        <w:rPr>
          <w:rFonts w:ascii="Arial" w:hAnsi="Arial"/>
          <w:rtl/>
        </w:rPr>
      </w:pPr>
      <w:hyperlink r:id="rId23" w:history="1">
        <w:r w:rsidRPr="00735BE6">
          <w:rPr>
            <w:rFonts w:ascii="Arial" w:hAnsi="Arial"/>
            <w:color w:val="0000FF"/>
            <w:u w:val="single"/>
            <w:rtl/>
          </w:rPr>
          <w:t>עפ"ג 18780-06-14</w:t>
        </w:r>
      </w:hyperlink>
      <w:r w:rsidR="00364FF4" w:rsidRPr="00FD04B3">
        <w:rPr>
          <w:rFonts w:ascii="Arial" w:hAnsi="Arial"/>
          <w:rtl/>
        </w:rPr>
        <w:t xml:space="preserve"> </w:t>
      </w:r>
      <w:r w:rsidR="00364FF4" w:rsidRPr="00FD04B3">
        <w:rPr>
          <w:rFonts w:ascii="Arial" w:hAnsi="Arial" w:hint="cs"/>
          <w:rtl/>
        </w:rPr>
        <w:t>(</w:t>
      </w:r>
      <w:r w:rsidR="00364FF4" w:rsidRPr="00FD04B3">
        <w:rPr>
          <w:rFonts w:ascii="Arial" w:hAnsi="Arial"/>
          <w:rtl/>
        </w:rPr>
        <w:t>14.9.2014</w:t>
      </w:r>
      <w:r w:rsidR="00364FF4" w:rsidRPr="00FD04B3">
        <w:rPr>
          <w:rFonts w:ascii="Arial" w:hAnsi="Arial" w:hint="cs"/>
          <w:rtl/>
        </w:rPr>
        <w:t>)</w:t>
      </w:r>
      <w:r w:rsidR="00364FF4" w:rsidRPr="00FD04B3">
        <w:rPr>
          <w:rFonts w:ascii="Arial" w:hAnsi="Arial"/>
          <w:rtl/>
        </w:rPr>
        <w:t xml:space="preserve">, </w:t>
      </w:r>
      <w:r w:rsidR="00364FF4" w:rsidRPr="00FD04B3">
        <w:rPr>
          <w:rFonts w:ascii="Arial" w:hAnsi="Arial" w:hint="cs"/>
          <w:rtl/>
        </w:rPr>
        <w:t>ביחס לנאשם שה</w:t>
      </w:r>
      <w:r w:rsidR="00364FF4" w:rsidRPr="00FD04B3">
        <w:rPr>
          <w:rFonts w:ascii="Arial" w:hAnsi="Arial"/>
          <w:rtl/>
        </w:rPr>
        <w:t xml:space="preserve">חזיק </w:t>
      </w:r>
      <w:r w:rsidR="00364FF4" w:rsidRPr="00FD04B3">
        <w:rPr>
          <w:rFonts w:ascii="Arial" w:hAnsi="Arial" w:hint="cs"/>
          <w:rtl/>
        </w:rPr>
        <w:t xml:space="preserve">בביתו </w:t>
      </w:r>
      <w:r w:rsidR="00364FF4" w:rsidRPr="00FD04B3">
        <w:rPr>
          <w:rFonts w:ascii="Arial" w:hAnsi="Arial"/>
          <w:rtl/>
        </w:rPr>
        <w:t xml:space="preserve">שני אקדחים טעונים במחסניות עם כדורים (ובנוסף בשתי מחסניות ריקות), </w:t>
      </w:r>
      <w:r w:rsidR="00364FF4" w:rsidRPr="00FD04B3">
        <w:rPr>
          <w:rFonts w:ascii="Arial" w:hAnsi="Arial" w:hint="cs"/>
          <w:rtl/>
        </w:rPr>
        <w:t>נקבע מתחם החל מ-</w:t>
      </w:r>
      <w:r w:rsidR="00364FF4" w:rsidRPr="00FD04B3">
        <w:rPr>
          <w:rFonts w:ascii="Arial" w:hAnsi="Arial"/>
          <w:rtl/>
        </w:rPr>
        <w:t xml:space="preserve"> 12 </w:t>
      </w:r>
      <w:r w:rsidR="00364FF4" w:rsidRPr="00FD04B3">
        <w:rPr>
          <w:rFonts w:ascii="Arial" w:hAnsi="Arial" w:hint="cs"/>
          <w:rtl/>
        </w:rPr>
        <w:t xml:space="preserve">חודשים </w:t>
      </w:r>
      <w:r w:rsidR="00364FF4" w:rsidRPr="00FD04B3">
        <w:rPr>
          <w:rFonts w:ascii="Arial" w:hAnsi="Arial"/>
          <w:rtl/>
        </w:rPr>
        <w:t>ל-26 חודשי מאסר.</w:t>
      </w:r>
    </w:p>
    <w:p w14:paraId="53139937" w14:textId="77777777" w:rsidR="00364FF4" w:rsidRPr="00FD010A" w:rsidRDefault="00364FF4" w:rsidP="00364FF4">
      <w:pPr>
        <w:pStyle w:val="a9"/>
        <w:numPr>
          <w:ilvl w:val="0"/>
          <w:numId w:val="1"/>
        </w:numPr>
        <w:spacing w:line="360" w:lineRule="auto"/>
        <w:jc w:val="both"/>
        <w:rPr>
          <w:rFonts w:ascii="Arial" w:hAnsi="Arial"/>
        </w:rPr>
      </w:pPr>
      <w:r w:rsidRPr="00FD010A">
        <w:rPr>
          <w:rFonts w:ascii="Arial" w:hAnsi="Arial" w:hint="cs"/>
          <w:rtl/>
        </w:rPr>
        <w:t>בשים לב לנסיבות האירוע, ההסכמה הדיונית שבין הצדדים, ה</w:t>
      </w:r>
      <w:r w:rsidRPr="00FD010A">
        <w:rPr>
          <w:rFonts w:ascii="Arial" w:hAnsi="Arial"/>
          <w:rtl/>
        </w:rPr>
        <w:t>ערכים החברתיים שנפגעו ומידת הפגיעה בהם</w:t>
      </w:r>
      <w:r w:rsidRPr="00FD010A">
        <w:rPr>
          <w:rFonts w:ascii="Arial" w:hAnsi="Arial" w:hint="cs"/>
          <w:rtl/>
        </w:rPr>
        <w:t xml:space="preserve"> </w:t>
      </w:r>
      <w:r>
        <w:rPr>
          <w:rFonts w:ascii="Arial" w:hAnsi="Arial" w:hint="cs"/>
          <w:rtl/>
        </w:rPr>
        <w:t xml:space="preserve">לרבות </w:t>
      </w:r>
      <w:r w:rsidRPr="00FD010A">
        <w:rPr>
          <w:rFonts w:ascii="Arial" w:hAnsi="Arial" w:hint="cs"/>
          <w:rtl/>
        </w:rPr>
        <w:t>מ</w:t>
      </w:r>
      <w:r w:rsidRPr="00FD010A">
        <w:rPr>
          <w:rFonts w:ascii="Arial" w:hAnsi="Arial"/>
          <w:rtl/>
        </w:rPr>
        <w:t>דיניות הענישה הנהוגה</w:t>
      </w:r>
      <w:r w:rsidRPr="00FD010A">
        <w:rPr>
          <w:rFonts w:ascii="Arial" w:hAnsi="Arial" w:hint="cs"/>
          <w:rtl/>
        </w:rPr>
        <w:t>, ראיתי לקבוע את מתחם העונש ההולם החל מ-12 חודשים ועד 2</w:t>
      </w:r>
      <w:r>
        <w:rPr>
          <w:rFonts w:ascii="Arial" w:hAnsi="Arial" w:hint="cs"/>
          <w:rtl/>
        </w:rPr>
        <w:t>6</w:t>
      </w:r>
      <w:r w:rsidRPr="00FD010A">
        <w:rPr>
          <w:rFonts w:ascii="Arial" w:hAnsi="Arial" w:hint="cs"/>
          <w:rtl/>
        </w:rPr>
        <w:t xml:space="preserve"> </w:t>
      </w:r>
      <w:r w:rsidRPr="00FD010A">
        <w:rPr>
          <w:rFonts w:ascii="Arial" w:hAnsi="Arial"/>
          <w:rtl/>
        </w:rPr>
        <w:t>חודשי מאסר בפועל.</w:t>
      </w:r>
    </w:p>
    <w:p w14:paraId="31E9B4EA" w14:textId="77777777" w:rsidR="00364FF4" w:rsidRPr="00DD035D" w:rsidRDefault="00364FF4" w:rsidP="00364FF4">
      <w:pPr>
        <w:pStyle w:val="a9"/>
        <w:numPr>
          <w:ilvl w:val="0"/>
          <w:numId w:val="1"/>
        </w:numPr>
        <w:spacing w:line="360" w:lineRule="auto"/>
        <w:jc w:val="both"/>
        <w:rPr>
          <w:rFonts w:ascii="Arial" w:hAnsi="Arial"/>
          <w:rtl/>
        </w:rPr>
      </w:pPr>
      <w:r w:rsidRPr="008F5E16">
        <w:rPr>
          <w:rFonts w:ascii="Arial" w:hAnsi="Arial"/>
          <w:rtl/>
        </w:rPr>
        <w:t xml:space="preserve">בבחינת העונש המתאים לנאשם </w:t>
      </w:r>
      <w:r>
        <w:rPr>
          <w:rFonts w:ascii="Arial" w:hAnsi="Arial" w:hint="cs"/>
          <w:rtl/>
        </w:rPr>
        <w:t xml:space="preserve">בתוך המתחם </w:t>
      </w:r>
      <w:r w:rsidRPr="008F5E16">
        <w:rPr>
          <w:rFonts w:ascii="Arial" w:hAnsi="Arial"/>
          <w:rtl/>
        </w:rPr>
        <w:t>הבאתי ב</w:t>
      </w:r>
      <w:r>
        <w:rPr>
          <w:rFonts w:ascii="Arial" w:hAnsi="Arial" w:hint="cs"/>
          <w:rtl/>
        </w:rPr>
        <w:t xml:space="preserve">מסגרת שיקוליי לעונש </w:t>
      </w:r>
      <w:r w:rsidRPr="008F5E16">
        <w:rPr>
          <w:rFonts w:ascii="Arial" w:hAnsi="Arial"/>
          <w:rtl/>
        </w:rPr>
        <w:t xml:space="preserve">את הודאת הנאשם,  החיסכון בזמן שיפוטי, משך תקופת המעצר בה </w:t>
      </w:r>
      <w:r>
        <w:rPr>
          <w:rFonts w:ascii="Arial" w:hAnsi="Arial" w:hint="cs"/>
          <w:rtl/>
        </w:rPr>
        <w:t xml:space="preserve">הוא </w:t>
      </w:r>
      <w:r w:rsidRPr="008F5E16">
        <w:rPr>
          <w:rFonts w:ascii="Arial" w:hAnsi="Arial"/>
          <w:rtl/>
        </w:rPr>
        <w:t>שוהה, וכן</w:t>
      </w:r>
      <w:r w:rsidRPr="008F5E16">
        <w:rPr>
          <w:rFonts w:ascii="Arial" w:hAnsi="Arial" w:hint="cs"/>
          <w:rtl/>
        </w:rPr>
        <w:t xml:space="preserve"> נסיבותיו האישיות כפי שפורטו על ידי ההגנה</w:t>
      </w:r>
      <w:r w:rsidRPr="008F5E16">
        <w:rPr>
          <w:rFonts w:ascii="Arial" w:hAnsi="Arial"/>
          <w:rtl/>
        </w:rPr>
        <w:t>.</w:t>
      </w:r>
      <w:r w:rsidRPr="008F5E16">
        <w:rPr>
          <w:rtl/>
        </w:rPr>
        <w:t xml:space="preserve"> </w:t>
      </w:r>
      <w:r w:rsidRPr="00DD035D">
        <w:rPr>
          <w:rFonts w:ascii="Arial" w:hAnsi="Arial"/>
          <w:rtl/>
        </w:rPr>
        <w:t>ה</w:t>
      </w:r>
      <w:r>
        <w:rPr>
          <w:rFonts w:ascii="Arial" w:hAnsi="Arial" w:hint="cs"/>
          <w:rtl/>
        </w:rPr>
        <w:t xml:space="preserve">נאשם הינו נשוי </w:t>
      </w:r>
      <w:r w:rsidRPr="00DD035D">
        <w:rPr>
          <w:rFonts w:ascii="Arial" w:hAnsi="Arial"/>
          <w:rtl/>
        </w:rPr>
        <w:t>ואב לילדים</w:t>
      </w:r>
      <w:r>
        <w:rPr>
          <w:rFonts w:ascii="Arial" w:hAnsi="Arial" w:hint="cs"/>
          <w:rtl/>
        </w:rPr>
        <w:t xml:space="preserve">, בעל חברה </w:t>
      </w:r>
      <w:r w:rsidRPr="00DD035D">
        <w:rPr>
          <w:rFonts w:ascii="Arial" w:hAnsi="Arial"/>
          <w:rtl/>
        </w:rPr>
        <w:t xml:space="preserve"> </w:t>
      </w:r>
      <w:r>
        <w:rPr>
          <w:rFonts w:ascii="Arial" w:hAnsi="Arial" w:hint="cs"/>
          <w:rtl/>
        </w:rPr>
        <w:t>המספקת מוצרי חלב באזור עוטף ירושלים ובתחומי האזור.</w:t>
      </w:r>
    </w:p>
    <w:p w14:paraId="6DCE37FE" w14:textId="77777777" w:rsidR="00364FF4" w:rsidRPr="00571247" w:rsidRDefault="00364FF4" w:rsidP="00364FF4">
      <w:pPr>
        <w:pStyle w:val="a9"/>
        <w:numPr>
          <w:ilvl w:val="0"/>
          <w:numId w:val="1"/>
        </w:numPr>
        <w:spacing w:line="360" w:lineRule="auto"/>
        <w:jc w:val="both"/>
        <w:rPr>
          <w:rFonts w:ascii="Arial" w:hAnsi="Arial"/>
          <w:rtl/>
        </w:rPr>
      </w:pPr>
      <w:r w:rsidRPr="00571247">
        <w:rPr>
          <w:rFonts w:ascii="Arial" w:hAnsi="Arial"/>
          <w:rtl/>
        </w:rPr>
        <w:t xml:space="preserve">לחובת הנאשם </w:t>
      </w:r>
      <w:r>
        <w:rPr>
          <w:rFonts w:ascii="Arial" w:hAnsi="Arial" w:hint="cs"/>
          <w:rtl/>
        </w:rPr>
        <w:t xml:space="preserve">שתי הרשעות קודמות האחת משנת 2017 בעבירות של חברות בהתאגדות אסורה, קשר לפשע ואיסור פעולה /העברה של רכוש טרור בגינה נדון בחודש פברואר 2018 ל-128 ימי מאסר. לחובת הנאשם עבירה נוספת משנת 2012 מתחום התכנון והבנייה. </w:t>
      </w:r>
    </w:p>
    <w:p w14:paraId="1B46F3F3" w14:textId="77777777" w:rsidR="00364FF4" w:rsidRPr="00571247" w:rsidRDefault="00364FF4" w:rsidP="00364FF4">
      <w:pPr>
        <w:pStyle w:val="a9"/>
        <w:numPr>
          <w:ilvl w:val="0"/>
          <w:numId w:val="1"/>
        </w:numPr>
        <w:spacing w:line="360" w:lineRule="auto"/>
        <w:jc w:val="both"/>
        <w:rPr>
          <w:rFonts w:ascii="Arial" w:hAnsi="Arial"/>
          <w:rtl/>
        </w:rPr>
      </w:pPr>
      <w:r w:rsidRPr="00571247">
        <w:rPr>
          <w:rFonts w:ascii="Arial" w:hAnsi="Arial"/>
          <w:rtl/>
        </w:rPr>
        <w:t>באיזון בין כלל השיקולים שפורטו לעיל, ראיתי לקבוע את עונשו של הנאשם בחלק</w:t>
      </w:r>
      <w:r>
        <w:rPr>
          <w:rFonts w:ascii="Arial" w:hAnsi="Arial" w:hint="cs"/>
          <w:rtl/>
        </w:rPr>
        <w:t>ו</w:t>
      </w:r>
      <w:r w:rsidRPr="00571247">
        <w:rPr>
          <w:rFonts w:ascii="Arial" w:hAnsi="Arial"/>
          <w:rtl/>
        </w:rPr>
        <w:t xml:space="preserve"> התחתון של מתחם העונש ההולם ולהטיל עליו את העונשים הבאים:</w:t>
      </w:r>
    </w:p>
    <w:p w14:paraId="0C0981AE" w14:textId="77777777" w:rsidR="00364FF4" w:rsidRPr="00571247" w:rsidRDefault="00364FF4" w:rsidP="00364FF4">
      <w:pPr>
        <w:pStyle w:val="a9"/>
        <w:numPr>
          <w:ilvl w:val="0"/>
          <w:numId w:val="2"/>
        </w:numPr>
        <w:spacing w:line="360" w:lineRule="auto"/>
        <w:jc w:val="both"/>
        <w:rPr>
          <w:rFonts w:ascii="Arial" w:hAnsi="Arial"/>
          <w:rtl/>
        </w:rPr>
      </w:pPr>
      <w:r w:rsidRPr="00571247">
        <w:rPr>
          <w:rFonts w:ascii="Arial" w:hAnsi="Arial"/>
          <w:rtl/>
        </w:rPr>
        <w:t>מאסר למשך</w:t>
      </w:r>
      <w:r>
        <w:rPr>
          <w:rFonts w:ascii="Arial" w:hAnsi="Arial" w:hint="cs"/>
          <w:rtl/>
        </w:rPr>
        <w:t xml:space="preserve"> 14 </w:t>
      </w:r>
      <w:r w:rsidRPr="00571247">
        <w:rPr>
          <w:rFonts w:ascii="Arial" w:hAnsi="Arial"/>
          <w:rtl/>
        </w:rPr>
        <w:t>חודשים בניכוי ימי המעצר.</w:t>
      </w:r>
    </w:p>
    <w:p w14:paraId="63C09FDD" w14:textId="77777777" w:rsidR="00364FF4" w:rsidRDefault="00364FF4" w:rsidP="00364FF4">
      <w:pPr>
        <w:pStyle w:val="a9"/>
        <w:numPr>
          <w:ilvl w:val="0"/>
          <w:numId w:val="2"/>
        </w:numPr>
        <w:spacing w:line="360" w:lineRule="auto"/>
        <w:jc w:val="both"/>
        <w:rPr>
          <w:rFonts w:ascii="Arial" w:hAnsi="Arial"/>
        </w:rPr>
      </w:pPr>
      <w:r w:rsidRPr="00571247">
        <w:rPr>
          <w:rFonts w:ascii="Arial" w:hAnsi="Arial"/>
          <w:rtl/>
        </w:rPr>
        <w:t xml:space="preserve">מאסר למשך </w:t>
      </w:r>
      <w:r>
        <w:rPr>
          <w:rFonts w:ascii="Arial" w:hAnsi="Arial" w:hint="cs"/>
          <w:rtl/>
        </w:rPr>
        <w:t>5 חוד</w:t>
      </w:r>
      <w:r w:rsidRPr="00571247">
        <w:rPr>
          <w:rFonts w:ascii="Arial" w:hAnsi="Arial"/>
          <w:rtl/>
        </w:rPr>
        <w:t xml:space="preserve">שים וזאת על תנאי למשך 3 שנים מיום שחרורו של הנאשם מהמאסר שלא יעבור עבירה בניגוד </w:t>
      </w:r>
      <w:hyperlink r:id="rId24" w:history="1">
        <w:r w:rsidR="00CB58EB" w:rsidRPr="00CB58EB">
          <w:rPr>
            <w:rStyle w:val="Hyperlink"/>
            <w:rFonts w:ascii="Arial" w:hAnsi="Arial"/>
            <w:rtl/>
          </w:rPr>
          <w:t>לסעיף 144</w:t>
        </w:r>
      </w:hyperlink>
      <w:r w:rsidRPr="00571247">
        <w:rPr>
          <w:rFonts w:ascii="Arial" w:hAnsi="Arial"/>
          <w:rtl/>
        </w:rPr>
        <w:t xml:space="preserve"> ל</w:t>
      </w:r>
      <w:hyperlink r:id="rId25" w:history="1">
        <w:r w:rsidR="00735BE6" w:rsidRPr="00735BE6">
          <w:rPr>
            <w:rFonts w:ascii="Arial" w:hAnsi="Arial"/>
            <w:color w:val="0000FF"/>
            <w:u w:val="single"/>
            <w:rtl/>
          </w:rPr>
          <w:t>חוק העונשין</w:t>
        </w:r>
      </w:hyperlink>
      <w:r w:rsidRPr="00571247">
        <w:rPr>
          <w:rFonts w:ascii="Arial" w:hAnsi="Arial"/>
          <w:rtl/>
        </w:rPr>
        <w:t>.</w:t>
      </w:r>
    </w:p>
    <w:p w14:paraId="6FC1CF34" w14:textId="77777777" w:rsidR="00364FF4" w:rsidRDefault="00364FF4" w:rsidP="00364FF4">
      <w:pPr>
        <w:pStyle w:val="a9"/>
        <w:numPr>
          <w:ilvl w:val="0"/>
          <w:numId w:val="2"/>
        </w:numPr>
        <w:spacing w:line="360" w:lineRule="auto"/>
        <w:jc w:val="both"/>
        <w:rPr>
          <w:rFonts w:ascii="Arial" w:hAnsi="Arial"/>
        </w:rPr>
      </w:pPr>
      <w:r w:rsidRPr="00ED07B1">
        <w:rPr>
          <w:rFonts w:ascii="Arial" w:hAnsi="Arial" w:hint="cs"/>
          <w:rtl/>
        </w:rPr>
        <w:t>קנס בסך 3000 ₪ אשר ישולם עד ליום 4.8.2024.</w:t>
      </w:r>
    </w:p>
    <w:p w14:paraId="7936E9A2" w14:textId="77777777" w:rsidR="00364FF4" w:rsidRPr="008F5E16" w:rsidRDefault="00364FF4" w:rsidP="00364FF4">
      <w:pPr>
        <w:spacing w:line="360" w:lineRule="auto"/>
        <w:ind w:left="1080"/>
        <w:jc w:val="both"/>
        <w:rPr>
          <w:rFonts w:ascii="David" w:hAnsi="David"/>
          <w:sz w:val="20"/>
          <w:szCs w:val="20"/>
          <w:rtl/>
        </w:rPr>
      </w:pPr>
      <w:r w:rsidRPr="008F5E16">
        <w:rPr>
          <w:rFonts w:ascii="David" w:hAnsi="David"/>
          <w:sz w:val="20"/>
          <w:szCs w:val="20"/>
          <w:rtl/>
        </w:rPr>
        <w:t>החוב מועבר למרכז לגביית קנסות, אגרות והוצאות ברשות האכיפה והגבייה, בהתאם למועדים והתשלומים שקבע בית המשפט.</w:t>
      </w:r>
    </w:p>
    <w:p w14:paraId="4AADF3D9" w14:textId="77777777" w:rsidR="00364FF4" w:rsidRPr="008F5E16" w:rsidRDefault="00364FF4" w:rsidP="00364FF4">
      <w:pPr>
        <w:spacing w:line="360" w:lineRule="auto"/>
        <w:ind w:left="1080"/>
        <w:jc w:val="both"/>
        <w:rPr>
          <w:rFonts w:ascii="David" w:hAnsi="David"/>
          <w:sz w:val="20"/>
          <w:szCs w:val="20"/>
        </w:rPr>
      </w:pPr>
      <w:r w:rsidRPr="008F5E16">
        <w:rPr>
          <w:rFonts w:ascii="David" w:hAnsi="David"/>
          <w:sz w:val="20"/>
          <w:szCs w:val="20"/>
          <w:rtl/>
        </w:rPr>
        <w:t>ניתן יהיה לשלם את הקנס/ פיצוי/ ההוצאות כעבור שלושה ימים מיום מתן ההחלטה/</w:t>
      </w:r>
      <w:r w:rsidR="00735BE6">
        <w:rPr>
          <w:rFonts w:ascii="David" w:hAnsi="David"/>
          <w:sz w:val="20"/>
          <w:szCs w:val="20"/>
          <w:rtl/>
        </w:rPr>
        <w:t xml:space="preserve"> </w:t>
      </w:r>
      <w:r w:rsidRPr="008F5E16">
        <w:rPr>
          <w:rFonts w:ascii="David" w:hAnsi="David"/>
          <w:sz w:val="20"/>
          <w:szCs w:val="20"/>
          <w:rtl/>
        </w:rPr>
        <w:t xml:space="preserve"> גזר הדין לחשבון המרכז לגביית קנסות, אגרות והוצאות ברשות האכיפה והגבייה באחת מהדרכים הבאות:</w:t>
      </w:r>
    </w:p>
    <w:p w14:paraId="0E709963" w14:textId="77777777" w:rsidR="00364FF4" w:rsidRPr="008F5E16" w:rsidRDefault="00364FF4" w:rsidP="00364FF4">
      <w:pPr>
        <w:numPr>
          <w:ilvl w:val="0"/>
          <w:numId w:val="4"/>
        </w:numPr>
        <w:spacing w:line="360" w:lineRule="auto"/>
        <w:jc w:val="both"/>
        <w:rPr>
          <w:rFonts w:ascii="David" w:hAnsi="David"/>
          <w:b/>
          <w:bCs/>
          <w:sz w:val="20"/>
          <w:szCs w:val="20"/>
        </w:rPr>
      </w:pPr>
      <w:r w:rsidRPr="008F5E16">
        <w:rPr>
          <w:rFonts w:ascii="David" w:hAnsi="David"/>
          <w:b/>
          <w:bCs/>
          <w:sz w:val="20"/>
          <w:szCs w:val="20"/>
          <w:rtl/>
        </w:rPr>
        <w:t>בכרטיס אשראי</w:t>
      </w:r>
      <w:r w:rsidRPr="008F5E16">
        <w:rPr>
          <w:rFonts w:ascii="David" w:hAnsi="David"/>
          <w:sz w:val="20"/>
          <w:szCs w:val="20"/>
          <w:rtl/>
        </w:rPr>
        <w:t xml:space="preserve"> – באתר המקוון של רשות האכיפה והגבייה, </w:t>
      </w:r>
      <w:hyperlink r:id="rId26" w:history="1">
        <w:r w:rsidRPr="008F5E16">
          <w:rPr>
            <w:rStyle w:val="Hyperlink"/>
            <w:rFonts w:ascii="David" w:hAnsi="David"/>
            <w:sz w:val="20"/>
            <w:szCs w:val="20"/>
          </w:rPr>
          <w:t>www.eca.gov.il</w:t>
        </w:r>
      </w:hyperlink>
      <w:r w:rsidRPr="008F5E16">
        <w:rPr>
          <w:rFonts w:ascii="David" w:hAnsi="David"/>
          <w:sz w:val="20"/>
          <w:szCs w:val="20"/>
        </w:rPr>
        <w:t xml:space="preserve"> </w:t>
      </w:r>
      <w:r w:rsidR="00735BE6">
        <w:rPr>
          <w:rFonts w:ascii="David" w:hAnsi="David"/>
          <w:sz w:val="20"/>
          <w:szCs w:val="20"/>
          <w:rtl/>
        </w:rPr>
        <w:t xml:space="preserve"> </w:t>
      </w:r>
    </w:p>
    <w:p w14:paraId="10B91E5E" w14:textId="77777777" w:rsidR="00364FF4" w:rsidRPr="008F5E16" w:rsidRDefault="00364FF4" w:rsidP="00364FF4">
      <w:pPr>
        <w:numPr>
          <w:ilvl w:val="0"/>
          <w:numId w:val="4"/>
        </w:numPr>
        <w:spacing w:line="360" w:lineRule="auto"/>
        <w:jc w:val="both"/>
        <w:rPr>
          <w:rFonts w:ascii="David" w:hAnsi="David"/>
          <w:b/>
          <w:bCs/>
          <w:sz w:val="20"/>
          <w:szCs w:val="20"/>
          <w:rtl/>
        </w:rPr>
      </w:pPr>
      <w:r w:rsidRPr="008F5E16">
        <w:rPr>
          <w:rFonts w:ascii="David" w:hAnsi="David"/>
          <w:b/>
          <w:bCs/>
          <w:sz w:val="20"/>
          <w:szCs w:val="20"/>
          <w:rtl/>
        </w:rPr>
        <w:t>מוקד שירות טלפוני בשרות עצמי (מרכז גבייה)</w:t>
      </w:r>
      <w:r w:rsidR="00735BE6">
        <w:rPr>
          <w:rFonts w:ascii="David" w:hAnsi="David"/>
          <w:b/>
          <w:bCs/>
          <w:sz w:val="20"/>
          <w:szCs w:val="20"/>
          <w:rtl/>
        </w:rPr>
        <w:t xml:space="preserve"> </w:t>
      </w:r>
      <w:r w:rsidRPr="008F5E16">
        <w:rPr>
          <w:rFonts w:ascii="David" w:hAnsi="David"/>
          <w:b/>
          <w:bCs/>
          <w:sz w:val="20"/>
          <w:szCs w:val="20"/>
          <w:rtl/>
        </w:rPr>
        <w:t xml:space="preserve"> – בטלפון 35592* או בטלפון 073-2055000</w:t>
      </w:r>
    </w:p>
    <w:p w14:paraId="28CEC6DB" w14:textId="77777777" w:rsidR="00364FF4" w:rsidRPr="008F5E16" w:rsidRDefault="00364FF4" w:rsidP="00364FF4">
      <w:pPr>
        <w:numPr>
          <w:ilvl w:val="0"/>
          <w:numId w:val="4"/>
        </w:numPr>
        <w:spacing w:line="360" w:lineRule="auto"/>
        <w:jc w:val="both"/>
        <w:rPr>
          <w:rFonts w:ascii="David" w:hAnsi="David"/>
          <w:b/>
          <w:bCs/>
          <w:sz w:val="20"/>
          <w:szCs w:val="20"/>
          <w:rtl/>
        </w:rPr>
      </w:pPr>
      <w:r w:rsidRPr="008F5E16">
        <w:rPr>
          <w:rFonts w:ascii="David" w:hAnsi="David"/>
          <w:b/>
          <w:bCs/>
          <w:sz w:val="20"/>
          <w:szCs w:val="20"/>
          <w:rtl/>
        </w:rPr>
        <w:t>במזומן בכל סניף של בנק הדואר</w:t>
      </w:r>
      <w:r w:rsidRPr="008F5E16">
        <w:rPr>
          <w:rFonts w:ascii="David" w:hAnsi="David"/>
          <w:sz w:val="20"/>
          <w:szCs w:val="20"/>
          <w:rtl/>
        </w:rPr>
        <w:t xml:space="preserve"> – בהצגת תעודת זהות בלבד (אין צורך בשוברי תשלום).</w:t>
      </w:r>
    </w:p>
    <w:p w14:paraId="1FAF76B5" w14:textId="77777777" w:rsidR="00364FF4" w:rsidRPr="00ED07B1" w:rsidRDefault="00735BE6" w:rsidP="00364FF4">
      <w:pPr>
        <w:pStyle w:val="a9"/>
        <w:numPr>
          <w:ilvl w:val="0"/>
          <w:numId w:val="2"/>
        </w:numPr>
        <w:spacing w:line="360" w:lineRule="auto"/>
        <w:jc w:val="both"/>
        <w:rPr>
          <w:rFonts w:ascii="Arial" w:hAnsi="Arial"/>
          <w:rtl/>
        </w:rPr>
      </w:pPr>
      <w:r w:rsidRPr="00735BE6">
        <w:rPr>
          <w:rFonts w:ascii="Arial" w:hAnsi="Arial"/>
          <w:color w:val="FFFFFF"/>
          <w:sz w:val="2"/>
          <w:szCs w:val="2"/>
          <w:rtl/>
        </w:rPr>
        <w:t>5129371</w:t>
      </w:r>
      <w:r w:rsidR="00364FF4" w:rsidRPr="00ED07B1">
        <w:rPr>
          <w:rFonts w:ascii="Arial" w:hAnsi="Arial"/>
          <w:rtl/>
        </w:rPr>
        <w:t>המוצגים יחולטו או יושמדו לפי החלטת רשם המוצגים.</w:t>
      </w:r>
    </w:p>
    <w:p w14:paraId="2969CB9B" w14:textId="77777777" w:rsidR="00364FF4" w:rsidRPr="00BF6034" w:rsidRDefault="00735BE6" w:rsidP="00364FF4">
      <w:pPr>
        <w:spacing w:line="360" w:lineRule="auto"/>
        <w:ind w:left="360"/>
        <w:jc w:val="both"/>
        <w:rPr>
          <w:rFonts w:ascii="Arial" w:hAnsi="Arial"/>
          <w:b/>
          <w:bCs/>
          <w:sz w:val="22"/>
          <w:szCs w:val="22"/>
          <w:rtl/>
        </w:rPr>
      </w:pPr>
      <w:r w:rsidRPr="00735BE6">
        <w:rPr>
          <w:rFonts w:ascii="Arial" w:hAnsi="Arial"/>
          <w:b/>
          <w:bCs/>
          <w:color w:val="FFFFFF"/>
          <w:sz w:val="2"/>
          <w:szCs w:val="2"/>
          <w:rtl/>
        </w:rPr>
        <w:t>54678313</w:t>
      </w:r>
      <w:r w:rsidR="00364FF4" w:rsidRPr="00BF6034">
        <w:rPr>
          <w:rFonts w:ascii="Arial" w:hAnsi="Arial"/>
          <w:b/>
          <w:bCs/>
          <w:sz w:val="22"/>
          <w:szCs w:val="22"/>
          <w:rtl/>
        </w:rPr>
        <w:t>זכות ערעור לבית המשפט המחוזי בתוך 45 יום.</w:t>
      </w:r>
    </w:p>
    <w:p w14:paraId="5AB4C895" w14:textId="77777777" w:rsidR="00364FF4" w:rsidRPr="00BF6034" w:rsidRDefault="00364FF4" w:rsidP="00364FF4">
      <w:pPr>
        <w:spacing w:line="360" w:lineRule="auto"/>
        <w:jc w:val="both"/>
        <w:rPr>
          <w:rFonts w:ascii="Arial" w:hAnsi="Arial"/>
          <w:sz w:val="22"/>
          <w:szCs w:val="22"/>
          <w:rtl/>
        </w:rPr>
      </w:pPr>
    </w:p>
    <w:p w14:paraId="647FDCB6" w14:textId="77777777" w:rsidR="00364FF4" w:rsidRPr="00BF6034" w:rsidRDefault="00735BE6" w:rsidP="00364FF4">
      <w:pPr>
        <w:spacing w:line="360" w:lineRule="auto"/>
        <w:jc w:val="both"/>
        <w:rPr>
          <w:rFonts w:ascii="Arial" w:hAnsi="Arial"/>
          <w:sz w:val="22"/>
          <w:szCs w:val="22"/>
          <w:rtl/>
        </w:rPr>
      </w:pPr>
      <w:bookmarkStart w:id="8" w:name="Nitan"/>
      <w:r>
        <w:rPr>
          <w:rFonts w:ascii="Arial" w:hAnsi="Arial"/>
          <w:sz w:val="22"/>
          <w:szCs w:val="22"/>
          <w:rtl/>
        </w:rPr>
        <w:t xml:space="preserve">ניתן היום,  כ"ב שבט תשפ"ד, 01 פברואר 2024, במעמד הנוכחים (הנאשם וביעוד חזותי). </w:t>
      </w:r>
      <w:bookmarkEnd w:id="8"/>
      <w:r w:rsidR="00364FF4" w:rsidRPr="00BF6034">
        <w:rPr>
          <w:rFonts w:ascii="Arial" w:hAnsi="Arial"/>
          <w:sz w:val="22"/>
          <w:szCs w:val="22"/>
          <w:rtl/>
        </w:rPr>
        <w:tab/>
      </w:r>
      <w:r w:rsidR="00364FF4" w:rsidRPr="00BF6034">
        <w:rPr>
          <w:rFonts w:ascii="Arial" w:hAnsi="Arial"/>
          <w:sz w:val="22"/>
          <w:szCs w:val="22"/>
          <w:rtl/>
        </w:rPr>
        <w:tab/>
      </w:r>
      <w:r w:rsidR="00364FF4" w:rsidRPr="00BF6034">
        <w:rPr>
          <w:rFonts w:ascii="Arial" w:hAnsi="Arial"/>
          <w:sz w:val="22"/>
          <w:szCs w:val="22"/>
          <w:rtl/>
        </w:rPr>
        <w:tab/>
      </w:r>
      <w:r w:rsidR="00364FF4" w:rsidRPr="00BF6034">
        <w:rPr>
          <w:rFonts w:ascii="Arial" w:hAnsi="Arial"/>
          <w:sz w:val="22"/>
          <w:szCs w:val="22"/>
          <w:rtl/>
        </w:rPr>
        <w:tab/>
      </w:r>
      <w:r w:rsidR="00364FF4" w:rsidRPr="00BF6034">
        <w:rPr>
          <w:rFonts w:ascii="Arial" w:hAnsi="Arial"/>
          <w:sz w:val="22"/>
          <w:szCs w:val="22"/>
          <w:rtl/>
        </w:rPr>
        <w:tab/>
      </w:r>
      <w:r w:rsidR="00364FF4" w:rsidRPr="00BF6034">
        <w:rPr>
          <w:rFonts w:ascii="Arial" w:hAnsi="Arial"/>
          <w:sz w:val="22"/>
          <w:szCs w:val="22"/>
          <w:rtl/>
        </w:rPr>
        <w:tab/>
      </w:r>
      <w:r w:rsidR="00364FF4" w:rsidRPr="00BF6034">
        <w:rPr>
          <w:rFonts w:ascii="Arial" w:hAnsi="Arial"/>
          <w:sz w:val="22"/>
          <w:szCs w:val="22"/>
          <w:rtl/>
        </w:rPr>
        <w:tab/>
      </w:r>
      <w:r w:rsidR="00364FF4" w:rsidRPr="00BF6034">
        <w:rPr>
          <w:rFonts w:ascii="Arial" w:hAnsi="Arial" w:hint="cs"/>
          <w:sz w:val="22"/>
          <w:szCs w:val="22"/>
          <w:rtl/>
        </w:rPr>
        <w:t xml:space="preserve">         </w:t>
      </w:r>
    </w:p>
    <w:p w14:paraId="18431121" w14:textId="77777777" w:rsidR="00735BE6" w:rsidRDefault="00735BE6" w:rsidP="00735BE6">
      <w:pPr>
        <w:rPr>
          <w:rtl/>
        </w:rPr>
      </w:pPr>
    </w:p>
    <w:p w14:paraId="5FF4DEC0" w14:textId="77777777" w:rsidR="00735BE6" w:rsidRDefault="00735BE6" w:rsidP="00735BE6">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50125BB1" w14:textId="77777777" w:rsidR="00CB58EB" w:rsidRPr="00CB58EB" w:rsidRDefault="00CB58EB" w:rsidP="00CB58EB">
      <w:pPr>
        <w:keepNext/>
        <w:rPr>
          <w:rFonts w:ascii="David" w:hAnsi="David"/>
          <w:color w:val="000000"/>
          <w:sz w:val="22"/>
          <w:szCs w:val="22"/>
          <w:rtl/>
        </w:rPr>
      </w:pPr>
    </w:p>
    <w:p w14:paraId="6B547D60" w14:textId="77777777" w:rsidR="00CB58EB" w:rsidRPr="00CB58EB" w:rsidRDefault="00CB58EB" w:rsidP="00CB58EB">
      <w:pPr>
        <w:keepNext/>
        <w:rPr>
          <w:rFonts w:ascii="David" w:hAnsi="David"/>
          <w:color w:val="000000"/>
          <w:sz w:val="22"/>
          <w:szCs w:val="22"/>
          <w:rtl/>
        </w:rPr>
      </w:pPr>
      <w:r w:rsidRPr="00CB58EB">
        <w:rPr>
          <w:rFonts w:ascii="David" w:hAnsi="David"/>
          <w:color w:val="000000"/>
          <w:sz w:val="22"/>
          <w:szCs w:val="22"/>
          <w:rtl/>
        </w:rPr>
        <w:t>ארנון איתן 54678313-/</w:t>
      </w:r>
    </w:p>
    <w:p w14:paraId="235AB12E" w14:textId="77777777" w:rsidR="00735BE6" w:rsidRPr="00735BE6" w:rsidRDefault="00CB58EB" w:rsidP="00CB58EB">
      <w:pPr>
        <w:rPr>
          <w:color w:val="0000FF"/>
          <w:u w:val="single"/>
        </w:rPr>
      </w:pPr>
      <w:r w:rsidRPr="00CB58EB">
        <w:rPr>
          <w:color w:val="000000"/>
          <w:u w:val="single"/>
          <w:rtl/>
        </w:rPr>
        <w:t>נוסח מסמך זה כפוף לשינויי ניסוח ועריכה</w:t>
      </w:r>
    </w:p>
    <w:sectPr w:rsidR="00735BE6" w:rsidRPr="00735BE6" w:rsidSect="00CB58EB">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BBEC0" w14:textId="77777777" w:rsidR="00E458FB" w:rsidRDefault="00E458FB" w:rsidP="00FE705E">
      <w:r>
        <w:separator/>
      </w:r>
    </w:p>
  </w:endnote>
  <w:endnote w:type="continuationSeparator" w:id="0">
    <w:p w14:paraId="7B03BB94" w14:textId="77777777" w:rsidR="00E458FB" w:rsidRDefault="00E458FB" w:rsidP="00FE7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98F77" w14:textId="77777777" w:rsidR="00CB58EB" w:rsidRDefault="00CB58EB" w:rsidP="00CB58E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E919CE6" w14:textId="77777777" w:rsidR="00B11FE6" w:rsidRPr="00CB58EB" w:rsidRDefault="00CB58EB" w:rsidP="00CB58EB">
    <w:pPr>
      <w:pStyle w:val="a5"/>
      <w:pBdr>
        <w:top w:val="single" w:sz="4" w:space="1" w:color="auto"/>
        <w:between w:val="single" w:sz="4" w:space="0" w:color="auto"/>
      </w:pBdr>
      <w:spacing w:after="60"/>
      <w:jc w:val="center"/>
      <w:rPr>
        <w:rFonts w:ascii="FrankRuehl" w:hAnsi="FrankRuehl" w:cs="FrankRuehl"/>
        <w:color w:val="000000"/>
      </w:rPr>
    </w:pPr>
    <w:r w:rsidRPr="00CB58E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78C8E" w14:textId="77777777" w:rsidR="00CB58EB" w:rsidRDefault="00CB58EB" w:rsidP="00CB58E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16051">
      <w:rPr>
        <w:rFonts w:ascii="FrankRuehl" w:hAnsi="FrankRuehl" w:cs="FrankRuehl"/>
        <w:noProof/>
        <w:rtl/>
      </w:rPr>
      <w:t>1</w:t>
    </w:r>
    <w:r>
      <w:rPr>
        <w:rFonts w:ascii="FrankRuehl" w:hAnsi="FrankRuehl" w:cs="FrankRuehl"/>
        <w:rtl/>
      </w:rPr>
      <w:fldChar w:fldCharType="end"/>
    </w:r>
  </w:p>
  <w:p w14:paraId="5EE7D7F6" w14:textId="77777777" w:rsidR="00B11FE6" w:rsidRPr="00CB58EB" w:rsidRDefault="00CB58EB" w:rsidP="00CB58EB">
    <w:pPr>
      <w:pStyle w:val="a5"/>
      <w:pBdr>
        <w:top w:val="single" w:sz="4" w:space="1" w:color="auto"/>
        <w:between w:val="single" w:sz="4" w:space="0" w:color="auto"/>
      </w:pBdr>
      <w:spacing w:after="60"/>
      <w:jc w:val="center"/>
      <w:rPr>
        <w:rFonts w:ascii="FrankRuehl" w:hAnsi="FrankRuehl" w:cs="FrankRuehl"/>
        <w:color w:val="000000"/>
      </w:rPr>
    </w:pPr>
    <w:r w:rsidRPr="00CB58EB">
      <w:rPr>
        <w:rFonts w:ascii="FrankRuehl" w:hAnsi="FrankRuehl" w:cs="FrankRuehl"/>
        <w:color w:val="000000"/>
      </w:rPr>
      <w:pict w14:anchorId="7A7CB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70DD5" w14:textId="77777777" w:rsidR="00E458FB" w:rsidRDefault="00E458FB" w:rsidP="00FE705E">
      <w:r>
        <w:separator/>
      </w:r>
    </w:p>
  </w:footnote>
  <w:footnote w:type="continuationSeparator" w:id="0">
    <w:p w14:paraId="2682F18F" w14:textId="77777777" w:rsidR="00E458FB" w:rsidRDefault="00E458FB" w:rsidP="00FE7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629EA" w14:textId="77777777" w:rsidR="00735BE6" w:rsidRPr="00CB58EB" w:rsidRDefault="00CB58EB" w:rsidP="00CB58E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33774-05-23</w:t>
    </w:r>
    <w:r>
      <w:rPr>
        <w:rFonts w:ascii="David" w:hAnsi="David"/>
        <w:color w:val="000000"/>
        <w:sz w:val="22"/>
        <w:szCs w:val="22"/>
        <w:rtl/>
      </w:rPr>
      <w:tab/>
      <w:t xml:space="preserve"> מדינת ישראל נ' מוסא סלאמה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8F317" w14:textId="77777777" w:rsidR="00735BE6" w:rsidRPr="00CB58EB" w:rsidRDefault="00CB58EB" w:rsidP="00CB58E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33774-05-23</w:t>
    </w:r>
    <w:r>
      <w:rPr>
        <w:rFonts w:ascii="David" w:hAnsi="David"/>
        <w:color w:val="000000"/>
        <w:sz w:val="22"/>
        <w:szCs w:val="22"/>
        <w:rtl/>
      </w:rPr>
      <w:tab/>
      <w:t xml:space="preserve"> מדינת ישראל נ' מוסא סלאמה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E2F6C11"/>
    <w:multiLevelType w:val="hybridMultilevel"/>
    <w:tmpl w:val="7968FFEC"/>
    <w:lvl w:ilvl="0" w:tplc="99D04D12">
      <w:start w:val="1"/>
      <w:numFmt w:val="hebrew1"/>
      <w:lvlText w:val="%1."/>
      <w:lvlJc w:val="left"/>
      <w:pPr>
        <w:ind w:left="1035" w:hanging="6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67573"/>
    <w:multiLevelType w:val="hybridMultilevel"/>
    <w:tmpl w:val="175EE9DE"/>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EB0BAA"/>
    <w:multiLevelType w:val="hybridMultilevel"/>
    <w:tmpl w:val="041E5702"/>
    <w:lvl w:ilvl="0" w:tplc="7C484400">
      <w:start w:val="1"/>
      <w:numFmt w:val="decimal"/>
      <w:lvlText w:val="%1."/>
      <w:lvlJc w:val="left"/>
      <w:pPr>
        <w:ind w:left="720" w:hanging="360"/>
      </w:pPr>
      <w:rPr>
        <w:b w:val="0"/>
        <w:bCs w:val="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0697962">
    <w:abstractNumId w:val="3"/>
  </w:num>
  <w:num w:numId="2" w16cid:durableId="988706359">
    <w:abstractNumId w:val="1"/>
  </w:num>
  <w:num w:numId="3" w16cid:durableId="1676374156">
    <w:abstractNumId w:val="2"/>
  </w:num>
  <w:num w:numId="4" w16cid:durableId="193691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64FF4"/>
    <w:rsid w:val="000C700A"/>
    <w:rsid w:val="001B5A3B"/>
    <w:rsid w:val="00364FF4"/>
    <w:rsid w:val="00616051"/>
    <w:rsid w:val="00735BE6"/>
    <w:rsid w:val="007F5236"/>
    <w:rsid w:val="008029DD"/>
    <w:rsid w:val="009A3373"/>
    <w:rsid w:val="00AA2EA5"/>
    <w:rsid w:val="00B11FE6"/>
    <w:rsid w:val="00B94CB5"/>
    <w:rsid w:val="00CB58EB"/>
    <w:rsid w:val="00E458FB"/>
    <w:rsid w:val="00E505B8"/>
    <w:rsid w:val="00FD4E86"/>
    <w:rsid w:val="00FE70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E23B89"/>
  <w15:chartTrackingRefBased/>
  <w15:docId w15:val="{205086D6-BCC4-4C19-BBAF-BBF1AB72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64FF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64FF4"/>
    <w:pPr>
      <w:tabs>
        <w:tab w:val="center" w:pos="4153"/>
        <w:tab w:val="right" w:pos="8306"/>
      </w:tabs>
    </w:pPr>
  </w:style>
  <w:style w:type="character" w:customStyle="1" w:styleId="a4">
    <w:name w:val="כותרת עליונה תו"/>
    <w:link w:val="a3"/>
    <w:rsid w:val="00364FF4"/>
    <w:rPr>
      <w:rFonts w:ascii="Times New Roman" w:eastAsia="Times New Roman" w:hAnsi="Times New Roman" w:cs="David"/>
      <w:sz w:val="24"/>
      <w:szCs w:val="24"/>
    </w:rPr>
  </w:style>
  <w:style w:type="paragraph" w:styleId="a5">
    <w:name w:val="footer"/>
    <w:basedOn w:val="a"/>
    <w:link w:val="a6"/>
    <w:rsid w:val="00364FF4"/>
    <w:pPr>
      <w:tabs>
        <w:tab w:val="center" w:pos="4153"/>
        <w:tab w:val="right" w:pos="8306"/>
      </w:tabs>
    </w:pPr>
  </w:style>
  <w:style w:type="character" w:customStyle="1" w:styleId="a6">
    <w:name w:val="כותרת תחתונה תו"/>
    <w:link w:val="a5"/>
    <w:rsid w:val="00364FF4"/>
    <w:rPr>
      <w:rFonts w:ascii="Times New Roman" w:eastAsia="Times New Roman" w:hAnsi="Times New Roman" w:cs="David"/>
      <w:sz w:val="24"/>
      <w:szCs w:val="24"/>
    </w:rPr>
  </w:style>
  <w:style w:type="table" w:styleId="a7">
    <w:name w:val="Table Grid"/>
    <w:basedOn w:val="a1"/>
    <w:rsid w:val="00364FF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64FF4"/>
  </w:style>
  <w:style w:type="paragraph" w:styleId="a9">
    <w:name w:val="List Paragraph"/>
    <w:basedOn w:val="a"/>
    <w:qFormat/>
    <w:rsid w:val="00364FF4"/>
    <w:pPr>
      <w:ind w:left="720"/>
      <w:contextualSpacing/>
    </w:pPr>
  </w:style>
  <w:style w:type="character" w:styleId="Hyperlink">
    <w:name w:val="Hyperlink"/>
    <w:rsid w:val="00364F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824863" TargetMode="External"/><Relationship Id="rId18" Type="http://schemas.openxmlformats.org/officeDocument/2006/relationships/hyperlink" Target="http://www.nevo.co.il/case/6058757" TargetMode="External"/><Relationship Id="rId26" Type="http://schemas.openxmlformats.org/officeDocument/2006/relationships/hyperlink" Target="http://www.eca.gov.il/" TargetMode="External"/><Relationship Id="rId3" Type="http://schemas.openxmlformats.org/officeDocument/2006/relationships/settings" Target="settings.xml"/><Relationship Id="rId21" Type="http://schemas.openxmlformats.org/officeDocument/2006/relationships/hyperlink" Target="http://www.nevo.co.il/case/26484690"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6913995" TargetMode="External"/><Relationship Id="rId17" Type="http://schemas.openxmlformats.org/officeDocument/2006/relationships/hyperlink" Target="http://www.nevo.co.il/case/6024035" TargetMode="External"/><Relationship Id="rId25" Type="http://schemas.openxmlformats.org/officeDocument/2006/relationships/hyperlink" Target="http://www.nevo.co.il/law/7030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6383419" TargetMode="External"/><Relationship Id="rId20" Type="http://schemas.openxmlformats.org/officeDocument/2006/relationships/hyperlink" Target="http://www.nevo.co.il/case/23817589"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144"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969313" TargetMode="External"/><Relationship Id="rId23" Type="http://schemas.openxmlformats.org/officeDocument/2006/relationships/hyperlink" Target="http://www.nevo.co.il/case/16992066" TargetMode="External"/><Relationship Id="rId28"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hyperlink" Target="http://www.nevo.co.il/case/22228298"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5063920" TargetMode="External"/><Relationship Id="rId22" Type="http://schemas.openxmlformats.org/officeDocument/2006/relationships/hyperlink" Target="http://www.nevo.co.il/case/5724364"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1691</Words>
  <Characters>8455</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10126</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7864368</vt:i4>
      </vt:variant>
      <vt:variant>
        <vt:i4>57</vt:i4>
      </vt:variant>
      <vt:variant>
        <vt:i4>0</vt:i4>
      </vt:variant>
      <vt:variant>
        <vt:i4>5</vt:i4>
      </vt:variant>
      <vt:variant>
        <vt:lpwstr>http://www.eca.gov.il/</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6357092</vt:i4>
      </vt:variant>
      <vt:variant>
        <vt:i4>51</vt:i4>
      </vt:variant>
      <vt:variant>
        <vt:i4>0</vt:i4>
      </vt:variant>
      <vt:variant>
        <vt:i4>5</vt:i4>
      </vt:variant>
      <vt:variant>
        <vt:lpwstr>http://www.nevo.co.il/law/70301/144</vt:lpwstr>
      </vt:variant>
      <vt:variant>
        <vt:lpwstr/>
      </vt:variant>
      <vt:variant>
        <vt:i4>3932283</vt:i4>
      </vt:variant>
      <vt:variant>
        <vt:i4>48</vt:i4>
      </vt:variant>
      <vt:variant>
        <vt:i4>0</vt:i4>
      </vt:variant>
      <vt:variant>
        <vt:i4>5</vt:i4>
      </vt:variant>
      <vt:variant>
        <vt:lpwstr>http://www.nevo.co.il/case/16992066</vt:lpwstr>
      </vt:variant>
      <vt:variant>
        <vt:lpwstr/>
      </vt:variant>
      <vt:variant>
        <vt:i4>3145841</vt:i4>
      </vt:variant>
      <vt:variant>
        <vt:i4>45</vt:i4>
      </vt:variant>
      <vt:variant>
        <vt:i4>0</vt:i4>
      </vt:variant>
      <vt:variant>
        <vt:i4>5</vt:i4>
      </vt:variant>
      <vt:variant>
        <vt:lpwstr>http://www.nevo.co.il/case/5724364</vt:lpwstr>
      </vt:variant>
      <vt:variant>
        <vt:lpwstr/>
      </vt:variant>
      <vt:variant>
        <vt:i4>3866748</vt:i4>
      </vt:variant>
      <vt:variant>
        <vt:i4>42</vt:i4>
      </vt:variant>
      <vt:variant>
        <vt:i4>0</vt:i4>
      </vt:variant>
      <vt:variant>
        <vt:i4>5</vt:i4>
      </vt:variant>
      <vt:variant>
        <vt:lpwstr>http://www.nevo.co.il/case/26484690</vt:lpwstr>
      </vt:variant>
      <vt:variant>
        <vt:lpwstr/>
      </vt:variant>
      <vt:variant>
        <vt:i4>3473523</vt:i4>
      </vt:variant>
      <vt:variant>
        <vt:i4>39</vt:i4>
      </vt:variant>
      <vt:variant>
        <vt:i4>0</vt:i4>
      </vt:variant>
      <vt:variant>
        <vt:i4>5</vt:i4>
      </vt:variant>
      <vt:variant>
        <vt:lpwstr>http://www.nevo.co.il/case/23817589</vt:lpwstr>
      </vt:variant>
      <vt:variant>
        <vt:lpwstr/>
      </vt:variant>
      <vt:variant>
        <vt:i4>3211382</vt:i4>
      </vt:variant>
      <vt:variant>
        <vt:i4>36</vt:i4>
      </vt:variant>
      <vt:variant>
        <vt:i4>0</vt:i4>
      </vt:variant>
      <vt:variant>
        <vt:i4>5</vt:i4>
      </vt:variant>
      <vt:variant>
        <vt:lpwstr>http://www.nevo.co.il/case/22228298</vt:lpwstr>
      </vt:variant>
      <vt:variant>
        <vt:lpwstr/>
      </vt:variant>
      <vt:variant>
        <vt:i4>3342457</vt:i4>
      </vt:variant>
      <vt:variant>
        <vt:i4>33</vt:i4>
      </vt:variant>
      <vt:variant>
        <vt:i4>0</vt:i4>
      </vt:variant>
      <vt:variant>
        <vt:i4>5</vt:i4>
      </vt:variant>
      <vt:variant>
        <vt:lpwstr>http://www.nevo.co.il/case/6058757</vt:lpwstr>
      </vt:variant>
      <vt:variant>
        <vt:lpwstr/>
      </vt:variant>
      <vt:variant>
        <vt:i4>3211379</vt:i4>
      </vt:variant>
      <vt:variant>
        <vt:i4>30</vt:i4>
      </vt:variant>
      <vt:variant>
        <vt:i4>0</vt:i4>
      </vt:variant>
      <vt:variant>
        <vt:i4>5</vt:i4>
      </vt:variant>
      <vt:variant>
        <vt:lpwstr>http://www.nevo.co.il/case/6024035</vt:lpwstr>
      </vt:variant>
      <vt:variant>
        <vt:lpwstr/>
      </vt:variant>
      <vt:variant>
        <vt:i4>3342462</vt:i4>
      </vt:variant>
      <vt:variant>
        <vt:i4>27</vt:i4>
      </vt:variant>
      <vt:variant>
        <vt:i4>0</vt:i4>
      </vt:variant>
      <vt:variant>
        <vt:i4>5</vt:i4>
      </vt:variant>
      <vt:variant>
        <vt:lpwstr>http://www.nevo.co.il/case/26383419</vt:lpwstr>
      </vt:variant>
      <vt:variant>
        <vt:lpwstr/>
      </vt:variant>
      <vt:variant>
        <vt:i4>3342453</vt:i4>
      </vt:variant>
      <vt:variant>
        <vt:i4>24</vt:i4>
      </vt:variant>
      <vt:variant>
        <vt:i4>0</vt:i4>
      </vt:variant>
      <vt:variant>
        <vt:i4>5</vt:i4>
      </vt:variant>
      <vt:variant>
        <vt:lpwstr>http://www.nevo.co.il/case/5969313</vt:lpwstr>
      </vt:variant>
      <vt:variant>
        <vt:lpwstr/>
      </vt:variant>
      <vt:variant>
        <vt:i4>3342462</vt:i4>
      </vt:variant>
      <vt:variant>
        <vt:i4>21</vt:i4>
      </vt:variant>
      <vt:variant>
        <vt:i4>0</vt:i4>
      </vt:variant>
      <vt:variant>
        <vt:i4>5</vt:i4>
      </vt:variant>
      <vt:variant>
        <vt:lpwstr>http://www.nevo.co.il/case/25063920</vt:lpwstr>
      </vt:variant>
      <vt:variant>
        <vt:lpwstr/>
      </vt:variant>
      <vt:variant>
        <vt:i4>3670139</vt:i4>
      </vt:variant>
      <vt:variant>
        <vt:i4>18</vt:i4>
      </vt:variant>
      <vt:variant>
        <vt:i4>0</vt:i4>
      </vt:variant>
      <vt:variant>
        <vt:i4>5</vt:i4>
      </vt:variant>
      <vt:variant>
        <vt:lpwstr>http://www.nevo.co.il/case/25824863</vt:lpwstr>
      </vt:variant>
      <vt:variant>
        <vt:lpwstr/>
      </vt:variant>
      <vt:variant>
        <vt:i4>3211386</vt:i4>
      </vt:variant>
      <vt:variant>
        <vt:i4>15</vt:i4>
      </vt:variant>
      <vt:variant>
        <vt:i4>0</vt:i4>
      </vt:variant>
      <vt:variant>
        <vt:i4>5</vt:i4>
      </vt:variant>
      <vt:variant>
        <vt:lpwstr>http://www.nevo.co.il/case/26913995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2025-01-19T17:53:00Z</dcterms:created>
  <dcterms:modified xsi:type="dcterms:W3CDTF">2025-01-19T17:53:00Z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33774</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מוסא סלאמה</vt:lpwstr>
  </property>
  <property fmtid="{D5CDD505-2E9C-101B-9397-08002B2CF9AE}" pid="10" name="LAWYER">
    <vt:lpwstr>אמיר נבון</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20240201</vt:lpwstr>
  </property>
  <property fmtid="{D5CDD505-2E9C-101B-9397-08002B2CF9AE}" pid="14" name="TYPE_N_DATE">
    <vt:lpwstr>38020240201</vt:lpwstr>
  </property>
  <property fmtid="{D5CDD505-2E9C-101B-9397-08002B2CF9AE}" pid="15" name="WORDNUMPAGES">
    <vt:lpwstr>5</vt:lpwstr>
  </property>
  <property fmtid="{D5CDD505-2E9C-101B-9397-08002B2CF9AE}" pid="16" name="TYPE_ABS_DATE">
    <vt:lpwstr>380020240201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26913995;25824863;25063920;5969313;26383419;6024035;6058757;22228298;23817589;26484690;5724364;16992066</vt:lpwstr>
  </property>
  <property fmtid="{D5CDD505-2E9C-101B-9397-08002B2CF9AE}" pid="36" name="LAWLISTTMP1">
    <vt:lpwstr>70301/144.a;144</vt:lpwstr>
  </property>
</Properties>
</file>