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235"/>
        <w:gridCol w:w="1902"/>
        <w:gridCol w:w="3661"/>
        <w:gridCol w:w="99"/>
      </w:tblGrid>
      <w:tr w:rsidR="00CC23D1" w:rsidRPr="00466A8A" w14:paraId="7C387EB3" w14:textId="77777777" w:rsidTr="00157D9E">
        <w:trPr>
          <w:gridAfter w:val="1"/>
          <w:wAfter w:w="99" w:type="dxa"/>
          <w:trHeight w:hRule="exact" w:val="418"/>
          <w:jc w:val="center"/>
        </w:trPr>
        <w:tc>
          <w:tcPr>
            <w:tcW w:w="8721" w:type="dxa"/>
            <w:gridSpan w:val="4"/>
          </w:tcPr>
          <w:p w14:paraId="4A536437" w14:textId="77777777" w:rsidR="00CC23D1" w:rsidRPr="00466A8A" w:rsidRDefault="00CC23D1" w:rsidP="006B3448">
            <w:pPr>
              <w:pStyle w:val="a3"/>
              <w:jc w:val="center"/>
              <w:rPr>
                <w:rFonts w:ascii="Tahoma" w:hAnsi="Tahoma" w:cs="Tahoma"/>
                <w:color w:val="000080"/>
                <w:rtl/>
              </w:rPr>
            </w:pPr>
            <w:bookmarkStart w:id="0" w:name="LastJudge"/>
            <w:r w:rsidRPr="00466A8A">
              <w:rPr>
                <w:rFonts w:ascii="Tahoma" w:hAnsi="Tahoma" w:cs="Tahoma"/>
                <w:b/>
                <w:bCs/>
                <w:color w:val="000080"/>
                <w:rtl/>
              </w:rPr>
              <w:t>בית משפט השלום בחדרה</w:t>
            </w:r>
          </w:p>
        </w:tc>
      </w:tr>
      <w:tr w:rsidR="00CC23D1" w:rsidRPr="00466A8A" w14:paraId="33E6A7EA" w14:textId="77777777" w:rsidTr="00157D9E">
        <w:trPr>
          <w:gridAfter w:val="1"/>
          <w:wAfter w:w="99" w:type="dxa"/>
          <w:trHeight w:val="337"/>
          <w:jc w:val="center"/>
        </w:trPr>
        <w:tc>
          <w:tcPr>
            <w:tcW w:w="5060" w:type="dxa"/>
            <w:gridSpan w:val="3"/>
          </w:tcPr>
          <w:p w14:paraId="1E618860" w14:textId="77777777" w:rsidR="00CC23D1" w:rsidRPr="00466A8A" w:rsidRDefault="00CC23D1" w:rsidP="006B3448">
            <w:pPr>
              <w:rPr>
                <w:rFonts w:cs="FrankRuehl"/>
                <w:sz w:val="28"/>
                <w:szCs w:val="28"/>
                <w:rtl/>
              </w:rPr>
            </w:pPr>
            <w:r w:rsidRPr="00466A8A">
              <w:rPr>
                <w:rFonts w:cs="FrankRuehl"/>
                <w:sz w:val="28"/>
                <w:szCs w:val="28"/>
                <w:rtl/>
              </w:rPr>
              <w:t>ת"פ</w:t>
            </w:r>
            <w:r w:rsidRPr="00466A8A">
              <w:rPr>
                <w:rFonts w:cs="FrankRuehl" w:hint="cs"/>
                <w:sz w:val="28"/>
                <w:szCs w:val="28"/>
                <w:rtl/>
              </w:rPr>
              <w:t xml:space="preserve"> </w:t>
            </w:r>
            <w:r w:rsidRPr="00466A8A">
              <w:rPr>
                <w:rFonts w:cs="FrankRuehl"/>
                <w:sz w:val="28"/>
                <w:szCs w:val="28"/>
                <w:rtl/>
              </w:rPr>
              <w:t>35361-05-23</w:t>
            </w:r>
            <w:r w:rsidRPr="00466A8A">
              <w:rPr>
                <w:rFonts w:cs="FrankRuehl" w:hint="cs"/>
                <w:sz w:val="28"/>
                <w:szCs w:val="28"/>
                <w:rtl/>
              </w:rPr>
              <w:t xml:space="preserve"> </w:t>
            </w:r>
            <w:r w:rsidRPr="00466A8A">
              <w:rPr>
                <w:rFonts w:cs="FrankRuehl"/>
                <w:sz w:val="28"/>
                <w:szCs w:val="28"/>
                <w:rtl/>
              </w:rPr>
              <w:t>מדינת ישראל נ' מחאג'נה(עציר)</w:t>
            </w:r>
          </w:p>
          <w:p w14:paraId="1EB97B5B" w14:textId="77777777" w:rsidR="00CC23D1" w:rsidRPr="00466A8A" w:rsidRDefault="00CC23D1" w:rsidP="006B3448">
            <w:pPr>
              <w:pStyle w:val="a3"/>
              <w:rPr>
                <w:rFonts w:cs="FrankRuehl"/>
                <w:sz w:val="28"/>
                <w:szCs w:val="28"/>
                <w:rtl/>
              </w:rPr>
            </w:pPr>
          </w:p>
        </w:tc>
        <w:tc>
          <w:tcPr>
            <w:tcW w:w="3661" w:type="dxa"/>
          </w:tcPr>
          <w:p w14:paraId="4CBE198A" w14:textId="77777777" w:rsidR="00CC23D1" w:rsidRPr="00466A8A" w:rsidRDefault="00CC23D1" w:rsidP="006B3448">
            <w:pPr>
              <w:pStyle w:val="a3"/>
              <w:jc w:val="right"/>
              <w:rPr>
                <w:rFonts w:cs="FrankRuehl"/>
                <w:sz w:val="28"/>
                <w:szCs w:val="28"/>
                <w:rtl/>
              </w:rPr>
            </w:pPr>
          </w:p>
        </w:tc>
      </w:tr>
      <w:tr w:rsidR="00CC23D1" w:rsidRPr="00466A8A" w14:paraId="79B24BF0" w14:textId="77777777" w:rsidTr="00157D9E">
        <w:tblPrEx>
          <w:tblLook w:val="01E0" w:firstRow="1" w:lastRow="1" w:firstColumn="1" w:lastColumn="1" w:noHBand="0" w:noVBand="0"/>
        </w:tblPrEx>
        <w:trPr>
          <w:trHeight w:val="295"/>
          <w:jc w:val="center"/>
        </w:trPr>
        <w:tc>
          <w:tcPr>
            <w:tcW w:w="923" w:type="dxa"/>
            <w:shd w:val="clear" w:color="auto" w:fill="auto"/>
          </w:tcPr>
          <w:p w14:paraId="32C47B40" w14:textId="77777777" w:rsidR="00CC23D1" w:rsidRPr="00466A8A" w:rsidRDefault="00CC23D1" w:rsidP="00CC23D1">
            <w:pPr>
              <w:jc w:val="both"/>
              <w:rPr>
                <w:rFonts w:ascii="David" w:hAnsi="David"/>
                <w:sz w:val="26"/>
                <w:szCs w:val="26"/>
              </w:rPr>
            </w:pPr>
            <w:r w:rsidRPr="00466A8A">
              <w:rPr>
                <w:rFonts w:hint="cs"/>
                <w:rtl/>
              </w:rPr>
              <w:t xml:space="preserve"> </w:t>
            </w:r>
            <w:r w:rsidRPr="00466A8A">
              <w:rPr>
                <w:rFonts w:ascii="David" w:hAnsi="David"/>
                <w:sz w:val="26"/>
                <w:szCs w:val="26"/>
                <w:rtl/>
              </w:rPr>
              <w:t xml:space="preserve">בפני </w:t>
            </w:r>
          </w:p>
        </w:tc>
        <w:tc>
          <w:tcPr>
            <w:tcW w:w="7897" w:type="dxa"/>
            <w:gridSpan w:val="4"/>
            <w:shd w:val="clear" w:color="auto" w:fill="auto"/>
          </w:tcPr>
          <w:p w14:paraId="36B9056A" w14:textId="77777777" w:rsidR="00CC23D1" w:rsidRPr="00466A8A" w:rsidRDefault="00CC23D1" w:rsidP="006B3448">
            <w:pPr>
              <w:rPr>
                <w:rFonts w:ascii="David" w:hAnsi="David"/>
                <w:b/>
                <w:bCs/>
                <w:sz w:val="26"/>
                <w:szCs w:val="26"/>
                <w:rtl/>
              </w:rPr>
            </w:pPr>
            <w:r w:rsidRPr="00466A8A">
              <w:rPr>
                <w:rFonts w:ascii="David" w:hAnsi="David"/>
                <w:b/>
                <w:bCs/>
                <w:sz w:val="26"/>
                <w:szCs w:val="26"/>
                <w:rtl/>
              </w:rPr>
              <w:t>כבוד השופט  אלכס אחטר</w:t>
            </w:r>
          </w:p>
          <w:p w14:paraId="73119211" w14:textId="77777777" w:rsidR="00CC23D1" w:rsidRPr="00466A8A" w:rsidRDefault="00CC23D1" w:rsidP="006B3448">
            <w:pPr>
              <w:rPr>
                <w:rFonts w:ascii="David" w:hAnsi="David"/>
                <w:sz w:val="26"/>
                <w:szCs w:val="26"/>
                <w:rtl/>
              </w:rPr>
            </w:pPr>
          </w:p>
          <w:p w14:paraId="041D78DC" w14:textId="77777777" w:rsidR="00CC23D1" w:rsidRPr="00466A8A" w:rsidRDefault="00CC23D1" w:rsidP="00CC23D1">
            <w:pPr>
              <w:jc w:val="both"/>
              <w:rPr>
                <w:rFonts w:ascii="David" w:hAnsi="David"/>
                <w:sz w:val="26"/>
                <w:szCs w:val="26"/>
              </w:rPr>
            </w:pPr>
          </w:p>
        </w:tc>
      </w:tr>
      <w:tr w:rsidR="00CC23D1" w:rsidRPr="00466A8A" w14:paraId="003A0ED2" w14:textId="77777777" w:rsidTr="00157D9E">
        <w:tblPrEx>
          <w:tblLook w:val="01E0" w:firstRow="1" w:lastRow="1" w:firstColumn="1" w:lastColumn="1" w:noHBand="0" w:noVBand="0"/>
        </w:tblPrEx>
        <w:trPr>
          <w:trHeight w:val="355"/>
          <w:jc w:val="center"/>
        </w:trPr>
        <w:tc>
          <w:tcPr>
            <w:tcW w:w="923" w:type="dxa"/>
            <w:shd w:val="clear" w:color="auto" w:fill="auto"/>
          </w:tcPr>
          <w:p w14:paraId="481822FC" w14:textId="77777777" w:rsidR="00CC23D1" w:rsidRPr="00466A8A" w:rsidRDefault="00CC23D1" w:rsidP="00CC23D1">
            <w:pPr>
              <w:jc w:val="both"/>
              <w:rPr>
                <w:rFonts w:ascii="David" w:hAnsi="David"/>
                <w:sz w:val="26"/>
                <w:szCs w:val="26"/>
              </w:rPr>
            </w:pPr>
            <w:bookmarkStart w:id="1" w:name="FirstAppellant"/>
            <w:bookmarkStart w:id="2" w:name="FirstLawyer"/>
            <w:r w:rsidRPr="00466A8A">
              <w:rPr>
                <w:rFonts w:ascii="David" w:hAnsi="David"/>
                <w:sz w:val="26"/>
                <w:szCs w:val="26"/>
                <w:rtl/>
              </w:rPr>
              <w:t>בעניין:</w:t>
            </w:r>
          </w:p>
        </w:tc>
        <w:tc>
          <w:tcPr>
            <w:tcW w:w="2235" w:type="dxa"/>
            <w:shd w:val="clear" w:color="auto" w:fill="auto"/>
          </w:tcPr>
          <w:p w14:paraId="6102ED7E" w14:textId="77777777" w:rsidR="00CC23D1" w:rsidRPr="00466A8A" w:rsidRDefault="00CC23D1" w:rsidP="00CC23D1">
            <w:pPr>
              <w:suppressLineNumbers/>
            </w:pPr>
            <w:r w:rsidRPr="00466A8A">
              <w:rPr>
                <w:rFonts w:ascii="Arial" w:hAnsi="Arial" w:hint="cs"/>
                <w:b/>
                <w:bCs/>
                <w:sz w:val="26"/>
                <w:szCs w:val="26"/>
                <w:rtl/>
              </w:rPr>
              <w:t>ה</w:t>
            </w:r>
            <w:r w:rsidRPr="00466A8A">
              <w:rPr>
                <w:rFonts w:ascii="Arial" w:hAnsi="Arial"/>
                <w:b/>
                <w:bCs/>
                <w:sz w:val="26"/>
                <w:szCs w:val="26"/>
                <w:rtl/>
              </w:rPr>
              <w:t>מאשימה</w:t>
            </w:r>
          </w:p>
          <w:p w14:paraId="485DF3B5" w14:textId="77777777" w:rsidR="00CC23D1" w:rsidRPr="00466A8A" w:rsidRDefault="00CC23D1" w:rsidP="006B3448">
            <w:pPr>
              <w:rPr>
                <w:rFonts w:ascii="David" w:hAnsi="David"/>
                <w:sz w:val="26"/>
                <w:szCs w:val="26"/>
              </w:rPr>
            </w:pPr>
          </w:p>
        </w:tc>
        <w:tc>
          <w:tcPr>
            <w:tcW w:w="5662" w:type="dxa"/>
            <w:gridSpan w:val="3"/>
            <w:shd w:val="clear" w:color="auto" w:fill="auto"/>
            <w:vAlign w:val="center"/>
          </w:tcPr>
          <w:p w14:paraId="575B4709" w14:textId="77777777" w:rsidR="00CC23D1" w:rsidRPr="00466A8A" w:rsidRDefault="00CC23D1" w:rsidP="00CC23D1">
            <w:pPr>
              <w:suppressLineNumbers/>
              <w:rPr>
                <w:rFonts w:ascii="Arial" w:hAnsi="Arial"/>
                <w:b/>
                <w:bCs/>
                <w:sz w:val="26"/>
                <w:szCs w:val="26"/>
                <w:rtl/>
              </w:rPr>
            </w:pPr>
            <w:r w:rsidRPr="00466A8A">
              <w:rPr>
                <w:rFonts w:ascii="Arial" w:hAnsi="Arial"/>
                <w:b/>
                <w:bCs/>
                <w:sz w:val="26"/>
                <w:szCs w:val="26"/>
                <w:rtl/>
              </w:rPr>
              <w:t>מדינת ישראל</w:t>
            </w:r>
            <w:r w:rsidRPr="00466A8A">
              <w:rPr>
                <w:rFonts w:ascii="Arial" w:hAnsi="Arial" w:hint="cs"/>
                <w:b/>
                <w:bCs/>
                <w:sz w:val="26"/>
                <w:szCs w:val="26"/>
                <w:rtl/>
              </w:rPr>
              <w:t xml:space="preserve"> </w:t>
            </w:r>
          </w:p>
          <w:p w14:paraId="63C10DC4" w14:textId="77777777" w:rsidR="00CC23D1" w:rsidRPr="00466A8A" w:rsidRDefault="00CC23D1" w:rsidP="00CC23D1">
            <w:pPr>
              <w:suppressLineNumbers/>
            </w:pPr>
            <w:r w:rsidRPr="00466A8A">
              <w:rPr>
                <w:rFonts w:ascii="Arial" w:hAnsi="Arial"/>
                <w:rtl/>
              </w:rPr>
              <w:t>ע"י ב"כ עוה"ד</w:t>
            </w:r>
            <w:r w:rsidRPr="00466A8A">
              <w:rPr>
                <w:rFonts w:hint="cs"/>
                <w:rtl/>
              </w:rPr>
              <w:t xml:space="preserve"> מעיין קריאף בנימין</w:t>
            </w:r>
          </w:p>
        </w:tc>
      </w:tr>
      <w:bookmarkEnd w:id="1"/>
      <w:bookmarkEnd w:id="2"/>
      <w:tr w:rsidR="00CC23D1" w:rsidRPr="00466A8A" w14:paraId="62504B8B" w14:textId="77777777" w:rsidTr="00157D9E">
        <w:tblPrEx>
          <w:tblLook w:val="01E0" w:firstRow="1" w:lastRow="1" w:firstColumn="1" w:lastColumn="1" w:noHBand="0" w:noVBand="0"/>
        </w:tblPrEx>
        <w:trPr>
          <w:trHeight w:val="355"/>
          <w:jc w:val="center"/>
        </w:trPr>
        <w:tc>
          <w:tcPr>
            <w:tcW w:w="8820" w:type="dxa"/>
            <w:gridSpan w:val="5"/>
            <w:shd w:val="clear" w:color="auto" w:fill="auto"/>
          </w:tcPr>
          <w:p w14:paraId="4E573002" w14:textId="77777777" w:rsidR="00CC23D1" w:rsidRPr="00466A8A" w:rsidRDefault="00CC23D1" w:rsidP="00CC23D1">
            <w:pPr>
              <w:jc w:val="center"/>
              <w:rPr>
                <w:rFonts w:ascii="David" w:hAnsi="David"/>
                <w:b/>
                <w:bCs/>
                <w:sz w:val="26"/>
                <w:szCs w:val="26"/>
                <w:rtl/>
              </w:rPr>
            </w:pPr>
          </w:p>
          <w:p w14:paraId="01D98C88" w14:textId="77777777" w:rsidR="00CC23D1" w:rsidRPr="00466A8A" w:rsidRDefault="00CC23D1" w:rsidP="00CC23D1">
            <w:pPr>
              <w:jc w:val="center"/>
              <w:rPr>
                <w:rFonts w:ascii="David" w:hAnsi="David"/>
                <w:b/>
                <w:bCs/>
                <w:sz w:val="26"/>
                <w:szCs w:val="26"/>
                <w:rtl/>
              </w:rPr>
            </w:pPr>
            <w:r w:rsidRPr="00466A8A">
              <w:rPr>
                <w:rFonts w:ascii="David" w:hAnsi="David"/>
                <w:b/>
                <w:bCs/>
                <w:sz w:val="26"/>
                <w:szCs w:val="26"/>
                <w:rtl/>
              </w:rPr>
              <w:t>נגד</w:t>
            </w:r>
          </w:p>
          <w:p w14:paraId="11F0EA11" w14:textId="77777777" w:rsidR="00CC23D1" w:rsidRPr="00466A8A" w:rsidRDefault="00CC23D1" w:rsidP="00CC23D1">
            <w:pPr>
              <w:jc w:val="both"/>
              <w:rPr>
                <w:rFonts w:ascii="David" w:hAnsi="David"/>
                <w:sz w:val="26"/>
                <w:szCs w:val="26"/>
              </w:rPr>
            </w:pPr>
          </w:p>
        </w:tc>
      </w:tr>
      <w:tr w:rsidR="00CC23D1" w:rsidRPr="00466A8A" w14:paraId="1FFE268B" w14:textId="77777777" w:rsidTr="00157D9E">
        <w:tblPrEx>
          <w:tblLook w:val="01E0" w:firstRow="1" w:lastRow="1" w:firstColumn="1" w:lastColumn="1" w:noHBand="0" w:noVBand="0"/>
        </w:tblPrEx>
        <w:trPr>
          <w:trHeight w:val="355"/>
          <w:jc w:val="center"/>
        </w:trPr>
        <w:tc>
          <w:tcPr>
            <w:tcW w:w="923" w:type="dxa"/>
            <w:shd w:val="clear" w:color="auto" w:fill="auto"/>
          </w:tcPr>
          <w:p w14:paraId="3D6EFB46" w14:textId="77777777" w:rsidR="00CC23D1" w:rsidRPr="00466A8A" w:rsidRDefault="00CC23D1" w:rsidP="006B3448">
            <w:pPr>
              <w:rPr>
                <w:rFonts w:ascii="David" w:hAnsi="David"/>
                <w:sz w:val="26"/>
                <w:szCs w:val="26"/>
                <w:rtl/>
              </w:rPr>
            </w:pPr>
          </w:p>
        </w:tc>
        <w:tc>
          <w:tcPr>
            <w:tcW w:w="2235" w:type="dxa"/>
            <w:shd w:val="clear" w:color="auto" w:fill="auto"/>
          </w:tcPr>
          <w:p w14:paraId="65AA75DC" w14:textId="77777777" w:rsidR="00CC23D1" w:rsidRPr="00466A8A" w:rsidRDefault="00CC23D1" w:rsidP="006B3448">
            <w:pPr>
              <w:rPr>
                <w:rFonts w:ascii="Arial" w:hAnsi="Arial"/>
                <w:b/>
                <w:bCs/>
                <w:sz w:val="26"/>
                <w:szCs w:val="26"/>
                <w:rtl/>
              </w:rPr>
            </w:pPr>
            <w:r w:rsidRPr="00466A8A">
              <w:rPr>
                <w:rFonts w:ascii="Arial" w:hAnsi="Arial"/>
                <w:b/>
                <w:bCs/>
                <w:sz w:val="26"/>
                <w:szCs w:val="26"/>
                <w:rtl/>
              </w:rPr>
              <w:t>הנאשם</w:t>
            </w:r>
          </w:p>
        </w:tc>
        <w:tc>
          <w:tcPr>
            <w:tcW w:w="5662" w:type="dxa"/>
            <w:gridSpan w:val="3"/>
            <w:shd w:val="clear" w:color="auto" w:fill="auto"/>
            <w:vAlign w:val="center"/>
          </w:tcPr>
          <w:p w14:paraId="5778530F" w14:textId="77777777" w:rsidR="00CC23D1" w:rsidRPr="00466A8A" w:rsidRDefault="00CC23D1" w:rsidP="00CC23D1">
            <w:pPr>
              <w:suppressLineNumbers/>
              <w:rPr>
                <w:rFonts w:ascii="Arial" w:hAnsi="Arial"/>
                <w:b/>
                <w:bCs/>
                <w:sz w:val="26"/>
                <w:szCs w:val="26"/>
                <w:rtl/>
              </w:rPr>
            </w:pPr>
            <w:r w:rsidRPr="00466A8A">
              <w:rPr>
                <w:rFonts w:ascii="Arial" w:hAnsi="Arial"/>
                <w:b/>
                <w:bCs/>
                <w:sz w:val="26"/>
                <w:szCs w:val="26"/>
                <w:rtl/>
              </w:rPr>
              <w:t>עומר מחאג'נה (עציר)</w:t>
            </w:r>
            <w:r w:rsidRPr="00466A8A">
              <w:rPr>
                <w:rFonts w:ascii="Arial" w:hAnsi="Arial" w:hint="cs"/>
                <w:b/>
                <w:bCs/>
                <w:sz w:val="26"/>
                <w:szCs w:val="26"/>
                <w:rtl/>
              </w:rPr>
              <w:t xml:space="preserve"> </w:t>
            </w:r>
          </w:p>
          <w:p w14:paraId="3E1753FF" w14:textId="77777777" w:rsidR="00CC23D1" w:rsidRPr="00466A8A" w:rsidRDefault="00CC23D1" w:rsidP="00CC23D1">
            <w:pPr>
              <w:suppressLineNumbers/>
            </w:pPr>
            <w:r w:rsidRPr="00466A8A">
              <w:rPr>
                <w:rFonts w:ascii="Arial" w:hAnsi="Arial"/>
                <w:rtl/>
              </w:rPr>
              <w:t>ע"י ב"כ עוה"ד</w:t>
            </w:r>
            <w:r w:rsidRPr="00466A8A">
              <w:rPr>
                <w:rFonts w:hint="cs"/>
                <w:rtl/>
              </w:rPr>
              <w:t xml:space="preserve"> עלא עתאמנה</w:t>
            </w:r>
          </w:p>
        </w:tc>
      </w:tr>
    </w:tbl>
    <w:p w14:paraId="74197238" w14:textId="77777777" w:rsidR="00466A8A" w:rsidRPr="00466A8A" w:rsidRDefault="00466A8A" w:rsidP="00CC23D1">
      <w:pPr>
        <w:rPr>
          <w:sz w:val="26"/>
          <w:szCs w:val="26"/>
          <w:rtl/>
        </w:rPr>
      </w:pPr>
    </w:p>
    <w:p w14:paraId="0F3FB260" w14:textId="77777777" w:rsidR="00914C95" w:rsidRPr="00914C95" w:rsidRDefault="00914C95" w:rsidP="00157D9E">
      <w:pPr>
        <w:spacing w:after="120" w:line="240" w:lineRule="exact"/>
        <w:ind w:left="283" w:hanging="283"/>
        <w:jc w:val="both"/>
        <w:rPr>
          <w:sz w:val="26"/>
          <w:szCs w:val="26"/>
          <w:rtl/>
        </w:rPr>
      </w:pPr>
    </w:p>
    <w:p w14:paraId="19AAD33C" w14:textId="77777777" w:rsidR="0083726E" w:rsidRPr="0083726E" w:rsidRDefault="0083726E" w:rsidP="00914C95">
      <w:pPr>
        <w:spacing w:after="120" w:line="240" w:lineRule="exact"/>
        <w:ind w:left="283" w:hanging="283"/>
        <w:jc w:val="both"/>
        <w:rPr>
          <w:sz w:val="26"/>
          <w:szCs w:val="26"/>
          <w:rtl/>
        </w:rPr>
      </w:pPr>
    </w:p>
    <w:p w14:paraId="49766DC7" w14:textId="77777777" w:rsidR="0083726E" w:rsidRPr="0083726E" w:rsidRDefault="0083726E" w:rsidP="0083726E">
      <w:pPr>
        <w:spacing w:after="120" w:line="240" w:lineRule="exact"/>
        <w:ind w:left="283" w:hanging="283"/>
        <w:jc w:val="both"/>
        <w:rPr>
          <w:rFonts w:ascii="FrankRuehl" w:hAnsi="FrankRuehl" w:cs="FrankRuehl"/>
        </w:rPr>
      </w:pPr>
      <w:bookmarkStart w:id="3" w:name="Links_Start"/>
      <w:bookmarkEnd w:id="3"/>
      <w:r w:rsidRPr="0083726E">
        <w:rPr>
          <w:rFonts w:ascii="FrankRuehl" w:hAnsi="FrankRuehl" w:cs="FrankRuehl"/>
          <w:rtl/>
        </w:rPr>
        <w:t>ספרות:</w:t>
      </w:r>
    </w:p>
    <w:p w14:paraId="5F5E41FC" w14:textId="77777777" w:rsidR="0083726E" w:rsidRPr="0083726E" w:rsidRDefault="0083726E" w:rsidP="0083726E">
      <w:pPr>
        <w:spacing w:after="120" w:line="240" w:lineRule="exact"/>
        <w:ind w:left="283" w:hanging="283"/>
        <w:jc w:val="both"/>
        <w:rPr>
          <w:rStyle w:val="Hyperlink"/>
          <w:rFonts w:ascii="FrankRuehl" w:hAnsi="FrankRuehl" w:cs="FrankRuehl"/>
          <w:u w:val="none"/>
          <w:rtl/>
        </w:rPr>
      </w:pPr>
      <w:r w:rsidRPr="0083726E">
        <w:rPr>
          <w:rFonts w:ascii="FrankRuehl" w:hAnsi="FrankRuehl" w:cs="FrankRuehl"/>
          <w:color w:val="0000FF"/>
          <w:rtl/>
        </w:rPr>
        <w:fldChar w:fldCharType="begin"/>
      </w:r>
      <w:r w:rsidRPr="0083726E">
        <w:rPr>
          <w:rFonts w:ascii="FrankRuehl" w:hAnsi="FrankRuehl" w:cs="FrankRuehl"/>
          <w:color w:val="0000FF"/>
          <w:rtl/>
        </w:rPr>
        <w:instrText xml:space="preserve"> </w:instrText>
      </w:r>
      <w:r w:rsidRPr="0083726E">
        <w:rPr>
          <w:rFonts w:ascii="FrankRuehl" w:hAnsi="FrankRuehl" w:cs="FrankRuehl"/>
          <w:color w:val="0000FF"/>
        </w:rPr>
        <w:instrText xml:space="preserve">HYPERLINK </w:instrText>
      </w:r>
      <w:r w:rsidRPr="0083726E">
        <w:rPr>
          <w:rFonts w:ascii="FrankRuehl" w:hAnsi="FrankRuehl" w:cs="FrankRuehl"/>
          <w:color w:val="0000FF"/>
          <w:rtl/>
        </w:rPr>
        <w:instrText>"</w:instrText>
      </w:r>
      <w:r w:rsidRPr="0083726E">
        <w:rPr>
          <w:rFonts w:ascii="FrankRuehl" w:hAnsi="FrankRuehl" w:cs="FrankRuehl"/>
          <w:color w:val="0000FF"/>
        </w:rPr>
        <w:instrText>http://www.nevo.co.il/safrut/bookgroup/412"</w:instrText>
      </w:r>
      <w:r w:rsidRPr="0083726E">
        <w:rPr>
          <w:rFonts w:ascii="FrankRuehl" w:hAnsi="FrankRuehl" w:cs="FrankRuehl"/>
          <w:color w:val="0000FF"/>
          <w:rtl/>
        </w:rPr>
        <w:instrText xml:space="preserve"> </w:instrText>
      </w:r>
      <w:r w:rsidRPr="0083726E">
        <w:rPr>
          <w:rFonts w:ascii="FrankRuehl" w:hAnsi="FrankRuehl" w:cs="FrankRuehl"/>
          <w:color w:val="0000FF"/>
          <w:rtl/>
        </w:rPr>
      </w:r>
      <w:r w:rsidRPr="0083726E">
        <w:rPr>
          <w:rFonts w:ascii="FrankRuehl" w:hAnsi="FrankRuehl" w:cs="FrankRuehl"/>
          <w:color w:val="0000FF"/>
          <w:rtl/>
        </w:rPr>
        <w:fldChar w:fldCharType="separate"/>
      </w:r>
      <w:r w:rsidRPr="0083726E">
        <w:rPr>
          <w:rStyle w:val="Hyperlink"/>
          <w:rFonts w:ascii="FrankRuehl" w:hAnsi="FrankRuehl" w:cs="FrankRuehl"/>
          <w:u w:val="none"/>
          <w:rtl/>
        </w:rPr>
        <w:t xml:space="preserve">ש"ז פלר  </w:t>
      </w:r>
      <w:r w:rsidRPr="0083726E">
        <w:rPr>
          <w:rStyle w:val="Hyperlink"/>
          <w:rFonts w:ascii="FrankRuehl" w:hAnsi="FrankRuehl" w:cs="FrankRuehl"/>
          <w:u w:val="none"/>
        </w:rPr>
        <w:t xml:space="preserve"> </w:t>
      </w:r>
      <w:r w:rsidRPr="0083726E">
        <w:rPr>
          <w:rStyle w:val="Hyperlink"/>
          <w:rFonts w:ascii="FrankRuehl" w:hAnsi="FrankRuehl" w:cs="FrankRuehl"/>
          <w:b/>
          <w:bCs/>
          <w:u w:val="none"/>
          <w:rtl/>
        </w:rPr>
        <w:t xml:space="preserve">יסודות בדיני עונשין </w:t>
      </w:r>
    </w:p>
    <w:p w14:paraId="3E164075" w14:textId="77777777" w:rsidR="0083726E" w:rsidRDefault="0083726E" w:rsidP="0083726E">
      <w:pPr>
        <w:spacing w:after="120" w:line="240" w:lineRule="exact"/>
        <w:ind w:left="283" w:hanging="283"/>
        <w:jc w:val="both"/>
        <w:rPr>
          <w:color w:val="0000FF"/>
          <w:sz w:val="26"/>
          <w:szCs w:val="26"/>
        </w:rPr>
      </w:pPr>
      <w:r w:rsidRPr="0083726E">
        <w:rPr>
          <w:rFonts w:ascii="FrankRuehl" w:hAnsi="FrankRuehl" w:cs="FrankRuehl"/>
          <w:color w:val="0000FF"/>
          <w:rtl/>
        </w:rPr>
        <w:fldChar w:fldCharType="end"/>
      </w:r>
      <w:bookmarkStart w:id="4" w:name="Links_End"/>
      <w:bookmarkStart w:id="5" w:name="LawTable"/>
      <w:bookmarkEnd w:id="4"/>
      <w:bookmarkEnd w:id="5"/>
    </w:p>
    <w:p w14:paraId="76B38F29" w14:textId="77777777" w:rsidR="0083726E" w:rsidRPr="0083726E" w:rsidRDefault="0083726E" w:rsidP="0083726E">
      <w:pPr>
        <w:spacing w:before="120" w:after="120" w:line="240" w:lineRule="exact"/>
        <w:ind w:left="283" w:hanging="283"/>
        <w:jc w:val="both"/>
        <w:rPr>
          <w:rFonts w:ascii="FrankRuehl" w:hAnsi="FrankRuehl" w:cs="FrankRuehl"/>
          <w:color w:val="0000FF"/>
        </w:rPr>
      </w:pPr>
    </w:p>
    <w:p w14:paraId="6187FCBF" w14:textId="77777777" w:rsidR="0083726E" w:rsidRPr="0083726E" w:rsidRDefault="0083726E" w:rsidP="0083726E">
      <w:pPr>
        <w:spacing w:before="120" w:after="120" w:line="240" w:lineRule="exact"/>
        <w:ind w:left="283" w:hanging="283"/>
        <w:jc w:val="both"/>
        <w:rPr>
          <w:rFonts w:ascii="FrankRuehl" w:hAnsi="FrankRuehl" w:cs="FrankRuehl"/>
          <w:color w:val="0000FF"/>
          <w:rtl/>
        </w:rPr>
      </w:pPr>
    </w:p>
    <w:p w14:paraId="38F8181C" w14:textId="77777777" w:rsidR="0083726E" w:rsidRPr="0083726E" w:rsidRDefault="0083726E" w:rsidP="0083726E">
      <w:pPr>
        <w:spacing w:before="120" w:after="120" w:line="240" w:lineRule="exact"/>
        <w:ind w:left="283" w:hanging="283"/>
        <w:jc w:val="both"/>
        <w:rPr>
          <w:rFonts w:ascii="FrankRuehl" w:hAnsi="FrankRuehl" w:cs="FrankRuehl"/>
          <w:color w:val="0000FF"/>
        </w:rPr>
      </w:pPr>
      <w:r w:rsidRPr="0083726E">
        <w:rPr>
          <w:rFonts w:ascii="FrankRuehl" w:hAnsi="FrankRuehl" w:cs="FrankRuehl"/>
          <w:color w:val="0000FF"/>
          <w:rtl/>
        </w:rPr>
        <w:t xml:space="preserve">חקיקה שאוזכרה: </w:t>
      </w:r>
    </w:p>
    <w:p w14:paraId="20C1B327" w14:textId="77777777" w:rsidR="0083726E" w:rsidRPr="0083726E" w:rsidRDefault="0083726E" w:rsidP="0083726E">
      <w:pPr>
        <w:spacing w:before="120" w:after="120" w:line="240" w:lineRule="exact"/>
        <w:ind w:left="283" w:hanging="283"/>
        <w:jc w:val="both"/>
        <w:rPr>
          <w:rFonts w:ascii="FrankRuehl" w:hAnsi="FrankRuehl" w:cs="FrankRuehl"/>
        </w:rPr>
      </w:pPr>
      <w:hyperlink r:id="rId7" w:history="1">
        <w:r w:rsidRPr="0083726E">
          <w:rPr>
            <w:rFonts w:ascii="FrankRuehl" w:hAnsi="FrankRuehl" w:cs="FrankRuehl"/>
            <w:color w:val="0000FF"/>
            <w:rtl/>
          </w:rPr>
          <w:t>חוק העונשין, תשל"ז-1977</w:t>
        </w:r>
      </w:hyperlink>
      <w:r w:rsidRPr="0083726E">
        <w:rPr>
          <w:rFonts w:ascii="FrankRuehl" w:hAnsi="FrankRuehl" w:cs="FrankRuehl"/>
        </w:rPr>
        <w:t xml:space="preserve">: </w:t>
      </w:r>
      <w:r w:rsidRPr="0083726E">
        <w:rPr>
          <w:rFonts w:ascii="FrankRuehl" w:hAnsi="FrankRuehl" w:cs="FrankRuehl"/>
          <w:rtl/>
        </w:rPr>
        <w:t>סע</w:t>
      </w:r>
      <w:r w:rsidRPr="0083726E">
        <w:rPr>
          <w:rFonts w:ascii="FrankRuehl" w:hAnsi="FrankRuehl" w:cs="FrankRuehl"/>
        </w:rPr>
        <w:t xml:space="preserve">'  </w:t>
      </w:r>
      <w:hyperlink r:id="rId8" w:history="1">
        <w:r w:rsidRPr="0083726E">
          <w:rPr>
            <w:rFonts w:ascii="FrankRuehl" w:hAnsi="FrankRuehl" w:cs="FrankRuehl"/>
            <w:color w:val="0000FF"/>
          </w:rPr>
          <w:t>40</w:t>
        </w:r>
        <w:r w:rsidRPr="0083726E">
          <w:rPr>
            <w:rFonts w:ascii="FrankRuehl" w:hAnsi="FrankRuehl" w:cs="FrankRuehl"/>
            <w:color w:val="0000FF"/>
            <w:rtl/>
          </w:rPr>
          <w:t>ד</w:t>
        </w:r>
        <w:r w:rsidRPr="0083726E">
          <w:rPr>
            <w:rFonts w:ascii="FrankRuehl" w:hAnsi="FrankRuehl" w:cs="FrankRuehl"/>
            <w:color w:val="0000FF"/>
          </w:rPr>
          <w:t>'</w:t>
        </w:r>
      </w:hyperlink>
      <w:r w:rsidRPr="0083726E">
        <w:rPr>
          <w:rFonts w:ascii="FrankRuehl" w:hAnsi="FrankRuehl" w:cs="FrankRuehl"/>
        </w:rPr>
        <w:t xml:space="preserve">, </w:t>
      </w:r>
      <w:hyperlink r:id="rId9" w:history="1">
        <w:r w:rsidRPr="0083726E">
          <w:rPr>
            <w:rFonts w:ascii="FrankRuehl" w:hAnsi="FrankRuehl" w:cs="FrankRuehl"/>
            <w:color w:val="0000FF"/>
          </w:rPr>
          <w:t xml:space="preserve">40 </w:t>
        </w:r>
        <w:r w:rsidRPr="0083726E">
          <w:rPr>
            <w:rFonts w:ascii="FrankRuehl" w:hAnsi="FrankRuehl" w:cs="FrankRuehl"/>
            <w:color w:val="0000FF"/>
            <w:rtl/>
          </w:rPr>
          <w:t>ה</w:t>
        </w:r>
        <w:r w:rsidRPr="0083726E">
          <w:rPr>
            <w:rFonts w:ascii="FrankRuehl" w:hAnsi="FrankRuehl" w:cs="FrankRuehl"/>
            <w:color w:val="0000FF"/>
          </w:rPr>
          <w:t>'</w:t>
        </w:r>
      </w:hyperlink>
      <w:r w:rsidRPr="0083726E">
        <w:rPr>
          <w:rFonts w:ascii="FrankRuehl" w:hAnsi="FrankRuehl" w:cs="FrankRuehl"/>
        </w:rPr>
        <w:t xml:space="preserve">, </w:t>
      </w:r>
      <w:hyperlink r:id="rId10" w:history="1">
        <w:r w:rsidRPr="0083726E">
          <w:rPr>
            <w:rFonts w:ascii="FrankRuehl" w:hAnsi="FrankRuehl" w:cs="FrankRuehl"/>
            <w:color w:val="0000FF"/>
          </w:rPr>
          <w:t>40</w:t>
        </w:r>
        <w:r w:rsidRPr="0083726E">
          <w:rPr>
            <w:rFonts w:ascii="FrankRuehl" w:hAnsi="FrankRuehl" w:cs="FrankRuehl"/>
            <w:color w:val="0000FF"/>
            <w:rtl/>
          </w:rPr>
          <w:t>ט</w:t>
        </w:r>
        <w:r w:rsidRPr="0083726E">
          <w:rPr>
            <w:rFonts w:ascii="FrankRuehl" w:hAnsi="FrankRuehl" w:cs="FrankRuehl"/>
            <w:color w:val="0000FF"/>
          </w:rPr>
          <w:t>'</w:t>
        </w:r>
      </w:hyperlink>
      <w:r w:rsidRPr="0083726E">
        <w:rPr>
          <w:rFonts w:ascii="FrankRuehl" w:hAnsi="FrankRuehl" w:cs="FrankRuehl"/>
        </w:rPr>
        <w:t xml:space="preserve">, </w:t>
      </w:r>
      <w:hyperlink r:id="rId11" w:history="1">
        <w:r w:rsidRPr="0083726E">
          <w:rPr>
            <w:rFonts w:ascii="FrankRuehl" w:hAnsi="FrankRuehl" w:cs="FrankRuehl"/>
            <w:color w:val="0000FF"/>
          </w:rPr>
          <w:t>144(</w:t>
        </w:r>
        <w:r w:rsidRPr="0083726E">
          <w:rPr>
            <w:rFonts w:ascii="FrankRuehl" w:hAnsi="FrankRuehl" w:cs="FrankRuehl"/>
            <w:color w:val="0000FF"/>
            <w:rtl/>
          </w:rPr>
          <w:t>א</w:t>
        </w:r>
        <w:r w:rsidRPr="0083726E">
          <w:rPr>
            <w:rFonts w:ascii="FrankRuehl" w:hAnsi="FrankRuehl" w:cs="FrankRuehl"/>
            <w:color w:val="0000FF"/>
          </w:rPr>
          <w:t>)</w:t>
        </w:r>
      </w:hyperlink>
      <w:r w:rsidRPr="0083726E">
        <w:rPr>
          <w:rFonts w:ascii="FrankRuehl" w:hAnsi="FrankRuehl" w:cs="FrankRuehl"/>
        </w:rPr>
        <w:t xml:space="preserve">, </w:t>
      </w:r>
      <w:hyperlink r:id="rId12" w:history="1">
        <w:r w:rsidRPr="0083726E">
          <w:rPr>
            <w:rFonts w:ascii="FrankRuehl" w:hAnsi="FrankRuehl" w:cs="FrankRuehl"/>
            <w:color w:val="0000FF"/>
          </w:rPr>
          <w:t>40</w:t>
        </w:r>
        <w:r w:rsidRPr="0083726E">
          <w:rPr>
            <w:rFonts w:ascii="FrankRuehl" w:hAnsi="FrankRuehl" w:cs="FrankRuehl"/>
            <w:color w:val="0000FF"/>
            <w:rtl/>
          </w:rPr>
          <w:t>יא</w:t>
        </w:r>
        <w:r w:rsidRPr="0083726E">
          <w:rPr>
            <w:rFonts w:ascii="FrankRuehl" w:hAnsi="FrankRuehl" w:cs="FrankRuehl"/>
            <w:color w:val="0000FF"/>
          </w:rPr>
          <w:t>'</w:t>
        </w:r>
      </w:hyperlink>
    </w:p>
    <w:p w14:paraId="4202B5DC" w14:textId="77777777" w:rsidR="0083726E" w:rsidRPr="0083726E" w:rsidRDefault="0083726E" w:rsidP="0083726E">
      <w:pPr>
        <w:spacing w:after="120" w:line="240" w:lineRule="exact"/>
        <w:ind w:left="283" w:hanging="283"/>
        <w:jc w:val="both"/>
        <w:rPr>
          <w:sz w:val="26"/>
          <w:szCs w:val="26"/>
        </w:rPr>
      </w:pPr>
      <w:bookmarkStart w:id="6" w:name="LawTable_End"/>
      <w:bookmarkEnd w:id="6"/>
    </w:p>
    <w:p w14:paraId="7D0798D4" w14:textId="77777777" w:rsidR="00157D9E" w:rsidRPr="0083726E" w:rsidRDefault="00157D9E" w:rsidP="0083726E">
      <w:pPr>
        <w:spacing w:after="120" w:line="240" w:lineRule="exact"/>
        <w:ind w:left="283" w:hanging="283"/>
        <w:jc w:val="both"/>
        <w:rPr>
          <w:rFonts w:hint="cs"/>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23D1" w14:paraId="57DCB1B4" w14:textId="77777777" w:rsidTr="00CC23D1">
        <w:trPr>
          <w:trHeight w:val="355"/>
          <w:jc w:val="center"/>
        </w:trPr>
        <w:tc>
          <w:tcPr>
            <w:tcW w:w="8820" w:type="dxa"/>
            <w:tcBorders>
              <w:top w:val="nil"/>
              <w:left w:val="nil"/>
              <w:bottom w:val="nil"/>
              <w:right w:val="nil"/>
            </w:tcBorders>
            <w:shd w:val="clear" w:color="auto" w:fill="auto"/>
          </w:tcPr>
          <w:p w14:paraId="277EEA0A" w14:textId="77777777" w:rsidR="00466A8A" w:rsidRPr="00466A8A" w:rsidRDefault="00466A8A" w:rsidP="00466A8A">
            <w:pPr>
              <w:jc w:val="center"/>
              <w:rPr>
                <w:rFonts w:ascii="David" w:hAnsi="David"/>
                <w:b/>
                <w:bCs/>
                <w:sz w:val="32"/>
                <w:szCs w:val="32"/>
                <w:u w:val="single"/>
                <w:rtl/>
              </w:rPr>
            </w:pPr>
            <w:bookmarkStart w:id="7" w:name="PsakDin" w:colFirst="0" w:colLast="0"/>
            <w:bookmarkEnd w:id="0"/>
            <w:r w:rsidRPr="00466A8A">
              <w:rPr>
                <w:rFonts w:ascii="David" w:hAnsi="David"/>
                <w:b/>
                <w:bCs/>
                <w:sz w:val="32"/>
                <w:szCs w:val="32"/>
                <w:u w:val="single"/>
                <w:rtl/>
              </w:rPr>
              <w:t>גזר דין</w:t>
            </w:r>
          </w:p>
          <w:p w14:paraId="4AE54033" w14:textId="77777777" w:rsidR="00CC23D1" w:rsidRPr="00466A8A" w:rsidRDefault="00CC23D1" w:rsidP="00466A8A">
            <w:pPr>
              <w:jc w:val="center"/>
              <w:rPr>
                <w:rFonts w:ascii="David" w:hAnsi="David"/>
                <w:bCs/>
                <w:sz w:val="32"/>
                <w:szCs w:val="32"/>
                <w:u w:val="single"/>
                <w:rtl/>
              </w:rPr>
            </w:pPr>
          </w:p>
        </w:tc>
      </w:tr>
      <w:bookmarkEnd w:id="7"/>
    </w:tbl>
    <w:p w14:paraId="489A23AD" w14:textId="77777777" w:rsidR="00CC23D1" w:rsidRPr="000F2247" w:rsidRDefault="00CC23D1" w:rsidP="00CC23D1">
      <w:pPr>
        <w:rPr>
          <w:rFonts w:ascii="Arial" w:hAnsi="Arial"/>
          <w:b/>
          <w:bCs/>
          <w:sz w:val="26"/>
          <w:szCs w:val="26"/>
          <w:rtl/>
        </w:rPr>
      </w:pPr>
    </w:p>
    <w:p w14:paraId="5C578328" w14:textId="77777777" w:rsidR="00CC23D1" w:rsidRDefault="00CC23D1" w:rsidP="00CC23D1">
      <w:pPr>
        <w:spacing w:line="360" w:lineRule="auto"/>
        <w:jc w:val="both"/>
        <w:rPr>
          <w:rFonts w:ascii="Arial" w:hAnsi="Arial"/>
          <w:rtl/>
        </w:rPr>
      </w:pPr>
      <w:bookmarkStart w:id="8" w:name="ABSTRACT_START"/>
      <w:bookmarkEnd w:id="8"/>
      <w:r w:rsidRPr="001E4230">
        <w:rPr>
          <w:rFonts w:ascii="Arial" w:hAnsi="Arial" w:hint="cs"/>
          <w:rtl/>
        </w:rPr>
        <w:t xml:space="preserve">הנאשם הורשע על פי הודאתו בעבירות המיוחסות לו בכתב האישום רכישת/החזקת נשק שלא כדין </w:t>
      </w:r>
      <w:r w:rsidRPr="001E4230">
        <w:rPr>
          <w:rFonts w:ascii="Arial" w:hAnsi="Arial"/>
          <w:rtl/>
        </w:rPr>
        <w:t>–</w:t>
      </w:r>
      <w:r w:rsidRPr="001E4230">
        <w:rPr>
          <w:rFonts w:ascii="Arial" w:hAnsi="Arial" w:hint="cs"/>
          <w:rtl/>
        </w:rPr>
        <w:t xml:space="preserve"> עבירה לפי </w:t>
      </w:r>
      <w:hyperlink r:id="rId13" w:history="1">
        <w:r w:rsidR="00157D9E" w:rsidRPr="00157D9E">
          <w:rPr>
            <w:rStyle w:val="Hyperlink"/>
            <w:rFonts w:ascii="Arial" w:hAnsi="Arial" w:hint="eastAsia"/>
            <w:rtl/>
          </w:rPr>
          <w:t>סעיף</w:t>
        </w:r>
        <w:r w:rsidR="00157D9E" w:rsidRPr="00157D9E">
          <w:rPr>
            <w:rStyle w:val="Hyperlink"/>
            <w:rFonts w:ascii="Arial" w:hAnsi="Arial"/>
            <w:rtl/>
          </w:rPr>
          <w:t xml:space="preserve"> 144(א)</w:t>
        </w:r>
      </w:hyperlink>
      <w:r w:rsidRPr="001E4230">
        <w:rPr>
          <w:rFonts w:ascii="Arial" w:hAnsi="Arial" w:hint="cs"/>
          <w:rtl/>
        </w:rPr>
        <w:t xml:space="preserve"> רישא ל</w:t>
      </w:r>
      <w:hyperlink r:id="rId14" w:history="1">
        <w:r w:rsidR="00466A8A" w:rsidRPr="00466A8A">
          <w:rPr>
            <w:rFonts w:ascii="Arial" w:hAnsi="Arial"/>
            <w:color w:val="0000FF"/>
            <w:u w:val="single"/>
            <w:rtl/>
          </w:rPr>
          <w:t>חוק העונשין</w:t>
        </w:r>
      </w:hyperlink>
      <w:r w:rsidRPr="001E4230">
        <w:rPr>
          <w:rFonts w:ascii="Arial" w:hAnsi="Arial" w:hint="cs"/>
          <w:rtl/>
        </w:rPr>
        <w:t xml:space="preserve">, תשל"ז </w:t>
      </w:r>
      <w:r w:rsidRPr="001E4230">
        <w:rPr>
          <w:rFonts w:ascii="Arial" w:hAnsi="Arial"/>
          <w:rtl/>
        </w:rPr>
        <w:t>–</w:t>
      </w:r>
      <w:r w:rsidRPr="001E4230">
        <w:rPr>
          <w:rFonts w:ascii="Arial" w:hAnsi="Arial" w:hint="cs"/>
          <w:rtl/>
        </w:rPr>
        <w:t xml:space="preserve"> 1977 ורכישת/החזקת חלק של נשק או תחמושת </w:t>
      </w:r>
      <w:r w:rsidRPr="001E4230">
        <w:rPr>
          <w:rFonts w:ascii="Arial" w:hAnsi="Arial"/>
          <w:rtl/>
        </w:rPr>
        <w:t>–</w:t>
      </w:r>
      <w:r w:rsidRPr="001E4230">
        <w:rPr>
          <w:rFonts w:ascii="Arial" w:hAnsi="Arial" w:hint="cs"/>
          <w:rtl/>
        </w:rPr>
        <w:t xml:space="preserve"> עבירה לפי </w:t>
      </w:r>
      <w:hyperlink r:id="rId15" w:history="1">
        <w:r w:rsidR="00157D9E" w:rsidRPr="00157D9E">
          <w:rPr>
            <w:rStyle w:val="Hyperlink"/>
            <w:rFonts w:ascii="Arial" w:hAnsi="Arial" w:hint="eastAsia"/>
            <w:rtl/>
          </w:rPr>
          <w:t>סעיף</w:t>
        </w:r>
        <w:r w:rsidR="00157D9E" w:rsidRPr="00157D9E">
          <w:rPr>
            <w:rStyle w:val="Hyperlink"/>
            <w:rFonts w:ascii="Arial" w:hAnsi="Arial"/>
            <w:rtl/>
          </w:rPr>
          <w:t xml:space="preserve"> 144(א)</w:t>
        </w:r>
      </w:hyperlink>
      <w:r w:rsidRPr="001E4230">
        <w:rPr>
          <w:rFonts w:ascii="Arial" w:hAnsi="Arial" w:hint="cs"/>
          <w:rtl/>
        </w:rPr>
        <w:t xml:space="preserve"> סיפא לחוק העונשין, תשל"ז </w:t>
      </w:r>
      <w:r w:rsidRPr="001E4230">
        <w:rPr>
          <w:rFonts w:ascii="Arial" w:hAnsi="Arial"/>
          <w:rtl/>
        </w:rPr>
        <w:t>–</w:t>
      </w:r>
      <w:r w:rsidRPr="001E4230">
        <w:rPr>
          <w:rFonts w:ascii="Arial" w:hAnsi="Arial" w:hint="cs"/>
          <w:rtl/>
        </w:rPr>
        <w:t xml:space="preserve"> 1977.  </w:t>
      </w:r>
    </w:p>
    <w:p w14:paraId="244F712C" w14:textId="77777777" w:rsidR="00CC23D1" w:rsidRDefault="00CC23D1" w:rsidP="00CC23D1">
      <w:pPr>
        <w:spacing w:line="360" w:lineRule="auto"/>
        <w:jc w:val="both"/>
        <w:rPr>
          <w:rFonts w:ascii="Arial" w:hAnsi="Arial"/>
          <w:rtl/>
        </w:rPr>
      </w:pPr>
      <w:bookmarkStart w:id="9" w:name="ABSTRACT_END"/>
      <w:bookmarkEnd w:id="9"/>
    </w:p>
    <w:p w14:paraId="16B55E15" w14:textId="77777777" w:rsidR="00CC23D1" w:rsidRPr="001E4230" w:rsidRDefault="00CC23D1" w:rsidP="00CC23D1">
      <w:pPr>
        <w:spacing w:line="360" w:lineRule="auto"/>
        <w:jc w:val="both"/>
        <w:rPr>
          <w:rFonts w:ascii="Arial" w:hAnsi="Arial"/>
          <w:rtl/>
        </w:rPr>
      </w:pPr>
      <w:r>
        <w:rPr>
          <w:rFonts w:ascii="Arial" w:hAnsi="Arial" w:hint="cs"/>
          <w:rtl/>
        </w:rPr>
        <w:t xml:space="preserve">כעולה מעובדות כתב האישום בתאריך 5/5/23 בשעה 17:30 לערך, בוצע חיפוש בביתו של הנאשם באום אל פאחם (להלן: "הבית") וזאת מכוח צו בית משפט השלום בחדרה. בנסיבות אלו נמצאה מעל ארון בבית שקית ובה אקדח הזנקה מסוג </w:t>
      </w:r>
      <w:r>
        <w:rPr>
          <w:rFonts w:ascii="Arial" w:hAnsi="Arial" w:hint="cs"/>
        </w:rPr>
        <w:t>KUZEY</w:t>
      </w:r>
      <w:r>
        <w:rPr>
          <w:rFonts w:ascii="Arial" w:hAnsi="Arial" w:hint="cs"/>
          <w:rtl/>
        </w:rPr>
        <w:t xml:space="preserve"> אשר הוסב לירי תחמושת קליעית בקוטר 9 מילימטר. האקדח נמצא כשהוא טעון במחסנית ובה 8 כדורים בעלי קליע בקוטר 9 מילימטר המתאימים לאקדח. במעשיו כמתואר לעיל, הנאשם החזיק בנשק אשר מסוגל לירות כדור כשבכוחו להמית אדם וכן החזיק בתחמושת מתאימה לנשק שבכוחה להמית אדם. </w:t>
      </w:r>
    </w:p>
    <w:p w14:paraId="46E70ED7" w14:textId="77777777" w:rsidR="00CC23D1" w:rsidRDefault="00CC23D1" w:rsidP="00CC23D1">
      <w:pPr>
        <w:rPr>
          <w:rFonts w:ascii="Arial" w:hAnsi="Arial"/>
          <w:b/>
          <w:bCs/>
          <w:sz w:val="26"/>
          <w:szCs w:val="26"/>
          <w:rtl/>
        </w:rPr>
      </w:pPr>
    </w:p>
    <w:p w14:paraId="29312553" w14:textId="77777777" w:rsidR="00CC23D1" w:rsidRDefault="00CC23D1" w:rsidP="00CC23D1">
      <w:pPr>
        <w:spacing w:line="360" w:lineRule="auto"/>
        <w:jc w:val="both"/>
        <w:rPr>
          <w:rFonts w:ascii="Arial" w:hAnsi="Arial"/>
        </w:rPr>
      </w:pPr>
      <w:r>
        <w:rPr>
          <w:rFonts w:ascii="Arial" w:hAnsi="Arial" w:hint="cs"/>
          <w:rtl/>
        </w:rPr>
        <w:lastRenderedPageBreak/>
        <w:t>הנאשם עצור מתאריך 05.05.23.</w:t>
      </w:r>
    </w:p>
    <w:p w14:paraId="5D71A51C" w14:textId="77777777" w:rsidR="00CC23D1" w:rsidRDefault="00CC23D1" w:rsidP="00CC23D1">
      <w:pPr>
        <w:pStyle w:val="a9"/>
        <w:spacing w:line="360" w:lineRule="auto"/>
        <w:jc w:val="both"/>
        <w:rPr>
          <w:rFonts w:ascii="David" w:hAnsi="David" w:cs="David"/>
          <w:sz w:val="24"/>
          <w:szCs w:val="24"/>
          <w:rtl/>
        </w:rPr>
      </w:pPr>
    </w:p>
    <w:p w14:paraId="6BD819B5" w14:textId="77777777" w:rsidR="00CC23D1" w:rsidRDefault="00CC23D1" w:rsidP="00CC23D1">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טיעוני הצדדים לעונש</w:t>
      </w:r>
    </w:p>
    <w:p w14:paraId="5C5F1C3A" w14:textId="77777777" w:rsidR="00CC23D1" w:rsidRDefault="00CC23D1" w:rsidP="00CC23D1">
      <w:pPr>
        <w:pStyle w:val="a9"/>
        <w:spacing w:line="360" w:lineRule="auto"/>
        <w:jc w:val="both"/>
        <w:rPr>
          <w:rFonts w:ascii="David" w:hAnsi="David" w:cs="David"/>
          <w:sz w:val="24"/>
          <w:szCs w:val="24"/>
          <w:rtl/>
        </w:rPr>
      </w:pPr>
      <w:r>
        <w:rPr>
          <w:rFonts w:ascii="David" w:hAnsi="David" w:cs="David"/>
          <w:sz w:val="24"/>
          <w:szCs w:val="24"/>
          <w:rtl/>
        </w:rPr>
        <w:t>ב"כ המאשימה עמד על חומרת מעשיו של הנאשם ועל הערכים החברתיים שנפגעו, שלום הציבור ובטחונו. ב"כ המאשימה הדגיש שמידת הפגיעה בערכים אלה איננה מסתכמת רק בנזק שאירע בפועל אלא גם בפוטנציאל של פגיעה בחפים מפשע וערעור בטחון הציבור והסדר החברתי, הנובע מאותן עבירות. עוד הדגיש שמיגור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w:t>
      </w:r>
    </w:p>
    <w:p w14:paraId="47CAD76E" w14:textId="77777777" w:rsidR="00CC23D1" w:rsidRDefault="00CC23D1" w:rsidP="00CC23D1">
      <w:pPr>
        <w:pStyle w:val="a9"/>
        <w:spacing w:line="360" w:lineRule="auto"/>
        <w:jc w:val="both"/>
        <w:rPr>
          <w:rFonts w:ascii="David" w:hAnsi="David" w:cs="David"/>
          <w:sz w:val="24"/>
          <w:szCs w:val="24"/>
          <w:rtl/>
        </w:rPr>
      </w:pPr>
    </w:p>
    <w:p w14:paraId="4BB76230" w14:textId="77777777" w:rsidR="00CC23D1" w:rsidRDefault="00CC23D1" w:rsidP="00CC23D1">
      <w:pPr>
        <w:pStyle w:val="a9"/>
        <w:spacing w:line="360" w:lineRule="auto"/>
        <w:jc w:val="both"/>
        <w:rPr>
          <w:rFonts w:ascii="David" w:hAnsi="David" w:cs="David"/>
          <w:sz w:val="24"/>
          <w:szCs w:val="24"/>
          <w:rtl/>
        </w:rPr>
      </w:pPr>
      <w:r>
        <w:rPr>
          <w:rFonts w:ascii="David" w:hAnsi="David" w:cs="David"/>
          <w:sz w:val="24"/>
          <w:szCs w:val="24"/>
          <w:rtl/>
        </w:rPr>
        <w:t xml:space="preserve">בקביעת מתחם העונש ההולם את מעשיו של הנאשם, עמד ב"כ המאשימה על מדיניות הענישה הנהוגה בעבירות דומות והפנה לפסיקה רלוונטית. </w:t>
      </w:r>
    </w:p>
    <w:p w14:paraId="553EB35D" w14:textId="77777777" w:rsidR="00CC23D1" w:rsidRDefault="00CC23D1" w:rsidP="00CC23D1">
      <w:pPr>
        <w:pStyle w:val="a9"/>
        <w:spacing w:line="360" w:lineRule="auto"/>
        <w:jc w:val="both"/>
        <w:rPr>
          <w:rFonts w:ascii="David" w:hAnsi="David" w:cs="David"/>
          <w:sz w:val="24"/>
          <w:szCs w:val="24"/>
          <w:rtl/>
        </w:rPr>
      </w:pPr>
    </w:p>
    <w:p w14:paraId="6173CE26" w14:textId="77777777" w:rsidR="00CC23D1" w:rsidRDefault="00CC23D1" w:rsidP="00CC23D1">
      <w:pPr>
        <w:pStyle w:val="a9"/>
        <w:spacing w:line="360" w:lineRule="auto"/>
        <w:jc w:val="both"/>
        <w:rPr>
          <w:rFonts w:ascii="David" w:hAnsi="David" w:cs="David"/>
          <w:sz w:val="24"/>
          <w:szCs w:val="24"/>
          <w:rtl/>
        </w:rPr>
      </w:pPr>
      <w:r>
        <w:rPr>
          <w:rFonts w:ascii="David" w:hAnsi="David" w:cs="David"/>
          <w:sz w:val="24"/>
          <w:szCs w:val="24"/>
          <w:rtl/>
        </w:rPr>
        <w:t>ב"כ המאשימה סבר שמתחם העונש ההולם את מעשיו של הנאשם נע בין 18 ל- 36 חודשי מאסר וביקש בהתחשב בנסיבות שאינן קשורות בביצוע העבירה, בעיקר עברו הפלילי של הנאשם הכולל גם מאסר ממושך בשל עבירות אלימות, לגזור על הנאשם מאסר בפועל שלא יפחת מ- 20 חודשים וכן מאסר על תנאי משמעותי וקנס.</w:t>
      </w:r>
    </w:p>
    <w:p w14:paraId="32B88011" w14:textId="77777777" w:rsidR="00CC23D1" w:rsidRDefault="00CC23D1" w:rsidP="00CC23D1">
      <w:pPr>
        <w:pStyle w:val="a9"/>
        <w:spacing w:line="360" w:lineRule="auto"/>
        <w:ind w:firstLine="720"/>
        <w:jc w:val="both"/>
        <w:rPr>
          <w:rFonts w:ascii="David" w:hAnsi="David" w:cs="David"/>
          <w:sz w:val="24"/>
          <w:szCs w:val="24"/>
          <w:rtl/>
        </w:rPr>
      </w:pPr>
    </w:p>
    <w:p w14:paraId="6B15D41B" w14:textId="77777777" w:rsidR="00CC23D1" w:rsidRDefault="00CC23D1" w:rsidP="00CC23D1">
      <w:pPr>
        <w:pStyle w:val="a9"/>
        <w:spacing w:line="360" w:lineRule="auto"/>
        <w:jc w:val="both"/>
        <w:rPr>
          <w:rFonts w:ascii="David" w:hAnsi="David" w:cs="David"/>
          <w:sz w:val="24"/>
          <w:szCs w:val="24"/>
          <w:rtl/>
        </w:rPr>
      </w:pPr>
      <w:r>
        <w:rPr>
          <w:rFonts w:ascii="David" w:hAnsi="David" w:cs="David"/>
          <w:sz w:val="24"/>
          <w:szCs w:val="24"/>
          <w:rtl/>
        </w:rPr>
        <w:t>מנגד, באשר לנסיבות העבירות, בא כוח הנאשם ציין שהנשק נבדק ולא נמצא שנעשה בו שימוש ושלא מדובר בנשק התקפי ולכן מידת הפגיעה בערכים המוגנים הינה נמוכה עד בינונית.</w:t>
      </w:r>
    </w:p>
    <w:p w14:paraId="3F76F809" w14:textId="77777777" w:rsidR="00CC23D1" w:rsidRDefault="00CC23D1" w:rsidP="00CC23D1">
      <w:pPr>
        <w:pStyle w:val="a9"/>
        <w:spacing w:line="360" w:lineRule="auto"/>
        <w:jc w:val="both"/>
        <w:rPr>
          <w:rStyle w:val="normal-h"/>
          <w:rtl/>
        </w:rPr>
      </w:pPr>
      <w:r>
        <w:rPr>
          <w:rStyle w:val="normal-h"/>
          <w:rFonts w:ascii="David" w:hAnsi="David" w:cs="David"/>
          <w:sz w:val="24"/>
          <w:szCs w:val="24"/>
          <w:rtl/>
        </w:rPr>
        <w:t xml:space="preserve">הסנגור הפנה לפסקי דין מטעמו תוך שסבר שמתחם העונש ההולם את מעשיו של הנאשם נע בין 9 חודשי מאסר בפועל, שניתן לרצות בעבודות שירות ועד 30 חודשי מאסר. </w:t>
      </w:r>
    </w:p>
    <w:p w14:paraId="52163E38" w14:textId="77777777" w:rsidR="00CC23D1" w:rsidRDefault="00CC23D1" w:rsidP="00CC23D1">
      <w:pPr>
        <w:pStyle w:val="a9"/>
        <w:spacing w:line="360" w:lineRule="auto"/>
        <w:jc w:val="both"/>
        <w:rPr>
          <w:rStyle w:val="normal-h"/>
          <w:rFonts w:ascii="David" w:hAnsi="David" w:cs="David"/>
          <w:sz w:val="24"/>
          <w:szCs w:val="24"/>
          <w:rtl/>
        </w:rPr>
      </w:pPr>
    </w:p>
    <w:p w14:paraId="3A5DD917" w14:textId="77777777" w:rsidR="00CC23D1" w:rsidRDefault="00CC23D1" w:rsidP="00CC23D1">
      <w:pPr>
        <w:pStyle w:val="a9"/>
        <w:spacing w:line="360" w:lineRule="auto"/>
        <w:jc w:val="both"/>
        <w:rPr>
          <w:rtl/>
        </w:rPr>
      </w:pPr>
      <w:r>
        <w:rPr>
          <w:rStyle w:val="normal-h"/>
          <w:rFonts w:ascii="David" w:hAnsi="David" w:cs="David"/>
          <w:sz w:val="24"/>
          <w:szCs w:val="24"/>
          <w:rtl/>
        </w:rPr>
        <w:t xml:space="preserve">בקביעת עונשו של הנאשם בתוך המתחם, עמד הסנגור על הנסיבות שאינן קשורות בביצוע העבירה </w:t>
      </w:r>
      <w:r>
        <w:rPr>
          <w:rFonts w:ascii="David" w:hAnsi="David" w:cs="David"/>
          <w:sz w:val="24"/>
          <w:szCs w:val="24"/>
          <w:rtl/>
        </w:rPr>
        <w:t>וביקש להתחשב בהודאת הנאשם בהזדמנות הראשונה, בלקיחת האחריות והחרטה, בהיותו של הנאשם אב לארבעה ילדים וציין שעברו הפלילי של הנאשם איננו בגין עבירות נשק אלא בגין עבירות אלימות במשפחה. בנוסף, הזכיר הסנגור שהנאשם נתון במעצר מאחורי סורג ובריח תקופה ארוכה כאשר תקופת המעצר קשה היא מתקופת מאסר בשל תנאיה.</w:t>
      </w:r>
    </w:p>
    <w:p w14:paraId="3D5E0CAA" w14:textId="77777777" w:rsidR="00CC23D1" w:rsidRDefault="00CC23D1" w:rsidP="00CC23D1">
      <w:pPr>
        <w:pStyle w:val="a9"/>
        <w:spacing w:line="360" w:lineRule="auto"/>
        <w:jc w:val="both"/>
        <w:rPr>
          <w:rStyle w:val="normal-h"/>
          <w:rtl/>
        </w:rPr>
      </w:pPr>
      <w:r>
        <w:rPr>
          <w:rStyle w:val="normal-h"/>
          <w:rFonts w:ascii="David" w:hAnsi="David" w:cs="David"/>
          <w:sz w:val="24"/>
          <w:szCs w:val="24"/>
          <w:rtl/>
        </w:rPr>
        <w:t>לאור האמור, ביקש בא כוח הנאשם למקם את הנאשם בתחתית המתחם אותו ציין.</w:t>
      </w:r>
    </w:p>
    <w:p w14:paraId="5C18B045" w14:textId="77777777" w:rsidR="00CC23D1" w:rsidRDefault="00CC23D1" w:rsidP="00CC23D1">
      <w:pPr>
        <w:spacing w:line="360" w:lineRule="auto"/>
        <w:jc w:val="both"/>
        <w:rPr>
          <w:b/>
          <w:bCs/>
          <w:u w:val="single"/>
          <w:rtl/>
        </w:rPr>
      </w:pPr>
    </w:p>
    <w:p w14:paraId="3A2F3117" w14:textId="77777777" w:rsidR="00CC23D1" w:rsidRDefault="00CC23D1" w:rsidP="00CC23D1">
      <w:pPr>
        <w:spacing w:line="360" w:lineRule="auto"/>
        <w:jc w:val="both"/>
        <w:rPr>
          <w:rtl/>
        </w:rPr>
      </w:pPr>
      <w:r>
        <w:rPr>
          <w:rFonts w:hint="cs"/>
          <w:b/>
          <w:bCs/>
          <w:u w:val="single"/>
          <w:rtl/>
        </w:rPr>
        <w:t>דיון והכרעה</w:t>
      </w:r>
      <w:r>
        <w:rPr>
          <w:rFonts w:hint="cs"/>
          <w:rtl/>
        </w:rPr>
        <w:t>:</w:t>
      </w:r>
    </w:p>
    <w:p w14:paraId="3F7B1A05" w14:textId="77777777" w:rsidR="00CC23D1" w:rsidRDefault="00CC23D1" w:rsidP="00CC23D1">
      <w:pPr>
        <w:spacing w:line="360" w:lineRule="auto"/>
        <w:jc w:val="both"/>
        <w:rPr>
          <w:rtl/>
        </w:rPr>
      </w:pPr>
      <w:r>
        <w:rPr>
          <w:rFonts w:hint="cs"/>
          <w:rtl/>
        </w:rPr>
        <w:t>תיקון 113 ל</w:t>
      </w:r>
      <w:hyperlink r:id="rId16" w:history="1">
        <w:r w:rsidR="00466A8A" w:rsidRPr="00466A8A">
          <w:rPr>
            <w:color w:val="0000FF"/>
            <w:u w:val="single"/>
            <w:rtl/>
          </w:rPr>
          <w:t>חוק העונשין</w:t>
        </w:r>
      </w:hyperlink>
      <w:r>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לעבירות שביצע הנאשם. לשם כך יתחשב בית המשפט בערך החברתי שנפגע מביצוע העבירה, </w:t>
      </w:r>
      <w:r>
        <w:rPr>
          <w:rFonts w:hint="cs"/>
          <w:rtl/>
        </w:rPr>
        <w:lastRenderedPageBreak/>
        <w:t xml:space="preserve">במידת הפגיעה בו, במדיניות הענישה הנהוגה ובנסיבות הקשורות בביצוע העבירה המפורטות </w:t>
      </w:r>
      <w:hyperlink r:id="rId17" w:history="1">
        <w:r w:rsidR="00157D9E" w:rsidRPr="00157D9E">
          <w:rPr>
            <w:rStyle w:val="Hyperlink"/>
            <w:rFonts w:hint="eastAsia"/>
            <w:rtl/>
          </w:rPr>
          <w:t>בסעיף</w:t>
        </w:r>
        <w:r w:rsidR="00157D9E" w:rsidRPr="00157D9E">
          <w:rPr>
            <w:rStyle w:val="Hyperlink"/>
            <w:rtl/>
          </w:rPr>
          <w:t xml:space="preserve"> 40ט'</w:t>
        </w:r>
      </w:hyperlink>
      <w:r>
        <w:rPr>
          <w:rFonts w:hint="cs"/>
          <w:rtl/>
        </w:rPr>
        <w:t xml:space="preserve"> ל</w:t>
      </w:r>
      <w:hyperlink r:id="rId18" w:history="1">
        <w:r w:rsidR="00466A8A" w:rsidRPr="00466A8A">
          <w:rPr>
            <w:color w:val="0000FF"/>
            <w:u w:val="single"/>
            <w:rtl/>
          </w:rPr>
          <w:t>חוק העונשין</w:t>
        </w:r>
      </w:hyperlink>
      <w:r>
        <w:rPr>
          <w:rFonts w:hint="cs"/>
          <w:rtl/>
        </w:rPr>
        <w:t xml:space="preserve">. </w:t>
      </w:r>
    </w:p>
    <w:p w14:paraId="70A20369" w14:textId="77777777" w:rsidR="00CC23D1" w:rsidRDefault="00CC23D1" w:rsidP="00CC23D1">
      <w:pPr>
        <w:spacing w:line="360" w:lineRule="auto"/>
        <w:rPr>
          <w:rtl/>
        </w:rPr>
      </w:pPr>
    </w:p>
    <w:p w14:paraId="1269CBEF" w14:textId="77777777" w:rsidR="00CC23D1" w:rsidRDefault="00CC23D1" w:rsidP="00CC23D1">
      <w:pPr>
        <w:spacing w:line="360" w:lineRule="auto"/>
        <w:jc w:val="both"/>
        <w:rPr>
          <w:rtl/>
        </w:rPr>
      </w:pPr>
      <w:r>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9" w:history="1">
        <w:r w:rsidR="00157D9E" w:rsidRPr="00157D9E">
          <w:rPr>
            <w:rStyle w:val="Hyperlink"/>
            <w:rFonts w:hint="eastAsia"/>
            <w:rtl/>
          </w:rPr>
          <w:t>בסעיף</w:t>
        </w:r>
        <w:r w:rsidR="00157D9E" w:rsidRPr="00157D9E">
          <w:rPr>
            <w:rStyle w:val="Hyperlink"/>
            <w:rtl/>
          </w:rPr>
          <w:t xml:space="preserve"> 40יא'</w:t>
        </w:r>
      </w:hyperlink>
      <w:r>
        <w:rPr>
          <w:rFonts w:hint="cs"/>
          <w:rtl/>
        </w:rPr>
        <w:t xml:space="preserve"> לחוק. </w:t>
      </w:r>
    </w:p>
    <w:p w14:paraId="7FC13BCE" w14:textId="77777777" w:rsidR="00CC23D1" w:rsidRDefault="00CC23D1" w:rsidP="00CC23D1">
      <w:pPr>
        <w:spacing w:line="360" w:lineRule="auto"/>
        <w:rPr>
          <w:rtl/>
        </w:rPr>
      </w:pPr>
    </w:p>
    <w:p w14:paraId="33203F94" w14:textId="77777777" w:rsidR="00CC23D1" w:rsidRDefault="00CC23D1" w:rsidP="00CC23D1">
      <w:pPr>
        <w:spacing w:line="360" w:lineRule="auto"/>
        <w:jc w:val="both"/>
        <w:rPr>
          <w:rtl/>
        </w:rPr>
      </w:pPr>
      <w:r>
        <w:rPr>
          <w:rFonts w:hint="cs"/>
          <w:rtl/>
        </w:rPr>
        <w:t xml:space="preserve">בית המשפט רשאי לחרוג ממתחם העונש ההולם בשל שיקולי שיקום או הגנה על שלום הציבור לפי </w:t>
      </w:r>
      <w:hyperlink r:id="rId20" w:history="1">
        <w:r w:rsidR="00157D9E" w:rsidRPr="00157D9E">
          <w:rPr>
            <w:rStyle w:val="Hyperlink"/>
            <w:rFonts w:hint="eastAsia"/>
            <w:rtl/>
          </w:rPr>
          <w:t>סעיפים</w:t>
        </w:r>
        <w:r w:rsidR="00157D9E" w:rsidRPr="00157D9E">
          <w:rPr>
            <w:rStyle w:val="Hyperlink"/>
            <w:rtl/>
          </w:rPr>
          <w:t xml:space="preserve"> 40ד'</w:t>
        </w:r>
      </w:hyperlink>
      <w:r>
        <w:rPr>
          <w:rFonts w:hint="cs"/>
          <w:rtl/>
        </w:rPr>
        <w:t xml:space="preserve"> ו</w:t>
      </w:r>
      <w:hyperlink r:id="rId21" w:history="1">
        <w:r w:rsidR="00157D9E" w:rsidRPr="00157D9E">
          <w:rPr>
            <w:rStyle w:val="Hyperlink"/>
            <w:rtl/>
          </w:rPr>
          <w:t>40 ה'</w:t>
        </w:r>
      </w:hyperlink>
      <w:r>
        <w:rPr>
          <w:rFonts w:hint="cs"/>
          <w:rtl/>
        </w:rPr>
        <w:t xml:space="preserve"> לחוק. </w:t>
      </w:r>
    </w:p>
    <w:p w14:paraId="7733E069" w14:textId="77777777" w:rsidR="00CC23D1" w:rsidRDefault="00CC23D1" w:rsidP="00CC23D1">
      <w:pPr>
        <w:spacing w:line="360" w:lineRule="auto"/>
        <w:jc w:val="both"/>
        <w:rPr>
          <w:rtl/>
        </w:rPr>
      </w:pPr>
    </w:p>
    <w:p w14:paraId="1C351F92" w14:textId="77777777" w:rsidR="00CC23D1" w:rsidRDefault="00CC23D1" w:rsidP="00CC23D1">
      <w:pPr>
        <w:spacing w:line="360" w:lineRule="auto"/>
        <w:jc w:val="both"/>
        <w:rPr>
          <w:rtl/>
        </w:rPr>
      </w:pPr>
    </w:p>
    <w:p w14:paraId="3D08EE98" w14:textId="77777777" w:rsidR="00CC23D1" w:rsidRDefault="00CC23D1" w:rsidP="00CC23D1">
      <w:pPr>
        <w:spacing w:line="360" w:lineRule="auto"/>
        <w:jc w:val="both"/>
        <w:rPr>
          <w:rFonts w:ascii="David" w:eastAsia="David" w:hAnsi="David"/>
          <w:b/>
          <w:bCs/>
          <w:u w:val="single"/>
          <w:rtl/>
        </w:rPr>
      </w:pPr>
    </w:p>
    <w:p w14:paraId="1AB60CCC" w14:textId="77777777" w:rsidR="00CC23D1" w:rsidRDefault="00CC23D1" w:rsidP="00CC23D1">
      <w:pPr>
        <w:spacing w:line="360" w:lineRule="auto"/>
        <w:jc w:val="both"/>
        <w:rPr>
          <w:rFonts w:ascii="Miriam" w:hAnsi="Miriam" w:cs="Miriam"/>
          <w:rtl/>
        </w:rPr>
      </w:pPr>
      <w:r>
        <w:rPr>
          <w:rFonts w:hint="cs"/>
          <w:u w:val="single"/>
          <w:rtl/>
        </w:rPr>
        <w:t>קביעת מתחם העונש ההולם</w:t>
      </w:r>
      <w:r>
        <w:rPr>
          <w:rFonts w:hint="cs"/>
          <w:rtl/>
        </w:rPr>
        <w:t>:</w:t>
      </w:r>
    </w:p>
    <w:p w14:paraId="55159DD6" w14:textId="77777777" w:rsidR="00CC23D1" w:rsidRDefault="00CC23D1" w:rsidP="00CC23D1">
      <w:pPr>
        <w:spacing w:line="360" w:lineRule="auto"/>
        <w:jc w:val="both"/>
        <w:rPr>
          <w:rFonts w:ascii="Arial" w:hAnsi="Arial"/>
        </w:rPr>
      </w:pPr>
      <w:r>
        <w:rPr>
          <w:rFonts w:hint="cs"/>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hint="cs"/>
          <w:rtl/>
        </w:rPr>
        <w:t xml:space="preserve"> הואיל ונשק המוחזק שלא כדין עלול להביא לפגיעה בשלטון החוק ובנושאי שלטון החוק המבצעים את תפקידם.</w:t>
      </w:r>
    </w:p>
    <w:p w14:paraId="39550FA2" w14:textId="77777777" w:rsidR="00CC23D1" w:rsidRDefault="00CC23D1" w:rsidP="00CC23D1">
      <w:pPr>
        <w:spacing w:line="360" w:lineRule="auto"/>
        <w:jc w:val="both"/>
        <w:rPr>
          <w:rFonts w:ascii="Arial" w:hAnsi="Arial"/>
          <w:rtl/>
        </w:rPr>
      </w:pPr>
    </w:p>
    <w:p w14:paraId="0F457B1E" w14:textId="77777777" w:rsidR="00CC23D1" w:rsidRDefault="00CC23D1" w:rsidP="00CC23D1">
      <w:pPr>
        <w:spacing w:line="360" w:lineRule="auto"/>
        <w:jc w:val="both"/>
        <w:rPr>
          <w:rFonts w:ascii="David" w:hAnsi="David"/>
          <w:rtl/>
        </w:rPr>
      </w:pPr>
      <w:r>
        <w:rPr>
          <w:rFonts w:hint="cs"/>
          <w:rtl/>
        </w:rPr>
        <w:t>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משום שהנשק מגיע לידיים עברייניות, או משום שהנשק מגיע לידי מי שמנסים לפגוע בביטחונם ובשלומם של תושבי המדינה או משום תאונות שנגרמות כתוצאה מהשימוש בנשק. ביהמ"ש העליון חזר והזכיר רק לאחרונה:</w:t>
      </w:r>
    </w:p>
    <w:p w14:paraId="7790E963" w14:textId="77777777" w:rsidR="00CC23D1" w:rsidRDefault="00CC23D1" w:rsidP="00CC23D1">
      <w:pPr>
        <w:spacing w:line="360" w:lineRule="auto"/>
        <w:ind w:left="567" w:right="567"/>
        <w:contextualSpacing/>
        <w:jc w:val="both"/>
        <w:rPr>
          <w:b/>
          <w:bCs/>
        </w:rPr>
      </w:pPr>
      <w:r>
        <w:rPr>
          <w:rFonts w:hint="cs"/>
          <w:rtl/>
        </w:rPr>
        <w:t>"</w:t>
      </w:r>
      <w:r>
        <w:rPr>
          <w:rFonts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0D5683B6" w14:textId="77777777" w:rsidR="00CC23D1" w:rsidRDefault="00CC23D1" w:rsidP="00CC23D1">
      <w:pPr>
        <w:spacing w:line="360" w:lineRule="auto"/>
        <w:ind w:left="567" w:right="567"/>
        <w:contextualSpacing/>
        <w:jc w:val="both"/>
        <w:rPr>
          <w:b/>
          <w:bCs/>
        </w:rPr>
      </w:pPr>
      <w:r>
        <w:rPr>
          <w:rFonts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2" w:history="1">
        <w:r w:rsidR="00466A8A" w:rsidRPr="00466A8A">
          <w:rPr>
            <w:b/>
            <w:bCs/>
            <w:color w:val="0000FF"/>
            <w:u w:val="single"/>
            <w:rtl/>
          </w:rPr>
          <w:t>חוק העונשין</w:t>
        </w:r>
      </w:hyperlink>
      <w:r>
        <w:rPr>
          <w:rFonts w:hint="cs"/>
          <w:b/>
          <w:bCs/>
          <w:rtl/>
        </w:rPr>
        <w:t>, וראו חוק העונשין (תיקון מס' 140 - הוראת שעה), התשפ"ב-2021, ס"ח 472;"</w:t>
      </w:r>
      <w:r>
        <w:rPr>
          <w:rFonts w:hint="cs"/>
          <w:rtl/>
        </w:rPr>
        <w:t xml:space="preserve"> (</w:t>
      </w:r>
      <w:hyperlink r:id="rId23" w:history="1">
        <w:r w:rsidR="00466A8A" w:rsidRPr="00466A8A">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(14.04.22)).</w:t>
      </w:r>
    </w:p>
    <w:p w14:paraId="4B07A3A0" w14:textId="77777777" w:rsidR="00CC23D1" w:rsidRDefault="00CC23D1" w:rsidP="00CC23D1">
      <w:pPr>
        <w:spacing w:line="360" w:lineRule="auto"/>
        <w:ind w:left="567" w:right="567"/>
        <w:jc w:val="both"/>
        <w:rPr>
          <w:rtl/>
        </w:rPr>
      </w:pPr>
    </w:p>
    <w:p w14:paraId="7F1D080A" w14:textId="77777777" w:rsidR="00CC23D1" w:rsidRDefault="00CC23D1" w:rsidP="00CC23D1">
      <w:pPr>
        <w:spacing w:line="360" w:lineRule="auto"/>
        <w:jc w:val="both"/>
      </w:pPr>
      <w:r>
        <w:rPr>
          <w:rFonts w:hint="cs"/>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4" w:history="1">
        <w:r w:rsidR="00466A8A" w:rsidRPr="00466A8A">
          <w:rPr>
            <w:color w:val="0000FF"/>
            <w:u w:val="single"/>
            <w:rtl/>
          </w:rPr>
          <w:t>חוק העונשין</w:t>
        </w:r>
      </w:hyperlink>
      <w:r>
        <w:rPr>
          <w:rFonts w:hint="cs"/>
          <w:rtl/>
        </w:rPr>
        <w:t xml:space="preserve"> קבע עונש מינימום ביחס לעבירה בה הורשע הנאשם בהליך זה שלפני. כפי שנכתב ב</w:t>
      </w:r>
      <w:hyperlink r:id="rId25" w:history="1">
        <w:r w:rsidR="00466A8A" w:rsidRPr="00466A8A">
          <w:rPr>
            <w:color w:val="0000FF"/>
            <w:u w:val="single"/>
            <w:rtl/>
          </w:rPr>
          <w:t>ע"פ 147/21</w:t>
        </w:r>
      </w:hyperlink>
      <w:r>
        <w:rPr>
          <w:rFonts w:hint="cs"/>
          <w:rtl/>
        </w:rPr>
        <w:t xml:space="preserve"> </w:t>
      </w:r>
      <w:r>
        <w:rPr>
          <w:rFonts w:hint="cs"/>
          <w:b/>
          <w:bCs/>
          <w:rtl/>
        </w:rPr>
        <w:t>מדינת ישראל נ' ירין ביטון</w:t>
      </w:r>
      <w:r>
        <w:rPr>
          <w:rFonts w:hint="cs"/>
          <w:rtl/>
        </w:rPr>
        <w:t xml:space="preserve"> (14.02.21): </w:t>
      </w:r>
    </w:p>
    <w:p w14:paraId="17CA5C73" w14:textId="77777777" w:rsidR="00CC23D1" w:rsidRDefault="00CC23D1" w:rsidP="00CC23D1">
      <w:pPr>
        <w:spacing w:line="360" w:lineRule="auto"/>
        <w:ind w:left="567" w:right="567"/>
        <w:jc w:val="both"/>
        <w:rPr>
          <w:rtl/>
        </w:rPr>
      </w:pPr>
      <w:r>
        <w:rPr>
          <w:rFonts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6" w:history="1">
        <w:r w:rsidR="00466A8A" w:rsidRPr="00466A8A">
          <w:rPr>
            <w:b/>
            <w:bCs/>
            <w:color w:val="0000FF"/>
            <w:u w:val="single"/>
            <w:rtl/>
          </w:rPr>
          <w:t>יסודות בדיני עונשין</w:t>
        </w:r>
      </w:hyperlink>
      <w:r>
        <w:rPr>
          <w:rFonts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466A8A" w:rsidRPr="00466A8A">
          <w:rPr>
            <w:b/>
            <w:bCs/>
            <w:color w:val="0000FF"/>
            <w:u w:val="single"/>
            <w:rtl/>
          </w:rPr>
          <w:t>חוק העונשין</w:t>
        </w:r>
      </w:hyperlink>
      <w:r>
        <w:rPr>
          <w:rFonts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8" w:history="1">
        <w:r w:rsidR="00466A8A" w:rsidRPr="00466A8A">
          <w:rPr>
            <w:b/>
            <w:bCs/>
            <w:color w:val="0000FF"/>
            <w:u w:val="single"/>
            <w:rtl/>
          </w:rPr>
          <w:t>ע"פ 4406/19</w:t>
        </w:r>
      </w:hyperlink>
      <w:r>
        <w:rPr>
          <w:rFonts w:hint="cs"/>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9496225" w14:textId="77777777" w:rsidR="00CC23D1" w:rsidRDefault="00CC23D1" w:rsidP="00CC23D1">
      <w:pPr>
        <w:spacing w:line="360" w:lineRule="auto"/>
        <w:ind w:left="567" w:right="567"/>
        <w:jc w:val="both"/>
        <w:rPr>
          <w:rtl/>
        </w:rPr>
      </w:pPr>
    </w:p>
    <w:p w14:paraId="1F471264" w14:textId="77777777" w:rsidR="00CC23D1" w:rsidRDefault="00CC23D1" w:rsidP="00CC23D1">
      <w:pPr>
        <w:spacing w:line="360" w:lineRule="auto"/>
        <w:jc w:val="both"/>
        <w:rPr>
          <w:b/>
          <w:bCs/>
          <w:rtl/>
        </w:rPr>
      </w:pPr>
      <w:r>
        <w:rPr>
          <w:rFonts w:hint="cs"/>
          <w:rtl/>
        </w:rPr>
        <w:t>מגמת ההחמרה קיבלה ביטוי בפסיקתו של ביהמ"ש העליון ב</w:t>
      </w:r>
      <w:hyperlink r:id="rId29" w:history="1">
        <w:r w:rsidR="00466A8A" w:rsidRPr="00466A8A">
          <w:rPr>
            <w:color w:val="0000FF"/>
            <w:u w:val="single"/>
            <w:rtl/>
          </w:rPr>
          <w:t>ע"פ 5602/22</w:t>
        </w:r>
      </w:hyperlink>
      <w:r>
        <w:rPr>
          <w:rFonts w:hint="cs"/>
          <w:rtl/>
        </w:rPr>
        <w:t xml:space="preserve"> מדינת ישראל נ' פלוני (14.09.22) באשר לכל עבירות הנשק לרבות העבירות בהן עסקינן:</w:t>
      </w:r>
    </w:p>
    <w:p w14:paraId="04993DDB" w14:textId="77777777" w:rsidR="00CC23D1" w:rsidRDefault="00CC23D1" w:rsidP="00CC23D1">
      <w:pPr>
        <w:spacing w:line="360" w:lineRule="auto"/>
        <w:ind w:left="567" w:right="567"/>
        <w:contextualSpacing/>
        <w:jc w:val="both"/>
        <w:rPr>
          <w:rtl/>
        </w:rPr>
      </w:pPr>
      <w:r>
        <w:rPr>
          <w:rFonts w:hint="cs"/>
          <w:rtl/>
        </w:rPr>
        <w:t>"</w:t>
      </w:r>
      <w:r>
        <w:rPr>
          <w:rFonts w:hint="cs"/>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Pr>
          <w:rFonts w:hint="cs"/>
          <w:rtl/>
        </w:rPr>
        <w:t>"(</w:t>
      </w:r>
      <w:hyperlink r:id="rId30" w:history="1">
        <w:r w:rsidR="00466A8A" w:rsidRPr="00466A8A">
          <w:rPr>
            <w:color w:val="0000FF"/>
            <w:u w:val="single"/>
            <w:rtl/>
          </w:rPr>
          <w:t>ע"פ 5602/22</w:t>
        </w:r>
      </w:hyperlink>
      <w:r>
        <w:rPr>
          <w:rFonts w:hint="cs"/>
          <w:rtl/>
        </w:rPr>
        <w:t xml:space="preserve"> </w:t>
      </w:r>
      <w:r>
        <w:rPr>
          <w:rFonts w:hint="cs"/>
          <w:b/>
          <w:bCs/>
          <w:rtl/>
        </w:rPr>
        <w:t>מדינת ישראל נ' פלוני</w:t>
      </w:r>
      <w:r>
        <w:rPr>
          <w:rFonts w:hint="cs"/>
          <w:rtl/>
        </w:rPr>
        <w:t xml:space="preserve">, פסקה 15 (14.9.22); ראו גם </w:t>
      </w:r>
      <w:hyperlink r:id="rId31" w:history="1">
        <w:r w:rsidR="00466A8A" w:rsidRPr="00466A8A">
          <w:rPr>
            <w:color w:val="0000FF"/>
            <w:u w:val="single"/>
            <w:rtl/>
          </w:rPr>
          <w:t>ע"פ 4103/22</w:t>
        </w:r>
      </w:hyperlink>
      <w:r>
        <w:rPr>
          <w:rFonts w:hint="cs"/>
          <w:rtl/>
        </w:rPr>
        <w:t xml:space="preserve"> </w:t>
      </w:r>
      <w:r>
        <w:rPr>
          <w:rFonts w:hint="cs"/>
          <w:b/>
          <w:bCs/>
          <w:rtl/>
        </w:rPr>
        <w:t>מדינת ישראל נ' מוחמד אמון</w:t>
      </w:r>
      <w:r>
        <w:rPr>
          <w:rFonts w:hint="cs"/>
          <w:rtl/>
        </w:rPr>
        <w:t>, פסקה 9 (6.11.22).</w:t>
      </w:r>
    </w:p>
    <w:p w14:paraId="05E69E87" w14:textId="77777777" w:rsidR="00CC23D1" w:rsidRDefault="00CC23D1" w:rsidP="00CC23D1">
      <w:pPr>
        <w:spacing w:line="360" w:lineRule="auto"/>
        <w:jc w:val="both"/>
        <w:rPr>
          <w:rFonts w:cs="Times New Roman"/>
          <w:rtl/>
        </w:rPr>
      </w:pPr>
    </w:p>
    <w:p w14:paraId="7B5C5BB5" w14:textId="77777777" w:rsidR="00CC23D1" w:rsidRDefault="00CC23D1" w:rsidP="00CC23D1">
      <w:pPr>
        <w:spacing w:line="360" w:lineRule="auto"/>
        <w:jc w:val="both"/>
        <w:rPr>
          <w:rFonts w:ascii="David" w:hAnsi="David"/>
          <w:rtl/>
        </w:rPr>
      </w:pPr>
      <w:r>
        <w:rPr>
          <w:rFonts w:hint="cs"/>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בהתייחס לטענת הסנגור אודות היותו של הנשק המוחזק אקדח הזנקה ולא "אקדח התקפי", יפים בעיניי הדברים שנאמרו ב</w:t>
      </w:r>
      <w:hyperlink r:id="rId32" w:history="1">
        <w:r w:rsidR="00466A8A" w:rsidRPr="00466A8A">
          <w:rPr>
            <w:color w:val="0000FF"/>
            <w:u w:val="single"/>
            <w:rtl/>
          </w:rPr>
          <w:t>ע"פ 6383/21</w:t>
        </w:r>
      </w:hyperlink>
      <w:r>
        <w:rPr>
          <w:rFonts w:hint="cs"/>
          <w:rtl/>
        </w:rPr>
        <w:t xml:space="preserve"> </w:t>
      </w:r>
      <w:r>
        <w:rPr>
          <w:rFonts w:hint="cs"/>
          <w:b/>
          <w:bCs/>
          <w:rtl/>
        </w:rPr>
        <w:t>קריף נ' מדינת ישראל</w:t>
      </w:r>
      <w:r>
        <w:rPr>
          <w:rFonts w:hint="cs"/>
          <w:rtl/>
        </w:rPr>
        <w:t xml:space="preserve"> [פורסם בנבו] (13.02.22):</w:t>
      </w:r>
    </w:p>
    <w:p w14:paraId="21373793" w14:textId="77777777" w:rsidR="00CC23D1" w:rsidRDefault="00CC23D1" w:rsidP="00CC23D1">
      <w:pPr>
        <w:autoSpaceDE w:val="0"/>
        <w:autoSpaceDN w:val="0"/>
        <w:spacing w:line="360" w:lineRule="auto"/>
        <w:ind w:left="567" w:right="567"/>
        <w:jc w:val="both"/>
        <w:rPr>
          <w:b/>
          <w:bCs/>
        </w:rPr>
      </w:pPr>
      <w:r>
        <w:rPr>
          <w:rFonts w:hint="cs"/>
          <w:rtl/>
        </w:rPr>
        <w:t>"</w:t>
      </w:r>
      <w:r>
        <w:rPr>
          <w:rFonts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5E5BCFF4" w14:textId="77777777" w:rsidR="00CC23D1" w:rsidRDefault="00466A8A" w:rsidP="00CC23D1">
      <w:pPr>
        <w:autoSpaceDE w:val="0"/>
        <w:autoSpaceDN w:val="0"/>
        <w:spacing w:line="360" w:lineRule="auto"/>
        <w:ind w:left="567" w:right="567"/>
        <w:jc w:val="both"/>
      </w:pPr>
      <w:r>
        <w:rPr>
          <w:rFonts w:hint="cs"/>
          <w:b/>
          <w:bCs/>
          <w:rtl/>
        </w:rPr>
        <w:t xml:space="preserve">  </w:t>
      </w:r>
      <w:r w:rsidR="00CC23D1">
        <w:rPr>
          <w:rFonts w:hint="cs"/>
          <w:b/>
          <w:bCs/>
          <w:rtl/>
        </w:rPr>
        <w:t xml:space="preserve"> 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00CC23D1">
        <w:rPr>
          <w:rFonts w:hint="cs"/>
          <w:rtl/>
        </w:rPr>
        <w:t xml:space="preserve">" </w:t>
      </w:r>
    </w:p>
    <w:p w14:paraId="03459D69" w14:textId="77777777" w:rsidR="00CC23D1" w:rsidRDefault="00CC23D1" w:rsidP="00CC23D1">
      <w:pPr>
        <w:autoSpaceDE w:val="0"/>
        <w:autoSpaceDN w:val="0"/>
        <w:spacing w:line="360" w:lineRule="auto"/>
        <w:ind w:left="567" w:right="567"/>
        <w:jc w:val="both"/>
        <w:rPr>
          <w:rtl/>
        </w:rPr>
      </w:pPr>
    </w:p>
    <w:p w14:paraId="20B4697D" w14:textId="77777777" w:rsidR="00CC23D1" w:rsidRDefault="00CC23D1" w:rsidP="00CC23D1">
      <w:pPr>
        <w:spacing w:line="360" w:lineRule="auto"/>
        <w:jc w:val="both"/>
        <w:rPr>
          <w:rtl/>
        </w:rPr>
      </w:pPr>
      <w:r>
        <w:rPr>
          <w:rFonts w:hint="cs"/>
          <w:rtl/>
        </w:rPr>
        <w:t>לראיה באשר לקריאות של בתי המשפט בכל הערכאות, להעלות את רף הענישה בעבירות הנשק לסוגיהן ב</w:t>
      </w:r>
      <w:hyperlink r:id="rId33" w:history="1">
        <w:r w:rsidR="00466A8A" w:rsidRPr="00466A8A">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(05.11.19 [פורסם בנבו]) יצאה קריאה ברורה ומפורשת להחמיר בענישה בעבירות נשק:</w:t>
      </w:r>
    </w:p>
    <w:p w14:paraId="443F978F" w14:textId="77777777" w:rsidR="00CC23D1" w:rsidRDefault="00CC23D1" w:rsidP="00CC23D1">
      <w:pPr>
        <w:autoSpaceDE w:val="0"/>
        <w:autoSpaceDN w:val="0"/>
        <w:spacing w:line="360" w:lineRule="auto"/>
        <w:ind w:left="567" w:right="567"/>
        <w:jc w:val="both"/>
        <w:rPr>
          <w:b/>
          <w:bCs/>
          <w:rtl/>
        </w:rPr>
      </w:pP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56A62DCD" w14:textId="77777777" w:rsidR="00CC23D1" w:rsidRDefault="00466A8A" w:rsidP="00CC23D1">
      <w:pPr>
        <w:spacing w:line="360" w:lineRule="auto"/>
        <w:jc w:val="both"/>
        <w:rPr>
          <w:rtl/>
        </w:rPr>
      </w:pPr>
      <w:r>
        <w:rPr>
          <w:rFonts w:hint="cs"/>
          <w:rtl/>
        </w:rPr>
        <w:t xml:space="preserve">           </w:t>
      </w:r>
      <w:r w:rsidR="00CC23D1">
        <w:rPr>
          <w:rFonts w:hint="cs"/>
          <w:rtl/>
        </w:rPr>
        <w:t xml:space="preserve"> </w:t>
      </w:r>
    </w:p>
    <w:p w14:paraId="4037FE0B" w14:textId="77777777" w:rsidR="00CC23D1" w:rsidRDefault="00CC23D1" w:rsidP="00CC23D1">
      <w:pPr>
        <w:spacing w:line="360" w:lineRule="auto"/>
        <w:jc w:val="both"/>
        <w:rPr>
          <w:rtl/>
        </w:rPr>
      </w:pPr>
      <w:r>
        <w:rPr>
          <w:rFonts w:hint="cs"/>
          <w:rtl/>
        </w:rPr>
        <w:t>כפי שנאמר ב</w:t>
      </w:r>
      <w:hyperlink r:id="rId34" w:history="1">
        <w:r w:rsidR="00466A8A" w:rsidRPr="00466A8A">
          <w:rPr>
            <w:color w:val="0000FF"/>
            <w:u w:val="single"/>
            <w:rtl/>
          </w:rPr>
          <w:t>עפ"ג (חי') 23517-02-20</w:t>
        </w:r>
      </w:hyperlink>
      <w:r>
        <w:rPr>
          <w:rFonts w:hint="cs"/>
          <w:rtl/>
        </w:rPr>
        <w:t xml:space="preserve"> </w:t>
      </w:r>
      <w:r>
        <w:rPr>
          <w:rFonts w:hint="cs"/>
          <w:b/>
          <w:bCs/>
          <w:rtl/>
        </w:rPr>
        <w:t>מדינת ישראל נ' אלכילאני</w:t>
      </w:r>
      <w:r>
        <w:rPr>
          <w:rFonts w:hint="cs"/>
          <w:rtl/>
        </w:rPr>
        <w:t xml:space="preserve"> [פורסם בנבו] (28.07.20): "</w:t>
      </w:r>
      <w:r>
        <w:rPr>
          <w:rFonts w:hint="cs"/>
          <w:b/>
          <w:bCs/>
          <w:rtl/>
        </w:rPr>
        <w:t>מגמת</w:t>
      </w:r>
      <w:r>
        <w:rPr>
          <w:rFonts w:hint="cs"/>
          <w:b/>
          <w:bCs/>
        </w:rPr>
        <w:t xml:space="preserve"> </w:t>
      </w:r>
      <w:r>
        <w:rPr>
          <w:rFonts w:hint="cs"/>
          <w:b/>
          <w:bCs/>
          <w:rtl/>
        </w:rPr>
        <w:t>החמרה</w:t>
      </w:r>
      <w:r>
        <w:rPr>
          <w:rFonts w:hint="cs"/>
          <w:b/>
          <w:bCs/>
        </w:rPr>
        <w:t xml:space="preserve"> </w:t>
      </w:r>
      <w:r>
        <w:rPr>
          <w:rFonts w:hint="cs"/>
          <w:b/>
          <w:bCs/>
          <w:rtl/>
        </w:rPr>
        <w:t>זו</w:t>
      </w:r>
      <w:r>
        <w:rPr>
          <w:rFonts w:hint="cs"/>
          <w:b/>
          <w:bCs/>
        </w:rPr>
        <w:t xml:space="preserve"> </w:t>
      </w:r>
      <w:r>
        <w:rPr>
          <w:rFonts w:hint="cs"/>
          <w:b/>
          <w:bCs/>
          <w:rtl/>
        </w:rPr>
        <w:t>ניכרת</w:t>
      </w:r>
      <w:r>
        <w:rPr>
          <w:rFonts w:hint="cs"/>
          <w:b/>
          <w:bCs/>
        </w:rPr>
        <w:t xml:space="preserve"> </w:t>
      </w:r>
      <w:r>
        <w:rPr>
          <w:rFonts w:hint="cs"/>
          <w:b/>
          <w:bCs/>
          <w:rtl/>
        </w:rPr>
        <w:t>במיוחד</w:t>
      </w:r>
      <w:r>
        <w:rPr>
          <w:rFonts w:hint="cs"/>
          <w:b/>
          <w:bCs/>
        </w:rPr>
        <w:t xml:space="preserve"> </w:t>
      </w:r>
      <w:r>
        <w:rPr>
          <w:rFonts w:hint="cs"/>
          <w:b/>
          <w:bCs/>
          <w:rtl/>
        </w:rPr>
        <w:t>בפסיקה</w:t>
      </w:r>
      <w:r>
        <w:rPr>
          <w:rFonts w:hint="cs"/>
          <w:b/>
          <w:bCs/>
        </w:rPr>
        <w:t xml:space="preserve"> </w:t>
      </w:r>
      <w:r>
        <w:rPr>
          <w:rFonts w:hint="cs"/>
          <w:b/>
          <w:bCs/>
          <w:rtl/>
        </w:rPr>
        <w:t>מן</w:t>
      </w:r>
      <w:r>
        <w:rPr>
          <w:rFonts w:hint="cs"/>
          <w:b/>
          <w:bCs/>
        </w:rPr>
        <w:t xml:space="preserve"> </w:t>
      </w:r>
      <w:r>
        <w:rPr>
          <w:rFonts w:hint="cs"/>
          <w:b/>
          <w:bCs/>
          <w:rtl/>
        </w:rPr>
        <w:t>התקופה</w:t>
      </w:r>
      <w:r>
        <w:rPr>
          <w:rFonts w:hint="cs"/>
          <w:b/>
          <w:bCs/>
        </w:rPr>
        <w:t xml:space="preserve"> </w:t>
      </w:r>
      <w:r>
        <w:rPr>
          <w:rFonts w:hint="cs"/>
          <w:b/>
          <w:bCs/>
          <w:u w:val="single"/>
          <w:rtl/>
        </w:rPr>
        <w:t>האחרונה</w:t>
      </w:r>
      <w:r>
        <w:rPr>
          <w:rFonts w:hint="cs"/>
          <w:b/>
          <w:bCs/>
          <w:rtl/>
        </w:rPr>
        <w:t>, החמרה</w:t>
      </w:r>
      <w:r>
        <w:rPr>
          <w:rFonts w:hint="cs"/>
          <w:b/>
          <w:bCs/>
        </w:rPr>
        <w:t xml:space="preserve"> </w:t>
      </w:r>
      <w:r>
        <w:rPr>
          <w:rFonts w:hint="cs"/>
          <w:b/>
          <w:bCs/>
          <w:rtl/>
        </w:rPr>
        <w:t>אשר</w:t>
      </w:r>
      <w:r>
        <w:rPr>
          <w:rFonts w:hint="cs"/>
          <w:b/>
          <w:bCs/>
        </w:rPr>
        <w:t xml:space="preserve"> </w:t>
      </w:r>
      <w:r>
        <w:rPr>
          <w:rFonts w:hint="cs"/>
          <w:b/>
          <w:bCs/>
          <w:rtl/>
        </w:rPr>
        <w:t>באה לידי</w:t>
      </w:r>
      <w:r>
        <w:rPr>
          <w:rFonts w:hint="cs"/>
          <w:b/>
          <w:bCs/>
        </w:rPr>
        <w:t xml:space="preserve"> </w:t>
      </w:r>
      <w:r>
        <w:rPr>
          <w:rFonts w:hint="cs"/>
          <w:b/>
          <w:bCs/>
          <w:rtl/>
        </w:rPr>
        <w:t>ביטוי, בין</w:t>
      </w:r>
      <w:r>
        <w:rPr>
          <w:rFonts w:hint="cs"/>
          <w:b/>
          <w:bCs/>
        </w:rPr>
        <w:t xml:space="preserve"> </w:t>
      </w:r>
      <w:r>
        <w:rPr>
          <w:rFonts w:hint="cs"/>
          <w:b/>
          <w:bCs/>
          <w:rtl/>
        </w:rPr>
        <w:t>היתר, בכך</w:t>
      </w:r>
      <w:r>
        <w:rPr>
          <w:rFonts w:hint="cs"/>
          <w:b/>
          <w:bCs/>
        </w:rPr>
        <w:t xml:space="preserve"> </w:t>
      </w:r>
      <w:r>
        <w:rPr>
          <w:rFonts w:hint="cs"/>
          <w:b/>
          <w:bCs/>
          <w:rtl/>
        </w:rPr>
        <w:t>שהסף</w:t>
      </w:r>
      <w:r>
        <w:rPr>
          <w:rFonts w:hint="cs"/>
          <w:b/>
          <w:bCs/>
        </w:rPr>
        <w:t xml:space="preserve"> </w:t>
      </w:r>
      <w:r>
        <w:rPr>
          <w:rFonts w:hint="cs"/>
          <w:b/>
          <w:bCs/>
          <w:rtl/>
        </w:rPr>
        <w:t>התחתון</w:t>
      </w:r>
      <w:r>
        <w:rPr>
          <w:rFonts w:hint="cs"/>
          <w:b/>
          <w:bCs/>
        </w:rPr>
        <w:t xml:space="preserve"> </w:t>
      </w:r>
      <w:r>
        <w:rPr>
          <w:rFonts w:hint="cs"/>
          <w:b/>
          <w:bCs/>
          <w:rtl/>
        </w:rPr>
        <w:t>של</w:t>
      </w:r>
      <w:r>
        <w:rPr>
          <w:rFonts w:hint="cs"/>
          <w:b/>
          <w:bCs/>
        </w:rPr>
        <w:t xml:space="preserve"> </w:t>
      </w:r>
      <w:r>
        <w:rPr>
          <w:rFonts w:hint="cs"/>
          <w:b/>
          <w:bCs/>
          <w:rtl/>
        </w:rPr>
        <w:t>מתחם</w:t>
      </w:r>
      <w:r>
        <w:rPr>
          <w:rFonts w:hint="cs"/>
          <w:b/>
          <w:bCs/>
        </w:rPr>
        <w:t xml:space="preserve"> </w:t>
      </w:r>
      <w:r>
        <w:rPr>
          <w:rFonts w:hint="cs"/>
          <w:b/>
          <w:bCs/>
          <w:rtl/>
        </w:rPr>
        <w:t>הענישה</w:t>
      </w:r>
      <w:r>
        <w:rPr>
          <w:rFonts w:hint="cs"/>
          <w:b/>
          <w:bCs/>
        </w:rPr>
        <w:t xml:space="preserve"> </w:t>
      </w:r>
      <w:r>
        <w:rPr>
          <w:rFonts w:hint="cs"/>
          <w:b/>
          <w:bCs/>
          <w:rtl/>
        </w:rPr>
        <w:t>בעבירה</w:t>
      </w:r>
      <w:r>
        <w:rPr>
          <w:rFonts w:hint="cs"/>
          <w:b/>
          <w:bCs/>
        </w:rPr>
        <w:t xml:space="preserve"> </w:t>
      </w:r>
      <w:r>
        <w:rPr>
          <w:rFonts w:hint="cs"/>
          <w:b/>
          <w:bCs/>
          <w:rtl/>
        </w:rPr>
        <w:t>של</w:t>
      </w:r>
      <w:r>
        <w:rPr>
          <w:rFonts w:hint="cs"/>
          <w:b/>
          <w:bCs/>
        </w:rPr>
        <w:t xml:space="preserve"> </w:t>
      </w:r>
      <w:r>
        <w:rPr>
          <w:rFonts w:hint="cs"/>
          <w:b/>
          <w:bCs/>
          <w:rtl/>
        </w:rPr>
        <w:t>החזקת נשק</w:t>
      </w:r>
      <w:r>
        <w:rPr>
          <w:rFonts w:hint="cs"/>
          <w:b/>
          <w:bCs/>
        </w:rPr>
        <w:t xml:space="preserve"> </w:t>
      </w:r>
      <w:r>
        <w:rPr>
          <w:rFonts w:hint="cs"/>
          <w:b/>
          <w:bCs/>
          <w:rtl/>
        </w:rPr>
        <w:t>שלא</w:t>
      </w:r>
      <w:r>
        <w:rPr>
          <w:rFonts w:hint="cs"/>
          <w:b/>
          <w:bCs/>
        </w:rPr>
        <w:t xml:space="preserve"> </w:t>
      </w:r>
      <w:r>
        <w:rPr>
          <w:rFonts w:hint="cs"/>
          <w:b/>
          <w:bCs/>
          <w:rtl/>
        </w:rPr>
        <w:t>כדין,</w:t>
      </w:r>
      <w:r>
        <w:rPr>
          <w:rFonts w:hint="cs"/>
          <w:b/>
          <w:bCs/>
        </w:rPr>
        <w:t xml:space="preserve"> </w:t>
      </w:r>
      <w:r>
        <w:rPr>
          <w:rFonts w:hint="cs"/>
          <w:b/>
          <w:bCs/>
          <w:rtl/>
        </w:rPr>
        <w:t>גם</w:t>
      </w:r>
      <w:r>
        <w:rPr>
          <w:rFonts w:hint="cs"/>
          <w:b/>
          <w:bCs/>
        </w:rPr>
        <w:t xml:space="preserve"> </w:t>
      </w:r>
      <w:r>
        <w:rPr>
          <w:rFonts w:hint="cs"/>
          <w:b/>
          <w:bCs/>
          <w:rtl/>
        </w:rPr>
        <w:t>כאשר</w:t>
      </w:r>
      <w:r>
        <w:rPr>
          <w:rFonts w:hint="cs"/>
          <w:b/>
          <w:bCs/>
        </w:rPr>
        <w:t xml:space="preserve"> </w:t>
      </w:r>
      <w:r>
        <w:rPr>
          <w:rFonts w:hint="cs"/>
          <w:b/>
          <w:bCs/>
          <w:rtl/>
        </w:rPr>
        <w:t>הנאשם</w:t>
      </w:r>
      <w:r>
        <w:rPr>
          <w:rFonts w:hint="cs"/>
          <w:b/>
          <w:bCs/>
        </w:rPr>
        <w:t xml:space="preserve"> </w:t>
      </w:r>
      <w:r>
        <w:rPr>
          <w:rFonts w:hint="cs"/>
          <w:b/>
          <w:bCs/>
          <w:rtl/>
        </w:rPr>
        <w:t>נעדר</w:t>
      </w:r>
      <w:r>
        <w:rPr>
          <w:rFonts w:hint="cs"/>
          <w:b/>
          <w:bCs/>
        </w:rPr>
        <w:t xml:space="preserve"> </w:t>
      </w:r>
      <w:r>
        <w:rPr>
          <w:rFonts w:hint="cs"/>
          <w:b/>
          <w:bCs/>
          <w:rtl/>
        </w:rPr>
        <w:t>עבר</w:t>
      </w:r>
      <w:r>
        <w:rPr>
          <w:rFonts w:hint="cs"/>
          <w:b/>
          <w:bCs/>
        </w:rPr>
        <w:t xml:space="preserve"> </w:t>
      </w:r>
      <w:r>
        <w:rPr>
          <w:rFonts w:hint="cs"/>
          <w:b/>
          <w:bCs/>
          <w:rtl/>
        </w:rPr>
        <w:t>פלילי, עולה</w:t>
      </w:r>
      <w:r>
        <w:rPr>
          <w:rFonts w:hint="cs"/>
          <w:b/>
          <w:bCs/>
        </w:rPr>
        <w:t xml:space="preserve"> </w:t>
      </w:r>
      <w:r>
        <w:rPr>
          <w:rFonts w:hint="cs"/>
          <w:b/>
          <w:bCs/>
          <w:rtl/>
        </w:rPr>
        <w:t>על</w:t>
      </w:r>
      <w:r>
        <w:rPr>
          <w:rFonts w:hint="cs"/>
          <w:b/>
          <w:bCs/>
        </w:rPr>
        <w:t xml:space="preserve"> </w:t>
      </w:r>
      <w:r>
        <w:rPr>
          <w:rFonts w:hint="cs"/>
          <w:b/>
          <w:bCs/>
          <w:rtl/>
        </w:rPr>
        <w:t>תשעה</w:t>
      </w:r>
      <w:r>
        <w:rPr>
          <w:rFonts w:hint="cs"/>
          <w:b/>
          <w:bCs/>
        </w:rPr>
        <w:t xml:space="preserve"> </w:t>
      </w:r>
      <w:r>
        <w:rPr>
          <w:rFonts w:hint="cs"/>
          <w:b/>
          <w:bCs/>
          <w:rtl/>
        </w:rPr>
        <w:t>חודשי</w:t>
      </w:r>
      <w:r>
        <w:rPr>
          <w:rFonts w:hint="cs"/>
          <w:b/>
          <w:bCs/>
        </w:rPr>
        <w:t xml:space="preserve"> </w:t>
      </w:r>
      <w:r>
        <w:rPr>
          <w:rFonts w:hint="cs"/>
          <w:b/>
          <w:bCs/>
          <w:rtl/>
        </w:rPr>
        <w:t>מאסר, דהיינו, פרק</w:t>
      </w:r>
      <w:r>
        <w:rPr>
          <w:rFonts w:hint="cs"/>
          <w:b/>
          <w:bCs/>
        </w:rPr>
        <w:t xml:space="preserve"> </w:t>
      </w:r>
      <w:r>
        <w:rPr>
          <w:rFonts w:hint="cs"/>
          <w:b/>
          <w:bCs/>
          <w:rtl/>
        </w:rPr>
        <w:t>זמן</w:t>
      </w:r>
      <w:r>
        <w:rPr>
          <w:rFonts w:hint="cs"/>
          <w:b/>
          <w:bCs/>
        </w:rPr>
        <w:t xml:space="preserve"> </w:t>
      </w:r>
      <w:r>
        <w:rPr>
          <w:rFonts w:hint="cs"/>
          <w:b/>
          <w:bCs/>
          <w:rtl/>
        </w:rPr>
        <w:t>אשר</w:t>
      </w:r>
      <w:r>
        <w:rPr>
          <w:rFonts w:hint="cs"/>
          <w:b/>
          <w:bCs/>
        </w:rPr>
        <w:t xml:space="preserve"> </w:t>
      </w:r>
      <w:r>
        <w:rPr>
          <w:rFonts w:hint="cs"/>
          <w:b/>
          <w:bCs/>
          <w:rtl/>
        </w:rPr>
        <w:t>אינו</w:t>
      </w:r>
      <w:r>
        <w:rPr>
          <w:rFonts w:hint="cs"/>
          <w:b/>
          <w:bCs/>
        </w:rPr>
        <w:t xml:space="preserve"> </w:t>
      </w:r>
      <w:r>
        <w:rPr>
          <w:rFonts w:hint="cs"/>
          <w:b/>
          <w:bCs/>
          <w:rtl/>
        </w:rPr>
        <w:t>מאפשר</w:t>
      </w:r>
      <w:r>
        <w:rPr>
          <w:rFonts w:hint="cs"/>
          <w:b/>
          <w:bCs/>
        </w:rPr>
        <w:t xml:space="preserve"> </w:t>
      </w:r>
      <w:r>
        <w:rPr>
          <w:rFonts w:hint="cs"/>
          <w:b/>
          <w:bCs/>
          <w:rtl/>
        </w:rPr>
        <w:t>ריצוי</w:t>
      </w:r>
      <w:r>
        <w:rPr>
          <w:rFonts w:hint="cs"/>
          <w:b/>
          <w:bCs/>
        </w:rPr>
        <w:t xml:space="preserve"> </w:t>
      </w:r>
      <w:r>
        <w:rPr>
          <w:rFonts w:hint="cs"/>
          <w:b/>
          <w:bCs/>
          <w:rtl/>
        </w:rPr>
        <w:t>עונש</w:t>
      </w:r>
      <w:r>
        <w:rPr>
          <w:rFonts w:hint="cs"/>
          <w:b/>
          <w:bCs/>
        </w:rPr>
        <w:t xml:space="preserve"> </w:t>
      </w:r>
      <w:r>
        <w:rPr>
          <w:rFonts w:hint="cs"/>
          <w:b/>
          <w:bCs/>
          <w:rtl/>
        </w:rPr>
        <w:t>המאסר</w:t>
      </w:r>
      <w:r>
        <w:rPr>
          <w:rFonts w:hint="cs"/>
          <w:b/>
          <w:bCs/>
        </w:rPr>
        <w:t xml:space="preserve"> </w:t>
      </w:r>
      <w:r>
        <w:rPr>
          <w:rFonts w:hint="cs"/>
          <w:b/>
          <w:bCs/>
          <w:rtl/>
        </w:rPr>
        <w:t>על</w:t>
      </w:r>
      <w:r>
        <w:rPr>
          <w:rFonts w:hint="cs"/>
          <w:b/>
          <w:bCs/>
        </w:rPr>
        <w:t xml:space="preserve"> </w:t>
      </w:r>
      <w:r>
        <w:rPr>
          <w:rFonts w:hint="cs"/>
          <w:b/>
          <w:bCs/>
          <w:rtl/>
        </w:rPr>
        <w:t>דרך</w:t>
      </w:r>
      <w:r>
        <w:rPr>
          <w:rFonts w:hint="cs"/>
          <w:b/>
          <w:bCs/>
        </w:rPr>
        <w:t xml:space="preserve"> </w:t>
      </w:r>
      <w:r>
        <w:rPr>
          <w:rFonts w:hint="cs"/>
          <w:b/>
          <w:bCs/>
          <w:rtl/>
        </w:rPr>
        <w:t>של</w:t>
      </w:r>
      <w:r>
        <w:rPr>
          <w:rFonts w:hint="cs"/>
          <w:b/>
          <w:bCs/>
        </w:rPr>
        <w:t xml:space="preserve"> </w:t>
      </w:r>
      <w:r>
        <w:rPr>
          <w:rFonts w:hint="cs"/>
          <w:b/>
          <w:bCs/>
          <w:rtl/>
        </w:rPr>
        <w:t>עבודות</w:t>
      </w:r>
      <w:r>
        <w:rPr>
          <w:rFonts w:hint="cs"/>
          <w:b/>
          <w:bCs/>
        </w:rPr>
        <w:t xml:space="preserve"> </w:t>
      </w:r>
      <w:r>
        <w:rPr>
          <w:rFonts w:hint="cs"/>
          <w:b/>
          <w:bCs/>
          <w:rtl/>
        </w:rPr>
        <w:t>שירות</w:t>
      </w:r>
      <w:r>
        <w:rPr>
          <w:rFonts w:hint="cs"/>
          <w:rtl/>
        </w:rPr>
        <w:t>." וכן בהמשך: "</w:t>
      </w:r>
      <w:r>
        <w:rPr>
          <w:rFonts w:hint="cs"/>
          <w:b/>
          <w:bCs/>
          <w:rtl/>
        </w:rPr>
        <w:t>אם</w:t>
      </w:r>
      <w:r>
        <w:rPr>
          <w:rFonts w:hint="cs"/>
          <w:b/>
          <w:bCs/>
        </w:rPr>
        <w:t xml:space="preserve"> </w:t>
      </w:r>
      <w:r>
        <w:rPr>
          <w:rFonts w:hint="cs"/>
          <w:b/>
          <w:bCs/>
          <w:rtl/>
        </w:rPr>
        <w:t>נסכם</w:t>
      </w:r>
      <w:r>
        <w:rPr>
          <w:rFonts w:hint="cs"/>
          <w:b/>
          <w:bCs/>
        </w:rPr>
        <w:t xml:space="preserve"> </w:t>
      </w:r>
      <w:r>
        <w:rPr>
          <w:rFonts w:hint="cs"/>
          <w:b/>
          <w:bCs/>
          <w:rtl/>
        </w:rPr>
        <w:t>את</w:t>
      </w:r>
      <w:r>
        <w:rPr>
          <w:rFonts w:hint="cs"/>
          <w:b/>
          <w:bCs/>
        </w:rPr>
        <w:t xml:space="preserve"> </w:t>
      </w:r>
      <w:r>
        <w:rPr>
          <w:rFonts w:hint="cs"/>
          <w:b/>
          <w:bCs/>
          <w:rtl/>
        </w:rPr>
        <w:t>הדברים: גזר</w:t>
      </w:r>
      <w:r>
        <w:rPr>
          <w:b/>
          <w:bCs/>
        </w:rPr>
        <w:t>-</w:t>
      </w:r>
      <w:r>
        <w:rPr>
          <w:rFonts w:hint="cs"/>
          <w:b/>
          <w:bCs/>
          <w:rtl/>
        </w:rPr>
        <w:t>דינו</w:t>
      </w:r>
      <w:r>
        <w:rPr>
          <w:rFonts w:hint="cs"/>
          <w:b/>
          <w:bCs/>
        </w:rPr>
        <w:t xml:space="preserve"> </w:t>
      </w:r>
      <w:r>
        <w:rPr>
          <w:rFonts w:hint="cs"/>
          <w:b/>
          <w:bCs/>
          <w:rtl/>
        </w:rPr>
        <w:t>של</w:t>
      </w:r>
      <w:r>
        <w:rPr>
          <w:rFonts w:hint="cs"/>
          <w:b/>
          <w:bCs/>
        </w:rPr>
        <w:t xml:space="preserve"> </w:t>
      </w:r>
      <w:r>
        <w:rPr>
          <w:rFonts w:hint="cs"/>
          <w:b/>
          <w:bCs/>
          <w:rtl/>
        </w:rPr>
        <w:t>בית</w:t>
      </w:r>
      <w:r>
        <w:rPr>
          <w:b/>
          <w:bCs/>
        </w:rPr>
        <w:t>-</w:t>
      </w:r>
      <w:r>
        <w:rPr>
          <w:rFonts w:hint="cs"/>
          <w:b/>
          <w:bCs/>
          <w:rtl/>
        </w:rPr>
        <w:t>משפט</w:t>
      </w:r>
      <w:r>
        <w:rPr>
          <w:rFonts w:hint="cs"/>
          <w:b/>
          <w:bCs/>
        </w:rPr>
        <w:t xml:space="preserve"> </w:t>
      </w:r>
      <w:r>
        <w:rPr>
          <w:rFonts w:hint="cs"/>
          <w:b/>
          <w:bCs/>
          <w:rtl/>
        </w:rPr>
        <w:t>השלום, שהסתפק</w:t>
      </w:r>
      <w:r>
        <w:rPr>
          <w:rFonts w:hint="cs"/>
          <w:b/>
          <w:bCs/>
        </w:rPr>
        <w:t xml:space="preserve"> </w:t>
      </w:r>
      <w:r>
        <w:rPr>
          <w:rFonts w:hint="cs"/>
          <w:b/>
          <w:bCs/>
          <w:rtl/>
        </w:rPr>
        <w:t>בהטלת</w:t>
      </w:r>
      <w:r>
        <w:rPr>
          <w:rFonts w:hint="cs"/>
          <w:b/>
          <w:bCs/>
        </w:rPr>
        <w:t xml:space="preserve"> </w:t>
      </w:r>
      <w:r>
        <w:rPr>
          <w:rFonts w:hint="cs"/>
          <w:b/>
          <w:bCs/>
          <w:rtl/>
        </w:rPr>
        <w:t>ענישה</w:t>
      </w:r>
      <w:r>
        <w:rPr>
          <w:rFonts w:hint="cs"/>
          <w:b/>
          <w:bCs/>
        </w:rPr>
        <w:t xml:space="preserve"> </w:t>
      </w:r>
      <w:r>
        <w:rPr>
          <w:rFonts w:hint="cs"/>
          <w:b/>
          <w:bCs/>
          <w:rtl/>
        </w:rPr>
        <w:t>של</w:t>
      </w:r>
      <w:r>
        <w:rPr>
          <w:rFonts w:hint="cs"/>
          <w:b/>
          <w:bCs/>
        </w:rPr>
        <w:t xml:space="preserve"> </w:t>
      </w:r>
      <w:r>
        <w:rPr>
          <w:rFonts w:hint="cs"/>
          <w:b/>
          <w:bCs/>
          <w:rtl/>
        </w:rPr>
        <w:t>שמונה</w:t>
      </w:r>
      <w:r>
        <w:rPr>
          <w:rFonts w:hint="cs"/>
          <w:b/>
          <w:bCs/>
        </w:rPr>
        <w:t xml:space="preserve"> </w:t>
      </w:r>
      <w:r>
        <w:rPr>
          <w:rFonts w:hint="cs"/>
          <w:b/>
          <w:bCs/>
          <w:rtl/>
        </w:rPr>
        <w:t>חודשי</w:t>
      </w:r>
      <w:r>
        <w:rPr>
          <w:rFonts w:hint="cs"/>
          <w:b/>
          <w:bCs/>
        </w:rPr>
        <w:t xml:space="preserve"> </w:t>
      </w:r>
      <w:r>
        <w:rPr>
          <w:rFonts w:hint="cs"/>
          <w:b/>
          <w:bCs/>
          <w:rtl/>
        </w:rPr>
        <w:t>מאסר</w:t>
      </w:r>
      <w:r>
        <w:rPr>
          <w:rFonts w:hint="cs"/>
          <w:b/>
          <w:bCs/>
        </w:rPr>
        <w:t xml:space="preserve"> </w:t>
      </w:r>
      <w:r>
        <w:rPr>
          <w:rFonts w:hint="cs"/>
          <w:b/>
          <w:bCs/>
          <w:rtl/>
        </w:rPr>
        <w:t>לריצוי</w:t>
      </w:r>
      <w:r>
        <w:rPr>
          <w:rFonts w:hint="cs"/>
          <w:b/>
          <w:bCs/>
        </w:rPr>
        <w:t xml:space="preserve"> </w:t>
      </w:r>
      <w:r>
        <w:rPr>
          <w:rFonts w:hint="cs"/>
          <w:b/>
          <w:bCs/>
          <w:rtl/>
        </w:rPr>
        <w:t>בעבודות</w:t>
      </w:r>
      <w:r>
        <w:rPr>
          <w:rFonts w:hint="cs"/>
          <w:b/>
          <w:bCs/>
        </w:rPr>
        <w:t xml:space="preserve"> </w:t>
      </w:r>
      <w:r>
        <w:rPr>
          <w:rFonts w:hint="cs"/>
          <w:b/>
          <w:bCs/>
          <w:rtl/>
        </w:rPr>
        <w:t>שירות, אינו</w:t>
      </w:r>
      <w:r>
        <w:rPr>
          <w:rFonts w:hint="cs"/>
          <w:b/>
          <w:bCs/>
        </w:rPr>
        <w:t xml:space="preserve"> </w:t>
      </w:r>
      <w:r>
        <w:rPr>
          <w:rFonts w:hint="cs"/>
          <w:b/>
          <w:bCs/>
          <w:rtl/>
        </w:rPr>
        <w:t>יכול</w:t>
      </w:r>
      <w:r>
        <w:rPr>
          <w:rFonts w:hint="cs"/>
          <w:b/>
          <w:bCs/>
        </w:rPr>
        <w:t xml:space="preserve"> </w:t>
      </w:r>
      <w:r>
        <w:rPr>
          <w:rFonts w:hint="cs"/>
          <w:b/>
          <w:bCs/>
          <w:rtl/>
        </w:rPr>
        <w:t>לעמוד, וזאת</w:t>
      </w:r>
      <w:r>
        <w:rPr>
          <w:rFonts w:hint="cs"/>
          <w:b/>
          <w:bCs/>
        </w:rPr>
        <w:t xml:space="preserve"> </w:t>
      </w:r>
      <w:r>
        <w:rPr>
          <w:rFonts w:hint="cs"/>
          <w:b/>
          <w:bCs/>
          <w:rtl/>
        </w:rPr>
        <w:t>בשים</w:t>
      </w:r>
      <w:r>
        <w:rPr>
          <w:rFonts w:hint="cs"/>
          <w:b/>
          <w:bCs/>
        </w:rPr>
        <w:t xml:space="preserve"> </w:t>
      </w:r>
      <w:r>
        <w:rPr>
          <w:rFonts w:hint="cs"/>
          <w:b/>
          <w:bCs/>
          <w:rtl/>
        </w:rPr>
        <w:t>לב</w:t>
      </w:r>
      <w:r>
        <w:rPr>
          <w:rFonts w:hint="cs"/>
          <w:b/>
          <w:bCs/>
        </w:rPr>
        <w:t xml:space="preserve"> </w:t>
      </w:r>
      <w:r>
        <w:rPr>
          <w:rFonts w:hint="cs"/>
          <w:b/>
          <w:bCs/>
          <w:rtl/>
        </w:rPr>
        <w:t>לחומרת</w:t>
      </w:r>
      <w:r>
        <w:rPr>
          <w:rFonts w:hint="cs"/>
          <w:b/>
          <w:bCs/>
        </w:rPr>
        <w:t xml:space="preserve"> </w:t>
      </w:r>
      <w:r>
        <w:rPr>
          <w:rFonts w:hint="cs"/>
          <w:b/>
          <w:bCs/>
          <w:rtl/>
        </w:rPr>
        <w:t>העבירה</w:t>
      </w:r>
      <w:r>
        <w:rPr>
          <w:rFonts w:hint="cs"/>
          <w:b/>
          <w:bCs/>
        </w:rPr>
        <w:t xml:space="preserve"> </w:t>
      </w:r>
      <w:r>
        <w:rPr>
          <w:rFonts w:hint="cs"/>
          <w:b/>
          <w:bCs/>
          <w:rtl/>
        </w:rPr>
        <w:t>של</w:t>
      </w:r>
      <w:r>
        <w:rPr>
          <w:rFonts w:hint="cs"/>
          <w:b/>
          <w:bCs/>
        </w:rPr>
        <w:t xml:space="preserve"> </w:t>
      </w:r>
      <w:r>
        <w:rPr>
          <w:rFonts w:hint="cs"/>
          <w:b/>
          <w:bCs/>
          <w:rtl/>
        </w:rPr>
        <w:t>החזקת</w:t>
      </w:r>
      <w:r>
        <w:rPr>
          <w:rFonts w:hint="cs"/>
          <w:b/>
          <w:bCs/>
        </w:rPr>
        <w:t xml:space="preserve"> </w:t>
      </w:r>
      <w:r>
        <w:rPr>
          <w:rFonts w:hint="cs"/>
          <w:b/>
          <w:bCs/>
          <w:rtl/>
        </w:rPr>
        <w:t>נשק</w:t>
      </w:r>
      <w:r>
        <w:rPr>
          <w:rFonts w:hint="cs"/>
          <w:b/>
          <w:bCs/>
        </w:rPr>
        <w:t xml:space="preserve"> </w:t>
      </w:r>
      <w:r>
        <w:rPr>
          <w:rFonts w:hint="cs"/>
          <w:b/>
          <w:bCs/>
          <w:rtl/>
        </w:rPr>
        <w:t>שלא</w:t>
      </w:r>
      <w:r>
        <w:rPr>
          <w:rFonts w:hint="cs"/>
          <w:b/>
          <w:bCs/>
        </w:rPr>
        <w:t xml:space="preserve"> </w:t>
      </w:r>
      <w:r>
        <w:rPr>
          <w:rFonts w:hint="cs"/>
          <w:b/>
          <w:bCs/>
          <w:rtl/>
        </w:rPr>
        <w:t>כדין, ופוטנציאל</w:t>
      </w:r>
      <w:r>
        <w:rPr>
          <w:rFonts w:hint="cs"/>
          <w:b/>
          <w:bCs/>
        </w:rPr>
        <w:t xml:space="preserve"> </w:t>
      </w:r>
      <w:r>
        <w:rPr>
          <w:rFonts w:hint="cs"/>
          <w:b/>
          <w:bCs/>
          <w:rtl/>
        </w:rPr>
        <w:t>הסיכון</w:t>
      </w:r>
      <w:r>
        <w:rPr>
          <w:rFonts w:hint="cs"/>
          <w:b/>
          <w:bCs/>
        </w:rPr>
        <w:t xml:space="preserve"> </w:t>
      </w:r>
      <w:r>
        <w:rPr>
          <w:rFonts w:hint="cs"/>
          <w:b/>
          <w:bCs/>
          <w:rtl/>
        </w:rPr>
        <w:t>הטמון</w:t>
      </w:r>
      <w:r>
        <w:rPr>
          <w:rFonts w:hint="cs"/>
          <w:b/>
          <w:bCs/>
        </w:rPr>
        <w:t xml:space="preserve"> </w:t>
      </w:r>
      <w:r>
        <w:rPr>
          <w:rFonts w:hint="cs"/>
          <w:b/>
          <w:bCs/>
          <w:rtl/>
        </w:rPr>
        <w:t>בהחזקת</w:t>
      </w:r>
      <w:r>
        <w:rPr>
          <w:rFonts w:hint="cs"/>
          <w:b/>
          <w:bCs/>
        </w:rPr>
        <w:t xml:space="preserve"> </w:t>
      </w:r>
      <w:r>
        <w:rPr>
          <w:rFonts w:hint="cs"/>
          <w:b/>
          <w:bCs/>
          <w:rtl/>
        </w:rPr>
        <w:t>הנשק</w:t>
      </w:r>
      <w:r>
        <w:rPr>
          <w:rFonts w:hint="cs"/>
          <w:b/>
          <w:bCs/>
        </w:rPr>
        <w:t xml:space="preserve"> </w:t>
      </w:r>
      <w:r>
        <w:rPr>
          <w:rFonts w:hint="cs"/>
          <w:b/>
          <w:bCs/>
          <w:rtl/>
        </w:rPr>
        <w:t>ללא</w:t>
      </w:r>
      <w:r>
        <w:rPr>
          <w:rFonts w:hint="cs"/>
          <w:b/>
          <w:bCs/>
        </w:rPr>
        <w:t xml:space="preserve"> </w:t>
      </w:r>
      <w:r>
        <w:rPr>
          <w:rFonts w:hint="cs"/>
          <w:b/>
          <w:bCs/>
          <w:rtl/>
        </w:rPr>
        <w:t>היתר, עבירה</w:t>
      </w:r>
      <w:r>
        <w:rPr>
          <w:rFonts w:hint="cs"/>
          <w:b/>
          <w:bCs/>
        </w:rPr>
        <w:t xml:space="preserve"> </w:t>
      </w:r>
      <w:r>
        <w:rPr>
          <w:rFonts w:hint="cs"/>
          <w:b/>
          <w:bCs/>
          <w:rtl/>
        </w:rPr>
        <w:t>שהפכה</w:t>
      </w:r>
      <w:r>
        <w:rPr>
          <w:rFonts w:hint="cs"/>
          <w:b/>
          <w:bCs/>
        </w:rPr>
        <w:t xml:space="preserve"> </w:t>
      </w:r>
      <w:r>
        <w:rPr>
          <w:rFonts w:hint="cs"/>
          <w:b/>
          <w:bCs/>
          <w:rtl/>
        </w:rPr>
        <w:t>ל</w:t>
      </w:r>
      <w:r>
        <w:rPr>
          <w:b/>
          <w:bCs/>
        </w:rPr>
        <w:t>"</w:t>
      </w:r>
      <w:r>
        <w:rPr>
          <w:rFonts w:hint="cs"/>
          <w:b/>
          <w:bCs/>
          <w:rtl/>
        </w:rPr>
        <w:t>מכת</w:t>
      </w:r>
      <w:r>
        <w:rPr>
          <w:rFonts w:hint="cs"/>
          <w:b/>
          <w:bCs/>
        </w:rPr>
        <w:t xml:space="preserve"> </w:t>
      </w:r>
      <w:r>
        <w:rPr>
          <w:rFonts w:hint="cs"/>
          <w:b/>
          <w:bCs/>
          <w:rtl/>
        </w:rPr>
        <w:t>מדינה", והביאה</w:t>
      </w:r>
      <w:r>
        <w:rPr>
          <w:rFonts w:hint="cs"/>
          <w:b/>
          <w:bCs/>
        </w:rPr>
        <w:t xml:space="preserve"> </w:t>
      </w:r>
      <w:r>
        <w:rPr>
          <w:rFonts w:hint="cs"/>
          <w:b/>
          <w:bCs/>
          <w:rtl/>
        </w:rPr>
        <w:t>למגמת</w:t>
      </w:r>
      <w:r>
        <w:rPr>
          <w:rFonts w:hint="cs"/>
          <w:b/>
          <w:bCs/>
        </w:rPr>
        <w:t xml:space="preserve"> </w:t>
      </w:r>
      <w:r>
        <w:rPr>
          <w:rFonts w:hint="cs"/>
          <w:b/>
          <w:bCs/>
          <w:rtl/>
        </w:rPr>
        <w:t>החמרה</w:t>
      </w:r>
      <w:r>
        <w:rPr>
          <w:rFonts w:hint="cs"/>
          <w:b/>
          <w:bCs/>
        </w:rPr>
        <w:t xml:space="preserve"> </w:t>
      </w:r>
      <w:r>
        <w:rPr>
          <w:rFonts w:hint="cs"/>
          <w:b/>
          <w:bCs/>
          <w:rtl/>
        </w:rPr>
        <w:t>בפסיקה</w:t>
      </w:r>
      <w:r>
        <w:rPr>
          <w:rFonts w:hint="cs"/>
          <w:b/>
          <w:bCs/>
        </w:rPr>
        <w:t xml:space="preserve"> </w:t>
      </w:r>
      <w:r>
        <w:rPr>
          <w:rFonts w:hint="cs"/>
          <w:b/>
          <w:bCs/>
          <w:rtl/>
        </w:rPr>
        <w:t>כשבית</w:t>
      </w:r>
      <w:r>
        <w:rPr>
          <w:rFonts w:hint="cs"/>
          <w:b/>
          <w:bCs/>
        </w:rPr>
        <w:t xml:space="preserve"> </w:t>
      </w:r>
      <w:r>
        <w:rPr>
          <w:rFonts w:hint="cs"/>
          <w:b/>
          <w:bCs/>
          <w:rtl/>
        </w:rPr>
        <w:t>המשפט</w:t>
      </w:r>
      <w:r>
        <w:rPr>
          <w:rFonts w:hint="cs"/>
          <w:b/>
          <w:bCs/>
        </w:rPr>
        <w:t xml:space="preserve"> </w:t>
      </w:r>
      <w:r>
        <w:rPr>
          <w:rFonts w:hint="cs"/>
          <w:b/>
          <w:bCs/>
          <w:rtl/>
        </w:rPr>
        <w:t>נקרא</w:t>
      </w:r>
      <w:r>
        <w:rPr>
          <w:rFonts w:hint="cs"/>
          <w:b/>
          <w:bCs/>
        </w:rPr>
        <w:t xml:space="preserve"> </w:t>
      </w:r>
      <w:r>
        <w:rPr>
          <w:rFonts w:hint="cs"/>
          <w:b/>
          <w:bCs/>
          <w:rtl/>
        </w:rPr>
        <w:t>להירתם</w:t>
      </w:r>
      <w:r>
        <w:rPr>
          <w:rFonts w:cs="Times New Roman"/>
          <w:b/>
          <w:bCs/>
        </w:rPr>
        <w:t xml:space="preserve"> </w:t>
      </w:r>
      <w:r>
        <w:rPr>
          <w:rFonts w:hint="cs"/>
          <w:b/>
          <w:bCs/>
          <w:rtl/>
        </w:rPr>
        <w:t>למאבק</w:t>
      </w:r>
      <w:r>
        <w:rPr>
          <w:rFonts w:cs="Times New Roman"/>
          <w:b/>
          <w:bCs/>
        </w:rPr>
        <w:t xml:space="preserve"> </w:t>
      </w:r>
      <w:r>
        <w:rPr>
          <w:rFonts w:hint="cs"/>
          <w:b/>
          <w:bCs/>
          <w:rtl/>
        </w:rPr>
        <w:t>בעבירה</w:t>
      </w:r>
      <w:r>
        <w:rPr>
          <w:rFonts w:cs="Times New Roman"/>
          <w:b/>
          <w:bCs/>
        </w:rPr>
        <w:t xml:space="preserve"> </w:t>
      </w:r>
      <w:r>
        <w:rPr>
          <w:rFonts w:hint="cs"/>
          <w:b/>
          <w:bCs/>
          <w:rtl/>
        </w:rPr>
        <w:t>זו."</w:t>
      </w:r>
    </w:p>
    <w:p w14:paraId="3F19CD67" w14:textId="77777777" w:rsidR="00CC23D1" w:rsidRDefault="00CC23D1" w:rsidP="00CC23D1">
      <w:pPr>
        <w:overflowPunct w:val="0"/>
        <w:autoSpaceDE w:val="0"/>
        <w:autoSpaceDN w:val="0"/>
        <w:ind w:left="1642" w:right="1282"/>
        <w:jc w:val="both"/>
        <w:rPr>
          <w:rFonts w:ascii="Arial TUR" w:hAnsi="Arial TUR" w:cs="Arial TUR"/>
          <w:spacing w:val="10"/>
          <w:rtl/>
        </w:rPr>
      </w:pPr>
    </w:p>
    <w:p w14:paraId="5BE9C75A" w14:textId="77777777" w:rsidR="00CC23D1" w:rsidRDefault="00CC23D1" w:rsidP="00CC23D1">
      <w:pPr>
        <w:overflowPunct w:val="0"/>
        <w:autoSpaceDE w:val="0"/>
        <w:autoSpaceDN w:val="0"/>
        <w:spacing w:line="360" w:lineRule="auto"/>
        <w:jc w:val="both"/>
        <w:rPr>
          <w:rFonts w:ascii="David" w:hAnsi="David"/>
          <w:rtl/>
        </w:rPr>
      </w:pPr>
      <w:r>
        <w:rPr>
          <w:rFonts w:hint="cs"/>
          <w:rtl/>
        </w:rPr>
        <w:t>סקירת מדיניות הענישה הנהוגה בעבירת החזקת נשק מלמדת על טווח ענישה רחב התלוי לרוב בנסיבותיו של כל מקרה ומקרה ואולם, יש לזכור כי חלק מהפסיקה המאוזכרת כאן וכן זו שהובאה על ידי ב"כ הנאשם, ניתנה טרם כניסת תיקון החוק לתוקף. דהיינו, ניתן ללמוד על הלך הרוח ששרר אולם לא ניתן להתעלם מהוראת החוק הקובעת עונש מינימום בגין עבירות הנשק.</w:t>
      </w:r>
    </w:p>
    <w:p w14:paraId="3291A6DB" w14:textId="77777777" w:rsidR="00CC23D1" w:rsidRDefault="00CC23D1" w:rsidP="00CC23D1">
      <w:pPr>
        <w:overflowPunct w:val="0"/>
        <w:autoSpaceDE w:val="0"/>
        <w:autoSpaceDN w:val="0"/>
        <w:spacing w:line="360" w:lineRule="auto"/>
        <w:jc w:val="both"/>
        <w:rPr>
          <w:rtl/>
        </w:rPr>
      </w:pPr>
      <w:r>
        <w:rPr>
          <w:rFonts w:hint="cs"/>
          <w:rtl/>
        </w:rPr>
        <w:t xml:space="preserve"> </w:t>
      </w:r>
    </w:p>
    <w:p w14:paraId="18BAED43" w14:textId="77777777" w:rsidR="00CC23D1" w:rsidRDefault="00CC23D1" w:rsidP="00CC23D1">
      <w:pPr>
        <w:overflowPunct w:val="0"/>
        <w:autoSpaceDE w:val="0"/>
        <w:autoSpaceDN w:val="0"/>
        <w:spacing w:line="360" w:lineRule="auto"/>
        <w:jc w:val="both"/>
        <w:rPr>
          <w:rtl/>
        </w:rPr>
      </w:pPr>
      <w:r>
        <w:rPr>
          <w:rFonts w:hint="cs"/>
          <w:rtl/>
        </w:rPr>
        <w:t>ב</w:t>
      </w:r>
      <w:hyperlink r:id="rId35" w:history="1">
        <w:r w:rsidR="00466A8A" w:rsidRPr="00466A8A">
          <w:rPr>
            <w:color w:val="0000FF"/>
            <w:u w:val="single"/>
            <w:rtl/>
          </w:rPr>
          <w:t>ע"פ 545/20</w:t>
        </w:r>
      </w:hyperlink>
      <w:r>
        <w:rPr>
          <w:rFonts w:hint="cs"/>
          <w:rtl/>
        </w:rPr>
        <w:t xml:space="preserve"> </w:t>
      </w:r>
      <w:r>
        <w:rPr>
          <w:rFonts w:hint="cs"/>
          <w:b/>
          <w:bCs/>
          <w:rtl/>
        </w:rPr>
        <w:t>פלוני נ' מדינת ישראל</w:t>
      </w:r>
      <w:r>
        <w:rPr>
          <w:rFonts w:hint="cs"/>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562CE4AD" w14:textId="77777777" w:rsidR="00CC23D1" w:rsidRDefault="00CC23D1" w:rsidP="00CC23D1">
      <w:pPr>
        <w:overflowPunct w:val="0"/>
        <w:autoSpaceDE w:val="0"/>
        <w:autoSpaceDN w:val="0"/>
        <w:spacing w:line="360" w:lineRule="auto"/>
        <w:jc w:val="both"/>
        <w:rPr>
          <w:rtl/>
        </w:rPr>
      </w:pPr>
    </w:p>
    <w:p w14:paraId="134DA9AD" w14:textId="77777777" w:rsidR="00CC23D1" w:rsidRDefault="00CC23D1" w:rsidP="00CC23D1">
      <w:pPr>
        <w:overflowPunct w:val="0"/>
        <w:autoSpaceDE w:val="0"/>
        <w:autoSpaceDN w:val="0"/>
        <w:spacing w:line="360" w:lineRule="auto"/>
        <w:jc w:val="both"/>
        <w:rPr>
          <w:b/>
          <w:bCs/>
          <w:rtl/>
        </w:rPr>
      </w:pPr>
      <w:r>
        <w:rPr>
          <w:rFonts w:hint="cs"/>
          <w:rtl/>
        </w:rPr>
        <w:t>ב</w:t>
      </w:r>
      <w:hyperlink r:id="rId36" w:history="1">
        <w:r w:rsidR="00466A8A" w:rsidRPr="00466A8A">
          <w:rPr>
            <w:color w:val="0000FF"/>
            <w:u w:val="single"/>
            <w:rtl/>
          </w:rPr>
          <w:t>ע"פ 5765/20</w:t>
        </w:r>
      </w:hyperlink>
      <w:r>
        <w:rPr>
          <w:rFonts w:hint="cs"/>
          <w:rtl/>
        </w:rPr>
        <w:t xml:space="preserve"> </w:t>
      </w:r>
      <w:r>
        <w:rPr>
          <w:rFonts w:hint="cs"/>
          <w:b/>
          <w:bCs/>
          <w:rtl/>
        </w:rPr>
        <w:t>אבו בכר נ' מדינת ישראל</w:t>
      </w:r>
      <w:r>
        <w:rPr>
          <w:rFonts w:hint="cs"/>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Pr>
          <w:rFonts w:hint="cs"/>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257309BF" w14:textId="77777777" w:rsidR="00CC23D1" w:rsidRDefault="00CC23D1" w:rsidP="00CC23D1">
      <w:pPr>
        <w:overflowPunct w:val="0"/>
        <w:autoSpaceDE w:val="0"/>
        <w:autoSpaceDN w:val="0"/>
        <w:spacing w:line="360" w:lineRule="auto"/>
        <w:jc w:val="both"/>
        <w:rPr>
          <w:spacing w:val="10"/>
          <w:rtl/>
        </w:rPr>
      </w:pPr>
    </w:p>
    <w:p w14:paraId="4949AB32" w14:textId="77777777" w:rsidR="00CC23D1" w:rsidRDefault="00CC23D1" w:rsidP="00CC23D1">
      <w:pPr>
        <w:overflowPunct w:val="0"/>
        <w:autoSpaceDE w:val="0"/>
        <w:autoSpaceDN w:val="0"/>
        <w:spacing w:line="360" w:lineRule="auto"/>
        <w:jc w:val="both"/>
        <w:rPr>
          <w:rtl/>
        </w:rPr>
      </w:pPr>
      <w:r>
        <w:rPr>
          <w:rFonts w:hint="cs"/>
          <w:rtl/>
        </w:rPr>
        <w:t>ב</w:t>
      </w:r>
      <w:hyperlink r:id="rId37" w:history="1">
        <w:r w:rsidR="00466A8A" w:rsidRPr="00466A8A">
          <w:rPr>
            <w:color w:val="0000FF"/>
            <w:u w:val="single"/>
            <w:rtl/>
          </w:rPr>
          <w:t>רע"פ 4079/21</w:t>
        </w:r>
      </w:hyperlink>
      <w:r>
        <w:rPr>
          <w:rFonts w:hint="cs"/>
          <w:rtl/>
        </w:rPr>
        <w:t xml:space="preserve"> </w:t>
      </w:r>
      <w:r>
        <w:rPr>
          <w:rFonts w:hint="cs"/>
          <w:b/>
          <w:bCs/>
          <w:rtl/>
        </w:rPr>
        <w:t>פלוני נ' מדינת ישראל</w:t>
      </w:r>
      <w:r>
        <w:rPr>
          <w:rFonts w:hint="cs"/>
          <w:rtl/>
        </w:rPr>
        <w:t xml:space="preserve"> (20.6.21) נדחה ערעור על חומרת העונש שנגזר – 6 חודשי מאסר בפועל שהוטל תוך חריגה ממתחם הענישה בשל שיקולי שיקום ונקבע: </w:t>
      </w:r>
      <w:r>
        <w:rPr>
          <w:rFonts w:hint="cs"/>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2A396998" w14:textId="77777777" w:rsidR="00CC23D1" w:rsidRDefault="00CC23D1" w:rsidP="00CC23D1">
      <w:pPr>
        <w:overflowPunct w:val="0"/>
        <w:autoSpaceDE w:val="0"/>
        <w:autoSpaceDN w:val="0"/>
        <w:ind w:right="1282"/>
        <w:jc w:val="both"/>
        <w:rPr>
          <w:rtl/>
        </w:rPr>
      </w:pPr>
    </w:p>
    <w:p w14:paraId="7794AA2E" w14:textId="77777777" w:rsidR="00CC23D1" w:rsidRDefault="00CC23D1" w:rsidP="00CC23D1">
      <w:pPr>
        <w:overflowPunct w:val="0"/>
        <w:autoSpaceDE w:val="0"/>
        <w:autoSpaceDN w:val="0"/>
        <w:spacing w:line="360" w:lineRule="auto"/>
        <w:jc w:val="both"/>
        <w:rPr>
          <w:b/>
          <w:bCs/>
          <w:rtl/>
        </w:rPr>
      </w:pPr>
      <w:r>
        <w:rPr>
          <w:rFonts w:hint="cs"/>
          <w:rtl/>
        </w:rPr>
        <w:t>ב</w:t>
      </w:r>
      <w:hyperlink r:id="rId38" w:history="1">
        <w:r w:rsidR="00466A8A" w:rsidRPr="00466A8A">
          <w:rPr>
            <w:color w:val="0000FF"/>
            <w:u w:val="single"/>
            <w:rtl/>
          </w:rPr>
          <w:t>רע"פ 3619/21</w:t>
        </w:r>
      </w:hyperlink>
      <w:r>
        <w:rPr>
          <w:rFonts w:hint="cs"/>
          <w:rtl/>
        </w:rPr>
        <w:t xml:space="preserve"> </w:t>
      </w:r>
      <w:r>
        <w:rPr>
          <w:rFonts w:hint="cs"/>
          <w:b/>
          <w:bCs/>
          <w:rtl/>
        </w:rPr>
        <w:t>אבו הלאל נ' מדינת ישראל</w:t>
      </w:r>
      <w:r>
        <w:rPr>
          <w:rFonts w:hint="cs"/>
          <w:rtl/>
        </w:rPr>
        <w:t xml:space="preserve"> (26.5.21) נדחה ערעור על חומרת העונש שנגזר – 10 חודשי מאסר בפועל ונאמר: </w:t>
      </w:r>
      <w:r>
        <w:rPr>
          <w:rFonts w:hint="cs"/>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9" w:history="1">
        <w:r w:rsidR="00466A8A" w:rsidRPr="00466A8A">
          <w:rPr>
            <w:b/>
            <w:bCs/>
            <w:color w:val="0000FF"/>
            <w:u w:val="single"/>
            <w:rtl/>
          </w:rPr>
          <w:t>רע"פ 5613/20</w:t>
        </w:r>
      </w:hyperlink>
      <w:r>
        <w:rPr>
          <w:rFonts w:hint="cs"/>
          <w:b/>
          <w:bCs/>
          <w:rtl/>
        </w:rPr>
        <w:t xml:space="preserve"> אלהוזייל נ' מדינת ישראל [פורסם בנבו] (25.8.2020); </w:t>
      </w:r>
      <w:hyperlink r:id="rId40" w:history="1">
        <w:r w:rsidR="00466A8A" w:rsidRPr="00466A8A">
          <w:rPr>
            <w:b/>
            <w:bCs/>
            <w:color w:val="0000FF"/>
            <w:u w:val="single"/>
            <w:rtl/>
          </w:rPr>
          <w:t>רע"פ 4065/18</w:t>
        </w:r>
      </w:hyperlink>
      <w:r>
        <w:rPr>
          <w:rFonts w:hint="cs"/>
          <w:b/>
          <w:bCs/>
          <w:rtl/>
        </w:rPr>
        <w:t xml:space="preserve"> איאסו נ' מדינת ישראל [פורסם בנבו] (30.8.2018)). </w:t>
      </w:r>
    </w:p>
    <w:p w14:paraId="1D51AF3C" w14:textId="77777777" w:rsidR="00CC23D1" w:rsidRDefault="00CC23D1" w:rsidP="00CC23D1">
      <w:pPr>
        <w:overflowPunct w:val="0"/>
        <w:autoSpaceDE w:val="0"/>
        <w:autoSpaceDN w:val="0"/>
        <w:spacing w:line="360" w:lineRule="auto"/>
        <w:jc w:val="both"/>
        <w:rPr>
          <w:b/>
          <w:bCs/>
          <w:rtl/>
        </w:rPr>
      </w:pPr>
      <w:r>
        <w:rPr>
          <w:rFonts w:hint="cs"/>
          <w:b/>
          <w:bCs/>
          <w:rtl/>
        </w:rPr>
        <w:t>במכלול הנסיבות, אני סבור כי העונש שהושת על המבקשים אף מקל עמם ואין בו כדי לבטא את החומרה שיש בהחזקת כלי הנשק המאולתרים."</w:t>
      </w:r>
    </w:p>
    <w:p w14:paraId="61BC4279" w14:textId="77777777" w:rsidR="00CC23D1" w:rsidRDefault="00CC23D1" w:rsidP="00CC23D1">
      <w:pPr>
        <w:spacing w:line="360" w:lineRule="auto"/>
        <w:jc w:val="both"/>
        <w:rPr>
          <w:rtl/>
        </w:rPr>
      </w:pPr>
    </w:p>
    <w:p w14:paraId="0E4F0635" w14:textId="77777777" w:rsidR="00CC23D1" w:rsidRDefault="00CC23D1" w:rsidP="00CC23D1">
      <w:pPr>
        <w:spacing w:line="360" w:lineRule="auto"/>
        <w:jc w:val="both"/>
        <w:rPr>
          <w:rtl/>
        </w:rPr>
      </w:pPr>
      <w:r>
        <w:rPr>
          <w:rFonts w:hint="cs"/>
          <w:rtl/>
        </w:rPr>
        <w:t>ב</w:t>
      </w:r>
      <w:hyperlink r:id="rId41" w:history="1">
        <w:r w:rsidR="00466A8A" w:rsidRPr="00466A8A">
          <w:rPr>
            <w:color w:val="0000FF"/>
            <w:u w:val="single"/>
            <w:rtl/>
          </w:rPr>
          <w:t>עפ"ג 12888-03-22</w:t>
        </w:r>
      </w:hyperlink>
      <w:r>
        <w:rPr>
          <w:rFonts w:hint="cs"/>
          <w:rtl/>
        </w:rPr>
        <w:t xml:space="preserve"> </w:t>
      </w:r>
      <w:r>
        <w:rPr>
          <w:rFonts w:hint="cs"/>
          <w:b/>
          <w:bCs/>
          <w:rtl/>
        </w:rPr>
        <w:t>מדינת ישראל נ' אגבריה</w:t>
      </w:r>
      <w:r>
        <w:rPr>
          <w:rFonts w:hint="cs"/>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08ADE876" w14:textId="77777777" w:rsidR="00CC23D1" w:rsidRDefault="00CC23D1" w:rsidP="00CC23D1">
      <w:pPr>
        <w:spacing w:line="360" w:lineRule="auto"/>
        <w:jc w:val="both"/>
        <w:rPr>
          <w:rFonts w:ascii="Arial" w:eastAsia="David" w:hAnsi="Arial"/>
          <w:rtl/>
        </w:rPr>
      </w:pPr>
    </w:p>
    <w:p w14:paraId="12BBBC1B" w14:textId="77777777" w:rsidR="00CC23D1" w:rsidRDefault="00CC23D1" w:rsidP="00CC23D1">
      <w:pPr>
        <w:autoSpaceDE w:val="0"/>
        <w:autoSpaceDN w:val="0"/>
        <w:adjustRightInd w:val="0"/>
        <w:spacing w:line="360" w:lineRule="auto"/>
        <w:jc w:val="both"/>
        <w:rPr>
          <w:rFonts w:ascii="David" w:hAnsi="David"/>
          <w:rtl/>
        </w:rPr>
      </w:pPr>
      <w:r>
        <w:rPr>
          <w:rFonts w:hint="cs"/>
          <w:rtl/>
        </w:rPr>
        <w:t>באשר לבקשת הסנגור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472C04FE" w14:textId="77777777" w:rsidR="00CC23D1" w:rsidRDefault="00CC23D1" w:rsidP="00CC23D1">
      <w:pPr>
        <w:autoSpaceDE w:val="0"/>
        <w:autoSpaceDN w:val="0"/>
        <w:adjustRightInd w:val="0"/>
        <w:spacing w:line="360" w:lineRule="auto"/>
        <w:ind w:left="567" w:right="567"/>
        <w:jc w:val="both"/>
        <w:rPr>
          <w:b/>
          <w:bCs/>
          <w:rtl/>
        </w:rPr>
      </w:pPr>
      <w:r>
        <w:rPr>
          <w:rFonts w:hint="cs"/>
          <w:b/>
          <w:bCs/>
          <w:rtl/>
        </w:rPr>
        <w:t>"..לעיתים</w:t>
      </w:r>
      <w:r>
        <w:rPr>
          <w:rFonts w:hint="cs"/>
          <w:b/>
          <w:bCs/>
        </w:rPr>
        <w:t xml:space="preserve"> </w:t>
      </w:r>
      <w:r>
        <w:rPr>
          <w:rFonts w:hint="cs"/>
          <w:b/>
          <w:bCs/>
          <w:rtl/>
        </w:rPr>
        <w:t>מדיניות</w:t>
      </w:r>
      <w:r>
        <w:rPr>
          <w:rFonts w:hint="cs"/>
          <w:b/>
          <w:bCs/>
        </w:rPr>
        <w:t xml:space="preserve"> </w:t>
      </w:r>
      <w:r>
        <w:rPr>
          <w:rFonts w:hint="cs"/>
          <w:b/>
          <w:bCs/>
          <w:rtl/>
        </w:rPr>
        <w:t>הענישה</w:t>
      </w:r>
      <w:r>
        <w:rPr>
          <w:rFonts w:hint="cs"/>
          <w:b/>
          <w:bCs/>
        </w:rPr>
        <w:t xml:space="preserve"> </w:t>
      </w:r>
      <w:r>
        <w:rPr>
          <w:rFonts w:hint="cs"/>
          <w:b/>
          <w:bCs/>
          <w:rtl/>
        </w:rPr>
        <w:t>הנוהגת</w:t>
      </w:r>
      <w:r>
        <w:rPr>
          <w:rFonts w:hint="cs"/>
          <w:b/>
          <w:bCs/>
        </w:rPr>
        <w:t xml:space="preserve"> </w:t>
      </w:r>
      <w:r>
        <w:rPr>
          <w:rFonts w:hint="cs"/>
          <w:b/>
          <w:bCs/>
          <w:rtl/>
        </w:rPr>
        <w:t>ביחס</w:t>
      </w:r>
      <w:r>
        <w:rPr>
          <w:rFonts w:hint="cs"/>
          <w:b/>
          <w:bCs/>
        </w:rPr>
        <w:t xml:space="preserve"> </w:t>
      </w:r>
      <w:r>
        <w:rPr>
          <w:rFonts w:hint="cs"/>
          <w:b/>
          <w:bCs/>
          <w:rtl/>
        </w:rPr>
        <w:t>לעבירה</w:t>
      </w:r>
      <w:r>
        <w:rPr>
          <w:rFonts w:hint="cs"/>
          <w:b/>
          <w:bCs/>
        </w:rPr>
        <w:t xml:space="preserve"> </w:t>
      </w:r>
      <w:r>
        <w:rPr>
          <w:rFonts w:hint="cs"/>
          <w:b/>
          <w:bCs/>
          <w:rtl/>
        </w:rPr>
        <w:t>מסוימת</w:t>
      </w:r>
      <w:r>
        <w:rPr>
          <w:rFonts w:hint="cs"/>
          <w:b/>
          <w:bCs/>
        </w:rPr>
        <w:t xml:space="preserve"> </w:t>
      </w:r>
      <w:r>
        <w:rPr>
          <w:rFonts w:hint="cs"/>
          <w:b/>
          <w:bCs/>
          <w:rtl/>
        </w:rPr>
        <w:t>אינה</w:t>
      </w:r>
      <w:r>
        <w:rPr>
          <w:rFonts w:hint="cs"/>
          <w:b/>
          <w:bCs/>
        </w:rPr>
        <w:t xml:space="preserve"> </w:t>
      </w:r>
      <w:r>
        <w:rPr>
          <w:rFonts w:hint="cs"/>
          <w:b/>
          <w:bCs/>
          <w:rtl/>
        </w:rPr>
        <w:t>מספקת, ועל</w:t>
      </w:r>
      <w:r>
        <w:rPr>
          <w:rFonts w:hint="cs"/>
          <w:b/>
          <w:bCs/>
        </w:rPr>
        <w:t xml:space="preserve"> </w:t>
      </w:r>
      <w:r>
        <w:rPr>
          <w:rFonts w:hint="cs"/>
          <w:b/>
          <w:bCs/>
          <w:rtl/>
        </w:rPr>
        <w:t>בית</w:t>
      </w:r>
      <w:r>
        <w:rPr>
          <w:rFonts w:hint="cs"/>
          <w:b/>
          <w:bCs/>
        </w:rPr>
        <w:t xml:space="preserve"> </w:t>
      </w:r>
      <w:r>
        <w:rPr>
          <w:rFonts w:hint="cs"/>
          <w:b/>
          <w:bCs/>
          <w:rtl/>
        </w:rPr>
        <w:t>המשפט</w:t>
      </w:r>
      <w:r>
        <w:rPr>
          <w:rFonts w:hint="cs"/>
          <w:b/>
          <w:bCs/>
        </w:rPr>
        <w:t xml:space="preserve"> </w:t>
      </w:r>
      <w:r>
        <w:rPr>
          <w:rFonts w:hint="cs"/>
          <w:b/>
          <w:bCs/>
          <w:rtl/>
        </w:rPr>
        <w:t>להורות</w:t>
      </w:r>
      <w:r>
        <w:rPr>
          <w:rFonts w:hint="cs"/>
          <w:b/>
          <w:bCs/>
        </w:rPr>
        <w:t xml:space="preserve"> </w:t>
      </w:r>
      <w:r>
        <w:rPr>
          <w:rFonts w:hint="cs"/>
          <w:b/>
          <w:bCs/>
          <w:rtl/>
        </w:rPr>
        <w:t>על</w:t>
      </w:r>
      <w:r>
        <w:rPr>
          <w:rFonts w:hint="cs"/>
          <w:b/>
          <w:bCs/>
        </w:rPr>
        <w:t xml:space="preserve"> </w:t>
      </w:r>
      <w:r>
        <w:rPr>
          <w:rFonts w:hint="cs"/>
          <w:b/>
          <w:bCs/>
          <w:rtl/>
        </w:rPr>
        <w:t>החמרה</w:t>
      </w:r>
      <w:r>
        <w:rPr>
          <w:rFonts w:hint="cs"/>
          <w:b/>
          <w:bCs/>
        </w:rPr>
        <w:t xml:space="preserve"> </w:t>
      </w:r>
      <w:r>
        <w:rPr>
          <w:rFonts w:hint="cs"/>
          <w:b/>
          <w:bCs/>
          <w:rtl/>
        </w:rPr>
        <w:t>בענישה</w:t>
      </w:r>
      <w:r>
        <w:rPr>
          <w:rFonts w:hint="cs"/>
          <w:b/>
          <w:bCs/>
        </w:rPr>
        <w:t xml:space="preserve"> </w:t>
      </w:r>
      <w:r>
        <w:rPr>
          <w:rFonts w:hint="cs"/>
          <w:b/>
          <w:bCs/>
          <w:rtl/>
        </w:rPr>
        <w:t>על</w:t>
      </w:r>
      <w:r>
        <w:rPr>
          <w:rFonts w:hint="cs"/>
          <w:b/>
          <w:bCs/>
        </w:rPr>
        <w:t xml:space="preserve"> </w:t>
      </w:r>
      <w:r>
        <w:rPr>
          <w:rFonts w:hint="cs"/>
          <w:b/>
          <w:bCs/>
          <w:rtl/>
        </w:rPr>
        <w:t>מנת</w:t>
      </w:r>
      <w:r>
        <w:rPr>
          <w:rFonts w:hint="cs"/>
          <w:b/>
          <w:bCs/>
        </w:rPr>
        <w:t xml:space="preserve"> </w:t>
      </w:r>
      <w:r>
        <w:rPr>
          <w:rFonts w:hint="cs"/>
          <w:b/>
          <w:bCs/>
          <w:rtl/>
        </w:rPr>
        <w:t>לקדם</w:t>
      </w:r>
      <w:r>
        <w:rPr>
          <w:rFonts w:hint="cs"/>
          <w:b/>
          <w:bCs/>
        </w:rPr>
        <w:t xml:space="preserve"> </w:t>
      </w:r>
      <w:r>
        <w:rPr>
          <w:rFonts w:hint="cs"/>
          <w:b/>
          <w:bCs/>
          <w:rtl/>
        </w:rPr>
        <w:t>ולהגן</w:t>
      </w:r>
      <w:r>
        <w:rPr>
          <w:rFonts w:hint="cs"/>
          <w:b/>
          <w:bCs/>
        </w:rPr>
        <w:t xml:space="preserve"> </w:t>
      </w:r>
      <w:r>
        <w:rPr>
          <w:rFonts w:hint="cs"/>
          <w:b/>
          <w:bCs/>
          <w:rtl/>
        </w:rPr>
        <w:t>על</w:t>
      </w:r>
      <w:r>
        <w:rPr>
          <w:rFonts w:hint="cs"/>
          <w:b/>
          <w:bCs/>
        </w:rPr>
        <w:t xml:space="preserve"> </w:t>
      </w:r>
      <w:r>
        <w:rPr>
          <w:rFonts w:hint="cs"/>
          <w:b/>
          <w:bCs/>
          <w:rtl/>
        </w:rPr>
        <w:t>הערכים</w:t>
      </w:r>
      <w:r>
        <w:rPr>
          <w:rFonts w:hint="cs"/>
          <w:b/>
          <w:bCs/>
        </w:rPr>
        <w:t xml:space="preserve"> </w:t>
      </w:r>
      <w:r>
        <w:rPr>
          <w:rFonts w:hint="cs"/>
          <w:b/>
          <w:bCs/>
          <w:rtl/>
        </w:rPr>
        <w:t>אשר</w:t>
      </w:r>
      <w:r>
        <w:rPr>
          <w:rFonts w:hint="cs"/>
          <w:b/>
          <w:bCs/>
        </w:rPr>
        <w:t xml:space="preserve"> </w:t>
      </w:r>
      <w:r>
        <w:rPr>
          <w:rFonts w:hint="cs"/>
          <w:b/>
          <w:bCs/>
          <w:rtl/>
        </w:rPr>
        <w:t>ביסודה, ובכך</w:t>
      </w:r>
      <w:r>
        <w:rPr>
          <w:rFonts w:hint="cs"/>
          <w:b/>
          <w:bCs/>
        </w:rPr>
        <w:t xml:space="preserve"> </w:t>
      </w:r>
      <w:r>
        <w:rPr>
          <w:rFonts w:hint="cs"/>
          <w:b/>
          <w:bCs/>
          <w:rtl/>
        </w:rPr>
        <w:t>לבלום</w:t>
      </w:r>
      <w:r>
        <w:rPr>
          <w:rFonts w:hint="cs"/>
          <w:b/>
          <w:bCs/>
        </w:rPr>
        <w:t xml:space="preserve"> </w:t>
      </w:r>
      <w:r>
        <w:rPr>
          <w:rFonts w:hint="cs"/>
          <w:b/>
          <w:bCs/>
          <w:rtl/>
        </w:rPr>
        <w:t>את</w:t>
      </w:r>
      <w:r>
        <w:rPr>
          <w:rFonts w:hint="cs"/>
          <w:b/>
          <w:bCs/>
        </w:rPr>
        <w:t xml:space="preserve"> </w:t>
      </w:r>
      <w:r>
        <w:rPr>
          <w:rFonts w:hint="cs"/>
          <w:b/>
          <w:bCs/>
          <w:rtl/>
        </w:rPr>
        <w:t>נפיצותן</w:t>
      </w:r>
      <w:r>
        <w:rPr>
          <w:rFonts w:hint="cs"/>
          <w:b/>
          <w:bCs/>
        </w:rPr>
        <w:t xml:space="preserve"> </w:t>
      </w:r>
      <w:r>
        <w:rPr>
          <w:rFonts w:hint="cs"/>
          <w:b/>
          <w:bCs/>
          <w:rtl/>
        </w:rPr>
        <w:t>של</w:t>
      </w:r>
      <w:r>
        <w:rPr>
          <w:rFonts w:hint="cs"/>
          <w:b/>
          <w:bCs/>
        </w:rPr>
        <w:t xml:space="preserve"> </w:t>
      </w:r>
      <w:r>
        <w:rPr>
          <w:rFonts w:hint="cs"/>
          <w:b/>
          <w:bCs/>
          <w:rtl/>
        </w:rPr>
        <w:t>עבירות</w:t>
      </w:r>
      <w:r>
        <w:rPr>
          <w:rFonts w:hint="cs"/>
          <w:b/>
          <w:bCs/>
        </w:rPr>
        <w:t xml:space="preserve"> </w:t>
      </w:r>
      <w:r>
        <w:rPr>
          <w:rFonts w:hint="cs"/>
          <w:b/>
          <w:bCs/>
          <w:rtl/>
        </w:rPr>
        <w:t>מסוימות</w:t>
      </w:r>
      <w:r>
        <w:rPr>
          <w:rFonts w:hint="cs"/>
          <w:b/>
          <w:bCs/>
        </w:rPr>
        <w:t xml:space="preserve"> </w:t>
      </w:r>
      <w:r>
        <w:rPr>
          <w:rFonts w:hint="cs"/>
          <w:b/>
          <w:bCs/>
          <w:rtl/>
        </w:rPr>
        <w:t>ההופכות</w:t>
      </w:r>
      <w:r>
        <w:rPr>
          <w:rFonts w:hint="cs"/>
          <w:b/>
          <w:bCs/>
        </w:rPr>
        <w:t xml:space="preserve"> </w:t>
      </w:r>
      <w:r>
        <w:rPr>
          <w:rFonts w:hint="cs"/>
          <w:b/>
          <w:bCs/>
          <w:rtl/>
        </w:rPr>
        <w:t>ל'מכת</w:t>
      </w:r>
      <w:r>
        <w:rPr>
          <w:rFonts w:hint="cs"/>
          <w:b/>
          <w:bCs/>
        </w:rPr>
        <w:t xml:space="preserve"> </w:t>
      </w:r>
      <w:r>
        <w:rPr>
          <w:rFonts w:hint="cs"/>
          <w:b/>
          <w:bCs/>
          <w:rtl/>
        </w:rPr>
        <w:t>מדינה', ולתת</w:t>
      </w:r>
      <w:r>
        <w:rPr>
          <w:rFonts w:hint="cs"/>
          <w:b/>
          <w:bCs/>
        </w:rPr>
        <w:t xml:space="preserve"> </w:t>
      </w:r>
      <w:r>
        <w:rPr>
          <w:rFonts w:hint="cs"/>
          <w:b/>
          <w:bCs/>
          <w:rtl/>
        </w:rPr>
        <w:t>ביטוי</w:t>
      </w:r>
      <w:r>
        <w:rPr>
          <w:rFonts w:hint="cs"/>
          <w:b/>
          <w:bCs/>
        </w:rPr>
        <w:t xml:space="preserve"> </w:t>
      </w:r>
      <w:r>
        <w:rPr>
          <w:rFonts w:hint="cs"/>
          <w:b/>
          <w:bCs/>
          <w:rtl/>
        </w:rPr>
        <w:t>לחומרה</w:t>
      </w:r>
      <w:r>
        <w:rPr>
          <w:rFonts w:hint="cs"/>
          <w:b/>
          <w:bCs/>
        </w:rPr>
        <w:t xml:space="preserve"> </w:t>
      </w:r>
      <w:r>
        <w:rPr>
          <w:rFonts w:hint="cs"/>
          <w:b/>
          <w:bCs/>
          <w:rtl/>
        </w:rPr>
        <w:t>שיש</w:t>
      </w:r>
      <w:r>
        <w:rPr>
          <w:rFonts w:hint="cs"/>
          <w:b/>
          <w:bCs/>
        </w:rPr>
        <w:t xml:space="preserve"> </w:t>
      </w:r>
      <w:r>
        <w:rPr>
          <w:rFonts w:hint="cs"/>
          <w:b/>
          <w:bCs/>
          <w:rtl/>
        </w:rPr>
        <w:t>לייחס</w:t>
      </w:r>
      <w:r>
        <w:rPr>
          <w:rFonts w:hint="cs"/>
          <w:b/>
          <w:bCs/>
        </w:rPr>
        <w:t xml:space="preserve"> </w:t>
      </w:r>
      <w:r>
        <w:rPr>
          <w:rFonts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7EC84C0D" w14:textId="77777777" w:rsidR="00CC23D1" w:rsidRDefault="00CC23D1" w:rsidP="00CC23D1">
      <w:pPr>
        <w:autoSpaceDE w:val="0"/>
        <w:autoSpaceDN w:val="0"/>
        <w:adjustRightInd w:val="0"/>
        <w:spacing w:line="360" w:lineRule="auto"/>
        <w:ind w:left="567" w:right="567"/>
        <w:jc w:val="both"/>
        <w:rPr>
          <w:b/>
          <w:bCs/>
          <w:rtl/>
        </w:rPr>
      </w:pPr>
      <w:r>
        <w:rPr>
          <w:rFonts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651A8F5F" w14:textId="77777777" w:rsidR="00CC23D1" w:rsidRDefault="00CC23D1" w:rsidP="00CC23D1">
      <w:pPr>
        <w:spacing w:line="360" w:lineRule="auto"/>
        <w:jc w:val="both"/>
        <w:rPr>
          <w:rtl/>
        </w:rPr>
      </w:pPr>
      <w:r>
        <w:rPr>
          <w:rFonts w:hint="cs"/>
          <w:rtl/>
        </w:rPr>
        <w:tab/>
      </w:r>
    </w:p>
    <w:p w14:paraId="46FB2B12" w14:textId="77777777" w:rsidR="00CC23D1" w:rsidRDefault="00CC23D1" w:rsidP="00CC23D1">
      <w:pPr>
        <w:spacing w:line="360" w:lineRule="auto"/>
        <w:jc w:val="both"/>
        <w:rPr>
          <w:rtl/>
        </w:rPr>
      </w:pPr>
      <w:r>
        <w:rPr>
          <w:rFonts w:hint="cs"/>
          <w:rtl/>
        </w:rPr>
        <w:t>הנאשם כאמור, החזיק אקדח טעון כשהוא מוכן ומזומן ופוטנציאל הנזק הטמון בו רב לאין ערוך.</w:t>
      </w:r>
    </w:p>
    <w:p w14:paraId="2CB0192C" w14:textId="77777777" w:rsidR="00CC23D1" w:rsidRDefault="00CC23D1" w:rsidP="00CC23D1">
      <w:pPr>
        <w:spacing w:line="360" w:lineRule="auto"/>
        <w:jc w:val="both"/>
        <w:rPr>
          <w:noProof/>
          <w:rtl/>
        </w:rPr>
      </w:pPr>
      <w:r>
        <w:rPr>
          <w:rFonts w:hint="cs"/>
          <w:rtl/>
        </w:rPr>
        <w:t xml:space="preserve">אמנם, בסופו של יום לא נעשה שימוש בנשק, עם זאת אין בכך כדי להפחית מחומרת הנסיבות הקשורות בביצוע המעשים ולהתעלם מהפגיעות הפוטנציאליות שהיו עלולות להתרחש ולטעמי, אף יש לראות בהסבתו של אקדח הזנקה לידי אקדח המסוגל לירות תחמושת קליעית דווקא נסיבה לחומרה. </w:t>
      </w:r>
      <w:r>
        <w:rPr>
          <w:rFonts w:hint="cs"/>
          <w:noProof/>
          <w:rtl/>
        </w:rPr>
        <w:t>המדובר בכלי נשק שיש בכוחו להמית ולא ניתן לקבל את טיעוני הסנגור שאיננו כלי התקפי. דווקא הסבתו של כלי שלא היה בכוחו להמית לכלי שיש בכוחו להמית היא היא המלמדת על כוונה,ף גם אם טרם נעשה בו שימוש.</w:t>
      </w:r>
    </w:p>
    <w:p w14:paraId="7AC27955" w14:textId="77777777" w:rsidR="00CC23D1" w:rsidRDefault="00CC23D1" w:rsidP="00CC23D1">
      <w:pPr>
        <w:spacing w:line="360" w:lineRule="auto"/>
        <w:jc w:val="both"/>
        <w:rPr>
          <w:noProof/>
          <w:rtl/>
        </w:rPr>
      </w:pPr>
    </w:p>
    <w:p w14:paraId="11B5B59B" w14:textId="77777777" w:rsidR="00CC23D1" w:rsidRDefault="00CC23D1" w:rsidP="00CC23D1">
      <w:pPr>
        <w:spacing w:line="360" w:lineRule="auto"/>
        <w:jc w:val="both"/>
        <w:rPr>
          <w:rFonts w:eastAsia="David"/>
          <w:b/>
          <w:bCs/>
          <w:rtl/>
        </w:rPr>
      </w:pPr>
      <w:r>
        <w:rPr>
          <w:rFonts w:hint="cs"/>
          <w:rtl/>
        </w:rPr>
        <w:t>בהתחשב בעובדות ונסיבות חמורות אלה, במגמת ההחמרה ההדרגתית של בית המשפט העליון בעבירות נשק ובתיקון 140 לחוק מצאתי כי מתחם העונש ההולם בעניינו של הנאשם</w:t>
      </w:r>
      <w:r>
        <w:rPr>
          <w:rFonts w:hint="cs"/>
          <w:b/>
          <w:bCs/>
          <w:rtl/>
        </w:rPr>
        <w:t xml:space="preserve"> נע בין 18  ל- 36 חודשי מאסר בפועל. </w:t>
      </w:r>
    </w:p>
    <w:p w14:paraId="0304BB60" w14:textId="77777777" w:rsidR="00CC23D1" w:rsidRDefault="00CC23D1" w:rsidP="00CC23D1">
      <w:pPr>
        <w:spacing w:line="360" w:lineRule="auto"/>
        <w:jc w:val="both"/>
        <w:rPr>
          <w:rFonts w:ascii="Miriam" w:hAnsi="Miriam" w:cs="Miriam"/>
          <w:sz w:val="22"/>
          <w:szCs w:val="22"/>
          <w:rtl/>
        </w:rPr>
      </w:pPr>
    </w:p>
    <w:p w14:paraId="679510F6" w14:textId="77777777" w:rsidR="00CC23D1" w:rsidRPr="006477DB" w:rsidRDefault="00CC23D1" w:rsidP="00CC23D1">
      <w:pPr>
        <w:spacing w:line="360" w:lineRule="auto"/>
        <w:jc w:val="both"/>
        <w:rPr>
          <w:rFonts w:ascii="David" w:hAnsi="David"/>
          <w:u w:val="single"/>
          <w:rtl/>
        </w:rPr>
      </w:pPr>
      <w:r w:rsidRPr="006477DB">
        <w:rPr>
          <w:rFonts w:hint="cs"/>
          <w:u w:val="single"/>
          <w:rtl/>
        </w:rPr>
        <w:t>קביעת העונש ההולם</w:t>
      </w:r>
    </w:p>
    <w:p w14:paraId="5CB8AB53" w14:textId="77777777" w:rsidR="00CC23D1" w:rsidRDefault="00CC23D1" w:rsidP="00CC23D1">
      <w:pPr>
        <w:spacing w:line="360" w:lineRule="auto"/>
        <w:jc w:val="both"/>
        <w:rPr>
          <w:rtl/>
        </w:rPr>
      </w:pPr>
      <w:r>
        <w:rPr>
          <w:rFonts w:hint="cs"/>
          <w:rtl/>
        </w:rPr>
        <w:t>הנאשם, כבן 49 ולחובתו 5 הרשעות קודמות בגין תקיפת בת זוגו וילדיו כולל גרימת חבלה של ממש וחבלה חמורה וכן חבלה כשעבריין מזויין. הנאשם נשא בעונשי מאסר ממושכים ובמסתכם מעל 70 חודשי מאסר בפועל. ברי שאין זה מאסרו הראשון של הנאשם ולהיפך, נדמה שאיננו מפנים את חומרת מעשיו. כמו כן, דווקא בנסיבות אלה, אינני סבור שלהרשעות הקודמות אין רלוונטיות להרשעה הנוכחית שכאמור, גם בעבר הורשע הנאשם בגרימת חבלה בהיותו מזויין ובנסיבות אלה, ניתן לשער מה עלול לעשות לבני משפחתו או כיצד אלו יחושו בהיות הנאשם, שכבר הורשע לא פעם ולא פעמיים באלימות כלפיהם, חמוש בכלי נשק.</w:t>
      </w:r>
    </w:p>
    <w:p w14:paraId="33916698" w14:textId="77777777" w:rsidR="00CC23D1" w:rsidRDefault="00CC23D1" w:rsidP="00CC23D1">
      <w:pPr>
        <w:spacing w:line="360" w:lineRule="auto"/>
        <w:jc w:val="both"/>
        <w:rPr>
          <w:rtl/>
        </w:rPr>
      </w:pPr>
      <w:r>
        <w:rPr>
          <w:rFonts w:hint="cs"/>
          <w:rtl/>
        </w:rPr>
        <w:t>לאור עובדות אלה, לא מצאתי למקם את הנאשם בתחתית המתחם וודאי שלא לחרוג מהמתחם שקבעתי כפי שמבקש הסנגור.</w:t>
      </w:r>
    </w:p>
    <w:p w14:paraId="6C19AE15" w14:textId="77777777" w:rsidR="00CC23D1" w:rsidRDefault="00CC23D1" w:rsidP="00CC23D1">
      <w:pPr>
        <w:spacing w:line="360" w:lineRule="auto"/>
        <w:jc w:val="both"/>
        <w:rPr>
          <w:rtl/>
        </w:rPr>
      </w:pPr>
    </w:p>
    <w:p w14:paraId="303845CE" w14:textId="77777777" w:rsidR="00CC23D1" w:rsidRDefault="00CC23D1" w:rsidP="00CC23D1">
      <w:pPr>
        <w:spacing w:line="360" w:lineRule="auto"/>
        <w:jc w:val="both"/>
        <w:rPr>
          <w:rtl/>
        </w:rPr>
      </w:pPr>
      <w:r>
        <w:rPr>
          <w:rFonts w:hint="cs"/>
          <w:rtl/>
        </w:rPr>
        <w:t>מנגד, הנאשם לקח אחריות על מעשיו, הודה בהזדמנות הראשונה וחסך זמן שיפוטי יקר.</w:t>
      </w:r>
    </w:p>
    <w:p w14:paraId="79DAB225" w14:textId="77777777" w:rsidR="00CC23D1" w:rsidRDefault="00CC23D1" w:rsidP="00CC23D1">
      <w:pPr>
        <w:spacing w:line="360" w:lineRule="auto"/>
        <w:jc w:val="both"/>
        <w:rPr>
          <w:rtl/>
        </w:rPr>
      </w:pPr>
    </w:p>
    <w:p w14:paraId="55F12C20" w14:textId="77777777" w:rsidR="00CC23D1" w:rsidRDefault="00CC23D1" w:rsidP="00CC23D1">
      <w:pPr>
        <w:spacing w:line="360" w:lineRule="auto"/>
        <w:jc w:val="both"/>
        <w:rPr>
          <w:rtl/>
        </w:rPr>
      </w:pPr>
      <w:r>
        <w:rPr>
          <w:rFonts w:hint="cs"/>
          <w:rtl/>
        </w:rPr>
        <w:t>כמו כן, הנאשם עצור מאחורי סורג ובריח מזה 6 וחצי חודשים כאשר תנאי המעצר קשים הם מתנאי מאסר.</w:t>
      </w:r>
    </w:p>
    <w:p w14:paraId="2036BD0A" w14:textId="77777777" w:rsidR="00CC23D1" w:rsidRDefault="00CC23D1" w:rsidP="00CC23D1">
      <w:pPr>
        <w:spacing w:line="360" w:lineRule="auto"/>
        <w:jc w:val="both"/>
        <w:rPr>
          <w:rtl/>
        </w:rPr>
      </w:pPr>
    </w:p>
    <w:p w14:paraId="6EFEF44F" w14:textId="77777777" w:rsidR="00CC23D1" w:rsidRDefault="00CC23D1" w:rsidP="00CC23D1">
      <w:pPr>
        <w:spacing w:line="360" w:lineRule="auto"/>
        <w:jc w:val="both"/>
        <w:rPr>
          <w:rtl/>
        </w:rPr>
      </w:pPr>
      <w:r>
        <w:rPr>
          <w:rFonts w:hint="cs"/>
          <w:rtl/>
        </w:rPr>
        <w:t xml:space="preserve">אומנם בצד סוג, טיב וחומרת העבירות המיוחסות לנאשם, ישנם שיקולי ענישה רבים ומגוונים אך בסופו של יום בגזירת הדין אמון בית המשפט על איזון האינטרסים השונים. </w:t>
      </w:r>
    </w:p>
    <w:p w14:paraId="45EF6612" w14:textId="77777777" w:rsidR="00CC23D1" w:rsidRDefault="00CC23D1" w:rsidP="00CC23D1">
      <w:pPr>
        <w:spacing w:line="360" w:lineRule="auto"/>
        <w:jc w:val="both"/>
        <w:rPr>
          <w:rtl/>
        </w:rPr>
      </w:pPr>
    </w:p>
    <w:p w14:paraId="0C2BA59F" w14:textId="77777777" w:rsidR="00CC23D1" w:rsidRDefault="00CC23D1" w:rsidP="00CC23D1">
      <w:pPr>
        <w:spacing w:line="360" w:lineRule="auto"/>
        <w:jc w:val="both"/>
        <w:rPr>
          <w:rtl/>
        </w:rPr>
      </w:pPr>
      <w:r>
        <w:rPr>
          <w:rFonts w:hint="cs"/>
          <w:rtl/>
        </w:rPr>
        <w:t xml:space="preserve">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hint="cs"/>
          <w:rtl/>
        </w:rPr>
        <w:t>(</w:t>
      </w:r>
      <w:hyperlink r:id="rId42" w:history="1">
        <w:r w:rsidR="00466A8A" w:rsidRPr="00466A8A">
          <w:rPr>
            <w:color w:val="0000FF"/>
            <w:u w:val="single"/>
            <w:rtl/>
          </w:rPr>
          <w:t>ע"פ 5330/20</w:t>
        </w:r>
      </w:hyperlink>
      <w:r>
        <w:rPr>
          <w:rFonts w:hint="cs"/>
          <w:rtl/>
        </w:rPr>
        <w:t xml:space="preserve"> </w:t>
      </w:r>
      <w:r>
        <w:rPr>
          <w:rFonts w:hint="cs"/>
          <w:b/>
          <w:bCs/>
          <w:rtl/>
        </w:rPr>
        <w:t>ענבתאוי נ' מדינת ישראל</w:t>
      </w:r>
      <w:r>
        <w:rPr>
          <w:rFonts w:hint="cs"/>
          <w:rtl/>
        </w:rPr>
        <w:t>, (22.11.20)) וכאמור המחוקק כבר הביע דעתו בעניין זה בעת תיקון 140 ל</w:t>
      </w:r>
      <w:hyperlink r:id="rId43" w:history="1">
        <w:r w:rsidR="00466A8A" w:rsidRPr="00466A8A">
          <w:rPr>
            <w:color w:val="0000FF"/>
            <w:u w:val="single"/>
            <w:rtl/>
          </w:rPr>
          <w:t>חוק העונשין</w:t>
        </w:r>
      </w:hyperlink>
      <w:r>
        <w:rPr>
          <w:rFonts w:hint="cs"/>
          <w:rtl/>
        </w:rPr>
        <w:t>.</w:t>
      </w:r>
    </w:p>
    <w:p w14:paraId="017D7984" w14:textId="77777777" w:rsidR="00CC23D1" w:rsidRDefault="00CC23D1" w:rsidP="00CC23D1">
      <w:pPr>
        <w:spacing w:line="360" w:lineRule="auto"/>
        <w:jc w:val="both"/>
        <w:rPr>
          <w:rtl/>
        </w:rPr>
      </w:pPr>
    </w:p>
    <w:p w14:paraId="45AB6BA2" w14:textId="77777777" w:rsidR="00CC23D1" w:rsidRDefault="00CC23D1" w:rsidP="00CC23D1">
      <w:pPr>
        <w:spacing w:line="360" w:lineRule="auto"/>
        <w:jc w:val="both"/>
        <w:rPr>
          <w:noProof/>
          <w:rtl/>
        </w:rPr>
      </w:pPr>
      <w:r>
        <w:rPr>
          <w:rFonts w:ascii="Arial" w:hAnsi="Arial" w:hint="cs"/>
          <w:rtl/>
        </w:rPr>
        <w:t xml:space="preserve">משנאמר כל זאת, בהתחשב בחומרת המעשים, בנסיבותיהם, במידת הפגיעה בערך החברתי ובמדיניות הענישה הנוהגת, בהודאתו של הנאשם ובנסיבות חייו, תוך עריכת איזון בין רכיבי הענישה השונים, אני מטיל על הנאשם את העונשים הבאים: </w:t>
      </w:r>
    </w:p>
    <w:p w14:paraId="5C4D05E9" w14:textId="77777777" w:rsidR="00CC23D1" w:rsidRDefault="00CC23D1" w:rsidP="00CC23D1">
      <w:pPr>
        <w:spacing w:line="360" w:lineRule="auto"/>
        <w:jc w:val="both"/>
        <w:rPr>
          <w:noProof/>
          <w:rtl/>
        </w:rPr>
      </w:pPr>
      <w:r>
        <w:rPr>
          <w:rFonts w:ascii="Arial" w:hAnsi="Arial" w:hint="cs"/>
          <w:rtl/>
        </w:rPr>
        <w:t xml:space="preserve"> </w:t>
      </w:r>
    </w:p>
    <w:p w14:paraId="11E89BB5" w14:textId="77777777" w:rsidR="00CC23D1" w:rsidRPr="00AB46E5" w:rsidRDefault="00CC23D1" w:rsidP="00CC23D1">
      <w:pPr>
        <w:numPr>
          <w:ilvl w:val="0"/>
          <w:numId w:val="1"/>
        </w:numPr>
        <w:spacing w:line="360" w:lineRule="auto"/>
        <w:contextualSpacing/>
        <w:jc w:val="both"/>
        <w:rPr>
          <w:noProof/>
          <w:rtl/>
        </w:rPr>
      </w:pPr>
      <w:r>
        <w:rPr>
          <w:rFonts w:hint="cs"/>
          <w:rtl/>
        </w:rPr>
        <w:t>מאסר בפועל למשך 22 חודשים אשר יחושב מימי מעצרו</w:t>
      </w:r>
      <w:r>
        <w:rPr>
          <w:rFonts w:hint="cs"/>
          <w:b/>
          <w:bCs/>
          <w:rtl/>
        </w:rPr>
        <w:t xml:space="preserve"> </w:t>
      </w:r>
      <w:r w:rsidRPr="00AB46E5">
        <w:rPr>
          <w:rFonts w:hint="cs"/>
          <w:rtl/>
        </w:rPr>
        <w:t xml:space="preserve">וזאת על פי חישובי שב"ס. </w:t>
      </w:r>
    </w:p>
    <w:p w14:paraId="23AA1CFD" w14:textId="77777777" w:rsidR="00CC23D1" w:rsidRDefault="00CC23D1" w:rsidP="00CC23D1">
      <w:pPr>
        <w:spacing w:line="360" w:lineRule="auto"/>
        <w:jc w:val="both"/>
        <w:rPr>
          <w:noProof/>
        </w:rPr>
      </w:pPr>
    </w:p>
    <w:p w14:paraId="5026CC28" w14:textId="77777777" w:rsidR="00CC23D1" w:rsidRDefault="00CC23D1" w:rsidP="00CC23D1">
      <w:pPr>
        <w:numPr>
          <w:ilvl w:val="0"/>
          <w:numId w:val="1"/>
        </w:numPr>
        <w:spacing w:line="360" w:lineRule="auto"/>
        <w:contextualSpacing/>
        <w:jc w:val="both"/>
        <w:rPr>
          <w:noProof/>
          <w:rtl/>
        </w:rPr>
      </w:pPr>
      <w:r>
        <w:rPr>
          <w:rFonts w:hint="cs"/>
          <w:rtl/>
        </w:rPr>
        <w:t xml:space="preserve">מאסר על תנאי לתקופה של 10 חודשים למשך 3 שנים והתנאי הוא שהנאשם  לא יעבור לאחר שיחורורו מריצוי תום מאסרו בגין תיק זה,  שלא יעבור על אחת העבירות בהן הורשע או כל עבירת נשק מסוג פשע. </w:t>
      </w:r>
    </w:p>
    <w:p w14:paraId="7B7307D9" w14:textId="77777777" w:rsidR="00CC23D1" w:rsidRDefault="00CC23D1" w:rsidP="00CC23D1">
      <w:pPr>
        <w:spacing w:line="360" w:lineRule="auto"/>
        <w:jc w:val="both"/>
        <w:rPr>
          <w:noProof/>
        </w:rPr>
      </w:pPr>
    </w:p>
    <w:p w14:paraId="07011090" w14:textId="77777777" w:rsidR="00CC23D1" w:rsidRDefault="00CC23D1" w:rsidP="00CC23D1">
      <w:pPr>
        <w:numPr>
          <w:ilvl w:val="0"/>
          <w:numId w:val="1"/>
        </w:numPr>
        <w:spacing w:line="360" w:lineRule="auto"/>
        <w:contextualSpacing/>
        <w:jc w:val="both"/>
        <w:rPr>
          <w:rFonts w:ascii="David" w:hAnsi="David"/>
        </w:rPr>
      </w:pPr>
      <w:r>
        <w:rPr>
          <w:rFonts w:hint="cs"/>
          <w:rtl/>
        </w:rPr>
        <w:t xml:space="preserve">קנס בסך של 10,000 ₪. </w:t>
      </w:r>
    </w:p>
    <w:p w14:paraId="4EE51A2F" w14:textId="77777777" w:rsidR="00CC23D1" w:rsidRDefault="00CC23D1" w:rsidP="00CC23D1">
      <w:pPr>
        <w:pStyle w:val="aa"/>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10/3/24</w:t>
      </w:r>
      <w:r>
        <w:rPr>
          <w:rFonts w:ascii="David" w:hAnsi="David" w:cs="David"/>
          <w:rtl/>
        </w:rPr>
        <w:t xml:space="preserve"> וזאת באחת מהדרכים הבאות:</w:t>
      </w:r>
    </w:p>
    <w:p w14:paraId="462A6DEB" w14:textId="77777777" w:rsidR="00CC23D1" w:rsidRDefault="00CC23D1" w:rsidP="00CC23D1">
      <w:pPr>
        <w:pStyle w:val="aa"/>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44" w:history="1">
        <w:r>
          <w:rPr>
            <w:rStyle w:val="Hyperlink"/>
            <w:rFonts w:ascii="Arial" w:hAnsi="Arial" w:cs="Arial"/>
          </w:rPr>
          <w:t>www.eca.gov.il</w:t>
        </w:r>
      </w:hyperlink>
      <w:r>
        <w:rPr>
          <w:rFonts w:ascii="Arial" w:hAnsi="Arial" w:cs="Arial"/>
        </w:rPr>
        <w:t xml:space="preserve"> </w:t>
      </w:r>
      <w:r w:rsidR="00466A8A">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64C798FA" w14:textId="77777777" w:rsidR="00CC23D1" w:rsidRDefault="00CC23D1" w:rsidP="00CC23D1">
      <w:pPr>
        <w:pStyle w:val="aa"/>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466A8A">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58448908" w14:textId="77777777" w:rsidR="00CC23D1" w:rsidRDefault="00CC23D1" w:rsidP="00CC23D1">
      <w:pPr>
        <w:pStyle w:val="aa"/>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5849EC6B" w14:textId="77777777" w:rsidR="00CC23D1" w:rsidRDefault="00CC23D1" w:rsidP="00CC23D1">
      <w:pPr>
        <w:spacing w:line="360" w:lineRule="auto"/>
        <w:rPr>
          <w:rFonts w:ascii="David" w:hAnsi="David"/>
          <w:b/>
          <w:bCs/>
        </w:rPr>
      </w:pPr>
    </w:p>
    <w:p w14:paraId="26FFB005" w14:textId="77777777" w:rsidR="00CC23D1" w:rsidRDefault="00CC23D1" w:rsidP="00CC23D1">
      <w:pPr>
        <w:spacing w:line="360" w:lineRule="auto"/>
        <w:jc w:val="both"/>
      </w:pPr>
      <w:r>
        <w:rPr>
          <w:rFonts w:hint="cs"/>
          <w:b/>
          <w:bCs/>
          <w:rtl/>
        </w:rPr>
        <w:t xml:space="preserve">פרוטוקול זה מהווה פקודת מאסר. </w:t>
      </w:r>
    </w:p>
    <w:p w14:paraId="3A107FEA" w14:textId="77777777" w:rsidR="00CC23D1" w:rsidRPr="007D30C6" w:rsidRDefault="00CC23D1" w:rsidP="00CC23D1"/>
    <w:p w14:paraId="26081484" w14:textId="77777777" w:rsidR="00CC23D1" w:rsidRDefault="00CC23D1" w:rsidP="00CC23D1">
      <w:pPr>
        <w:spacing w:line="360" w:lineRule="auto"/>
        <w:ind w:left="360"/>
        <w:contextualSpacing/>
        <w:jc w:val="both"/>
        <w:rPr>
          <w:rFonts w:ascii="David" w:hAnsi="David"/>
          <w:rtl/>
        </w:rPr>
      </w:pPr>
    </w:p>
    <w:p w14:paraId="1F07E3FF" w14:textId="77777777" w:rsidR="00CC23D1" w:rsidRDefault="00CC23D1" w:rsidP="00CC23D1">
      <w:pPr>
        <w:spacing w:line="360" w:lineRule="auto"/>
        <w:jc w:val="both"/>
        <w:rPr>
          <w:rtl/>
        </w:rPr>
      </w:pPr>
    </w:p>
    <w:p w14:paraId="0CC27186" w14:textId="77777777" w:rsidR="00CC23D1" w:rsidRDefault="00CC23D1" w:rsidP="00CC23D1">
      <w:pPr>
        <w:rPr>
          <w:b/>
          <w:bCs/>
          <w:rtl/>
        </w:rPr>
      </w:pPr>
      <w:r>
        <w:rPr>
          <w:rFonts w:hint="cs"/>
          <w:b/>
          <w:bCs/>
          <w:rtl/>
        </w:rPr>
        <w:t>ניתן בזאת צו להשמדת המוצגים בתיק (נשק, מחסנית ותחמושת).</w:t>
      </w:r>
    </w:p>
    <w:p w14:paraId="1A89EAE3" w14:textId="77777777" w:rsidR="00CC23D1" w:rsidRPr="00466A8A" w:rsidRDefault="00466A8A" w:rsidP="00CC23D1">
      <w:pPr>
        <w:rPr>
          <w:b/>
          <w:bCs/>
          <w:color w:val="FFFFFF"/>
          <w:sz w:val="2"/>
          <w:szCs w:val="2"/>
          <w:rtl/>
        </w:rPr>
      </w:pPr>
      <w:r w:rsidRPr="00466A8A">
        <w:rPr>
          <w:b/>
          <w:bCs/>
          <w:color w:val="FFFFFF"/>
          <w:sz w:val="2"/>
          <w:szCs w:val="2"/>
          <w:rtl/>
        </w:rPr>
        <w:t>5129371</w:t>
      </w:r>
    </w:p>
    <w:p w14:paraId="3804CBB3" w14:textId="77777777" w:rsidR="00CC23D1" w:rsidRDefault="00466A8A" w:rsidP="00CC23D1">
      <w:pPr>
        <w:rPr>
          <w:rFonts w:ascii="Calibri" w:hAnsi="Calibri" w:cs="Arial"/>
          <w:rtl/>
        </w:rPr>
      </w:pPr>
      <w:r w:rsidRPr="00466A8A">
        <w:rPr>
          <w:b/>
          <w:bCs/>
          <w:color w:val="FFFFFF"/>
          <w:sz w:val="2"/>
          <w:szCs w:val="2"/>
          <w:rtl/>
        </w:rPr>
        <w:t>54678313</w:t>
      </w:r>
      <w:r w:rsidR="00CC23D1">
        <w:rPr>
          <w:rFonts w:hint="cs"/>
          <w:b/>
          <w:bCs/>
          <w:rtl/>
        </w:rPr>
        <w:t>זכות ערעור לבית המשפט המחוזי בחיפה תוך 45 ימים מהיום.</w:t>
      </w:r>
      <w:r w:rsidR="00CC23D1">
        <w:rPr>
          <w:rFonts w:hint="cs"/>
          <w:rtl/>
        </w:rPr>
        <w:t xml:space="preserve">  </w:t>
      </w:r>
    </w:p>
    <w:p w14:paraId="2B076593" w14:textId="77777777" w:rsidR="00CC23D1" w:rsidRPr="000F2247" w:rsidRDefault="00CC23D1" w:rsidP="00CC23D1">
      <w:pPr>
        <w:rPr>
          <w:rFonts w:ascii="Arial" w:hAnsi="Arial"/>
          <w:b/>
          <w:bCs/>
          <w:sz w:val="26"/>
          <w:szCs w:val="26"/>
          <w:rtl/>
        </w:rPr>
      </w:pPr>
    </w:p>
    <w:p w14:paraId="55D0802F" w14:textId="77777777" w:rsidR="00CC23D1" w:rsidRPr="000F2247" w:rsidRDefault="00466A8A" w:rsidP="00CC23D1">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א' כסלו תשפ"ד, 14 נובמבר 2023, במעמד הצדדים. </w:t>
      </w:r>
      <w:bookmarkEnd w:id="10"/>
      <w:r w:rsidR="00CC23D1">
        <w:rPr>
          <w:rFonts w:ascii="Arial" w:hAnsi="Arial"/>
          <w:b/>
          <w:bCs/>
          <w:sz w:val="26"/>
          <w:szCs w:val="26"/>
          <w:rtl/>
        </w:rPr>
        <w:tab/>
      </w:r>
      <w:r w:rsidR="00CC23D1">
        <w:rPr>
          <w:rFonts w:ascii="Arial" w:hAnsi="Arial"/>
          <w:b/>
          <w:bCs/>
          <w:sz w:val="26"/>
          <w:szCs w:val="26"/>
          <w:rtl/>
        </w:rPr>
        <w:tab/>
      </w:r>
      <w:r w:rsidR="00CC23D1">
        <w:rPr>
          <w:rFonts w:ascii="Arial" w:hAnsi="Arial"/>
          <w:b/>
          <w:bCs/>
          <w:sz w:val="26"/>
          <w:szCs w:val="26"/>
          <w:rtl/>
        </w:rPr>
        <w:tab/>
      </w:r>
      <w:r w:rsidR="00CC23D1">
        <w:rPr>
          <w:rFonts w:ascii="Arial" w:hAnsi="Arial"/>
          <w:b/>
          <w:bCs/>
          <w:sz w:val="26"/>
          <w:szCs w:val="26"/>
          <w:rtl/>
        </w:rPr>
        <w:tab/>
      </w:r>
      <w:r w:rsidR="00CC23D1">
        <w:rPr>
          <w:rFonts w:ascii="Arial" w:hAnsi="Arial"/>
          <w:b/>
          <w:bCs/>
          <w:sz w:val="26"/>
          <w:szCs w:val="26"/>
          <w:rtl/>
        </w:rPr>
        <w:tab/>
      </w:r>
      <w:r w:rsidR="00CC23D1">
        <w:rPr>
          <w:rFonts w:ascii="Arial" w:hAnsi="Arial"/>
          <w:b/>
          <w:bCs/>
          <w:sz w:val="26"/>
          <w:szCs w:val="26"/>
          <w:rtl/>
        </w:rPr>
        <w:tab/>
      </w:r>
      <w:r w:rsidR="00CC23D1">
        <w:rPr>
          <w:rFonts w:ascii="Arial" w:hAnsi="Arial"/>
          <w:b/>
          <w:bCs/>
          <w:sz w:val="26"/>
          <w:szCs w:val="26"/>
          <w:rtl/>
        </w:rPr>
        <w:tab/>
      </w:r>
      <w:r w:rsidR="00CC23D1">
        <w:rPr>
          <w:rFonts w:ascii="Arial" w:hAnsi="Arial" w:hint="cs"/>
          <w:b/>
          <w:bCs/>
          <w:sz w:val="26"/>
          <w:szCs w:val="26"/>
          <w:rtl/>
        </w:rPr>
        <w:t xml:space="preserve">         </w:t>
      </w:r>
    </w:p>
    <w:p w14:paraId="3AD2655D" w14:textId="77777777" w:rsidR="00CC23D1" w:rsidRPr="000F2247" w:rsidRDefault="00CC23D1" w:rsidP="00466A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8775E8" w14:textId="77777777" w:rsidR="00CC23D1" w:rsidRPr="000F2247" w:rsidRDefault="00CC23D1" w:rsidP="00CC23D1">
      <w:pPr>
        <w:jc w:val="center"/>
        <w:rPr>
          <w:rFonts w:ascii="Arial" w:hAnsi="Arial"/>
          <w:b/>
          <w:bCs/>
          <w:sz w:val="26"/>
          <w:szCs w:val="26"/>
          <w:rtl/>
        </w:rPr>
      </w:pPr>
    </w:p>
    <w:p w14:paraId="4BC305F2" w14:textId="77777777" w:rsidR="00DF2CDB" w:rsidRPr="00466A8A" w:rsidRDefault="00DF2CDB" w:rsidP="00466A8A">
      <w:pPr>
        <w:keepNext/>
        <w:rPr>
          <w:rFonts w:ascii="David" w:hAnsi="David"/>
          <w:color w:val="000000"/>
          <w:sz w:val="22"/>
          <w:szCs w:val="22"/>
          <w:rtl/>
        </w:rPr>
      </w:pPr>
    </w:p>
    <w:p w14:paraId="13C7E564" w14:textId="77777777" w:rsidR="00466A8A" w:rsidRPr="00466A8A" w:rsidRDefault="00466A8A" w:rsidP="00466A8A">
      <w:pPr>
        <w:keepNext/>
        <w:rPr>
          <w:rFonts w:ascii="David" w:hAnsi="David"/>
          <w:color w:val="000000"/>
          <w:sz w:val="22"/>
          <w:szCs w:val="22"/>
          <w:rtl/>
        </w:rPr>
      </w:pPr>
      <w:r w:rsidRPr="00466A8A">
        <w:rPr>
          <w:rFonts w:ascii="David" w:hAnsi="David"/>
          <w:color w:val="000000"/>
          <w:sz w:val="22"/>
          <w:szCs w:val="22"/>
          <w:rtl/>
        </w:rPr>
        <w:t>אלכס אחטר 54678313</w:t>
      </w:r>
    </w:p>
    <w:p w14:paraId="76B7E3F3" w14:textId="77777777" w:rsidR="00466A8A" w:rsidRDefault="00466A8A" w:rsidP="00466A8A">
      <w:r w:rsidRPr="00466A8A">
        <w:rPr>
          <w:color w:val="000000"/>
          <w:rtl/>
        </w:rPr>
        <w:t>נוסח מסמך זה כפוף לשינויי ניסוח ועריכה</w:t>
      </w:r>
    </w:p>
    <w:p w14:paraId="07B0CB14" w14:textId="77777777" w:rsidR="00466A8A" w:rsidRDefault="00466A8A" w:rsidP="00466A8A">
      <w:pPr>
        <w:rPr>
          <w:rtl/>
        </w:rPr>
      </w:pPr>
    </w:p>
    <w:p w14:paraId="246B8407" w14:textId="77777777" w:rsidR="00466A8A" w:rsidRDefault="00466A8A" w:rsidP="00466A8A">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BB4B824" w14:textId="77777777" w:rsidR="00466A8A" w:rsidRPr="00466A8A" w:rsidRDefault="00466A8A" w:rsidP="00466A8A">
      <w:pPr>
        <w:jc w:val="center"/>
        <w:rPr>
          <w:color w:val="0000FF"/>
          <w:u w:val="single"/>
        </w:rPr>
      </w:pPr>
    </w:p>
    <w:sectPr w:rsidR="00466A8A" w:rsidRPr="00466A8A" w:rsidSect="00466A8A">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F53A" w14:textId="77777777" w:rsidR="00B72241" w:rsidRDefault="00B72241" w:rsidP="00DB4EF1">
      <w:r>
        <w:separator/>
      </w:r>
    </w:p>
  </w:endnote>
  <w:endnote w:type="continuationSeparator" w:id="0">
    <w:p w14:paraId="6F469272" w14:textId="77777777" w:rsidR="00B72241" w:rsidRDefault="00B72241" w:rsidP="00D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E22DD" w14:textId="77777777" w:rsidR="00466A8A" w:rsidRDefault="00466A8A" w:rsidP="00466A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0C3401" w14:textId="77777777" w:rsidR="006B3448" w:rsidRPr="00466A8A" w:rsidRDefault="00466A8A" w:rsidP="00466A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05FF4" w14:textId="77777777" w:rsidR="00466A8A" w:rsidRDefault="00466A8A" w:rsidP="00466A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235B">
      <w:rPr>
        <w:rFonts w:ascii="FrankRuehl" w:hAnsi="FrankRuehl" w:cs="FrankRuehl"/>
        <w:noProof/>
        <w:rtl/>
      </w:rPr>
      <w:t>1</w:t>
    </w:r>
    <w:r>
      <w:rPr>
        <w:rFonts w:ascii="FrankRuehl" w:hAnsi="FrankRuehl" w:cs="FrankRuehl"/>
        <w:rtl/>
      </w:rPr>
      <w:fldChar w:fldCharType="end"/>
    </w:r>
  </w:p>
  <w:p w14:paraId="281DE4B7" w14:textId="77777777" w:rsidR="006B3448" w:rsidRPr="00466A8A" w:rsidRDefault="00466A8A" w:rsidP="00466A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CB4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955C9" w14:textId="77777777" w:rsidR="00B72241" w:rsidRDefault="00B72241" w:rsidP="00DB4EF1">
      <w:r>
        <w:separator/>
      </w:r>
    </w:p>
  </w:footnote>
  <w:footnote w:type="continuationSeparator" w:id="0">
    <w:p w14:paraId="0AF78F14" w14:textId="77777777" w:rsidR="00B72241" w:rsidRDefault="00B72241" w:rsidP="00DB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1FF4D" w14:textId="77777777" w:rsidR="00466A8A" w:rsidRPr="00466A8A" w:rsidRDefault="00466A8A" w:rsidP="00466A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35361-05-23</w:t>
    </w:r>
    <w:r>
      <w:rPr>
        <w:rFonts w:ascii="David" w:hAnsi="David"/>
        <w:color w:val="000000"/>
        <w:sz w:val="22"/>
        <w:szCs w:val="22"/>
        <w:rtl/>
      </w:rPr>
      <w:tab/>
      <w:t xml:space="preserve"> מדינת ישראל נ' עומר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A380" w14:textId="77777777" w:rsidR="00466A8A" w:rsidRPr="00466A8A" w:rsidRDefault="00466A8A" w:rsidP="00466A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35361-05-23</w:t>
    </w:r>
    <w:r>
      <w:rPr>
        <w:rFonts w:ascii="David" w:hAnsi="David"/>
        <w:color w:val="000000"/>
        <w:sz w:val="22"/>
        <w:szCs w:val="22"/>
        <w:rtl/>
      </w:rPr>
      <w:tab/>
      <w:t xml:space="preserve"> מדינת ישראל נ' עומר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756703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313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23D1"/>
    <w:rsid w:val="00157D9E"/>
    <w:rsid w:val="001B5A3B"/>
    <w:rsid w:val="00466A8A"/>
    <w:rsid w:val="0052644D"/>
    <w:rsid w:val="0063235B"/>
    <w:rsid w:val="006B3448"/>
    <w:rsid w:val="0083726E"/>
    <w:rsid w:val="00914C95"/>
    <w:rsid w:val="00976FCB"/>
    <w:rsid w:val="00B71CC7"/>
    <w:rsid w:val="00B72241"/>
    <w:rsid w:val="00CB4493"/>
    <w:rsid w:val="00CC23D1"/>
    <w:rsid w:val="00DB4EF1"/>
    <w:rsid w:val="00DF2CDB"/>
    <w:rsid w:val="00E91C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548FFA"/>
  <w15:chartTrackingRefBased/>
  <w15:docId w15:val="{D0C26DE6-BD6D-4C2F-821E-05C7ABFA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23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23D1"/>
    <w:pPr>
      <w:tabs>
        <w:tab w:val="center" w:pos="4153"/>
        <w:tab w:val="right" w:pos="8306"/>
      </w:tabs>
    </w:pPr>
  </w:style>
  <w:style w:type="character" w:customStyle="1" w:styleId="a4">
    <w:name w:val="כותרת עליונה תו"/>
    <w:link w:val="a3"/>
    <w:rsid w:val="00CC23D1"/>
    <w:rPr>
      <w:rFonts w:ascii="Times New Roman" w:eastAsia="Times New Roman" w:hAnsi="Times New Roman" w:cs="David"/>
      <w:sz w:val="24"/>
      <w:szCs w:val="24"/>
    </w:rPr>
  </w:style>
  <w:style w:type="paragraph" w:styleId="a5">
    <w:name w:val="footer"/>
    <w:basedOn w:val="a"/>
    <w:link w:val="a6"/>
    <w:rsid w:val="00CC23D1"/>
    <w:pPr>
      <w:tabs>
        <w:tab w:val="center" w:pos="4153"/>
        <w:tab w:val="right" w:pos="8306"/>
      </w:tabs>
    </w:pPr>
  </w:style>
  <w:style w:type="character" w:customStyle="1" w:styleId="a6">
    <w:name w:val="כותרת תחתונה תו"/>
    <w:link w:val="a5"/>
    <w:rsid w:val="00CC23D1"/>
    <w:rPr>
      <w:rFonts w:ascii="Times New Roman" w:eastAsia="Times New Roman" w:hAnsi="Times New Roman" w:cs="David"/>
      <w:sz w:val="24"/>
      <w:szCs w:val="24"/>
    </w:rPr>
  </w:style>
  <w:style w:type="table" w:styleId="a7">
    <w:name w:val="Table Grid"/>
    <w:basedOn w:val="a1"/>
    <w:rsid w:val="00CC23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23D1"/>
  </w:style>
  <w:style w:type="paragraph" w:styleId="a9">
    <w:name w:val="No Spacing"/>
    <w:qFormat/>
    <w:rsid w:val="00CC23D1"/>
    <w:pPr>
      <w:bidi/>
    </w:pPr>
    <w:rPr>
      <w:sz w:val="22"/>
      <w:szCs w:val="22"/>
    </w:rPr>
  </w:style>
  <w:style w:type="character" w:customStyle="1" w:styleId="normal-h">
    <w:name w:val="normal-h"/>
    <w:rsid w:val="00CC23D1"/>
  </w:style>
  <w:style w:type="paragraph" w:styleId="aa">
    <w:name w:val="List Paragraph"/>
    <w:basedOn w:val="a"/>
    <w:qFormat/>
    <w:rsid w:val="00CC23D1"/>
    <w:pPr>
      <w:ind w:left="720"/>
      <w:contextualSpacing/>
    </w:pPr>
    <w:rPr>
      <w:rFonts w:cs="Times New Roman"/>
    </w:rPr>
  </w:style>
  <w:style w:type="character" w:styleId="Hyperlink">
    <w:name w:val="Hyperlink"/>
    <w:rsid w:val="00CC23D1"/>
    <w:rPr>
      <w:color w:val="0000FF"/>
      <w:u w:val="single"/>
    </w:rPr>
  </w:style>
  <w:style w:type="character" w:styleId="ab">
    <w:name w:val="line number"/>
    <w:rsid w:val="00CC2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safrut/bookgroup/412" TargetMode="External"/><Relationship Id="rId39" Type="http://schemas.openxmlformats.org/officeDocument/2006/relationships/hyperlink" Target="http://www.nevo.co.il/case/26913995" TargetMode="External"/><Relationship Id="rId21" Type="http://schemas.openxmlformats.org/officeDocument/2006/relationships/hyperlink" Target="http://www.nevo.co.il/law/70301/40e" TargetMode="External"/><Relationship Id="rId34" Type="http://schemas.openxmlformats.org/officeDocument/2006/relationships/hyperlink" Target="http://www.nevo.co.il/case/26442335" TargetMode="External"/><Relationship Id="rId42" Type="http://schemas.openxmlformats.org/officeDocument/2006/relationships/hyperlink" Target="http://www.nevo.co.il/case/2688865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925239" TargetMode="External"/><Relationship Id="rId37" Type="http://schemas.openxmlformats.org/officeDocument/2006/relationships/hyperlink" Target="http://www.nevo.co.il/case/27693610" TargetMode="External"/><Relationship Id="rId40" Type="http://schemas.openxmlformats.org/officeDocument/2006/relationships/hyperlink" Target="http://www.nevo.co.il/case/24263426"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6931111" TargetMode="External"/><Relationship Id="rId49"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8697218"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6383419"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27648787" TargetMode="External"/><Relationship Id="rId46" Type="http://schemas.openxmlformats.org/officeDocument/2006/relationships/header" Target="header1.xml"/><Relationship Id="rId20" Type="http://schemas.openxmlformats.org/officeDocument/2006/relationships/hyperlink" Target="http://www.nevo.co.il/law/70301/40d" TargetMode="External"/><Relationship Id="rId41" Type="http://schemas.openxmlformats.org/officeDocument/2006/relationships/hyperlink" Target="http://www.nevo.co.il/case/2837806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3392</Words>
  <Characters>16961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20313</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3604604</vt:i4>
      </vt:variant>
      <vt:variant>
        <vt:i4>108</vt:i4>
      </vt:variant>
      <vt:variant>
        <vt:i4>0</vt:i4>
      </vt:variant>
      <vt:variant>
        <vt:i4>5</vt:i4>
      </vt:variant>
      <vt:variant>
        <vt:lpwstr>http://www.nevo.co.il/case/26888657</vt:lpwstr>
      </vt:variant>
      <vt:variant>
        <vt:lpwstr/>
      </vt:variant>
      <vt:variant>
        <vt:i4>4128891</vt:i4>
      </vt:variant>
      <vt:variant>
        <vt:i4>105</vt:i4>
      </vt:variant>
      <vt:variant>
        <vt:i4>0</vt:i4>
      </vt:variant>
      <vt:variant>
        <vt:i4>5</vt:i4>
      </vt:variant>
      <vt:variant>
        <vt:lpwstr>http://www.nevo.co.il/case/28378067</vt:lpwstr>
      </vt:variant>
      <vt:variant>
        <vt:lpwstr/>
      </vt:variant>
      <vt:variant>
        <vt:i4>3211378</vt:i4>
      </vt:variant>
      <vt:variant>
        <vt:i4>102</vt:i4>
      </vt:variant>
      <vt:variant>
        <vt:i4>0</vt:i4>
      </vt:variant>
      <vt:variant>
        <vt:i4>5</vt:i4>
      </vt:variant>
      <vt:variant>
        <vt:lpwstr>http://www.nevo.co.il/case/24263426</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3407984</vt:i4>
      </vt:variant>
      <vt:variant>
        <vt:i4>96</vt:i4>
      </vt:variant>
      <vt:variant>
        <vt:i4>0</vt:i4>
      </vt:variant>
      <vt:variant>
        <vt:i4>5</vt:i4>
      </vt:variant>
      <vt:variant>
        <vt:lpwstr>http://www.nevo.co.il/case/27648787</vt:lpwstr>
      </vt:variant>
      <vt:variant>
        <vt:lpwstr/>
      </vt:variant>
      <vt:variant>
        <vt:i4>3539068</vt:i4>
      </vt:variant>
      <vt:variant>
        <vt:i4>93</vt:i4>
      </vt:variant>
      <vt:variant>
        <vt:i4>0</vt:i4>
      </vt:variant>
      <vt:variant>
        <vt:i4>5</vt:i4>
      </vt:variant>
      <vt:variant>
        <vt:lpwstr>http://www.nevo.co.il/case/27693610</vt:lpwstr>
      </vt:variant>
      <vt:variant>
        <vt:lpwstr/>
      </vt:variant>
      <vt:variant>
        <vt:i4>3866736</vt:i4>
      </vt:variant>
      <vt:variant>
        <vt:i4>90</vt:i4>
      </vt:variant>
      <vt:variant>
        <vt:i4>0</vt:i4>
      </vt:variant>
      <vt:variant>
        <vt:i4>5</vt:i4>
      </vt:variant>
      <vt:variant>
        <vt:lpwstr>http://www.nevo.co.il/case/26931111</vt:lpwstr>
      </vt:variant>
      <vt:variant>
        <vt:lpwstr/>
      </vt:variant>
      <vt:variant>
        <vt:i4>3342462</vt:i4>
      </vt:variant>
      <vt:variant>
        <vt:i4>87</vt:i4>
      </vt:variant>
      <vt:variant>
        <vt:i4>0</vt:i4>
      </vt:variant>
      <vt:variant>
        <vt:i4>5</vt:i4>
      </vt:variant>
      <vt:variant>
        <vt:lpwstr>http://www.nevo.co.il/case/26383419</vt:lpwstr>
      </vt:variant>
      <vt:variant>
        <vt:lpwstr/>
      </vt:variant>
      <vt:variant>
        <vt:i4>3604597</vt:i4>
      </vt:variant>
      <vt:variant>
        <vt:i4>84</vt:i4>
      </vt:variant>
      <vt:variant>
        <vt:i4>0</vt:i4>
      </vt:variant>
      <vt:variant>
        <vt:i4>5</vt:i4>
      </vt:variant>
      <vt:variant>
        <vt:lpwstr>http://www.nevo.co.il/case/26442335</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3997811</vt:i4>
      </vt:variant>
      <vt:variant>
        <vt:i4>78</vt:i4>
      </vt:variant>
      <vt:variant>
        <vt:i4>0</vt:i4>
      </vt:variant>
      <vt:variant>
        <vt:i4>5</vt:i4>
      </vt:variant>
      <vt:variant>
        <vt:lpwstr>http://www.nevo.co.il/case/27925239</vt:lpwstr>
      </vt:variant>
      <vt:variant>
        <vt:lpwstr/>
      </vt:variant>
      <vt:variant>
        <vt:i4>3276919</vt:i4>
      </vt:variant>
      <vt:variant>
        <vt:i4>75</vt:i4>
      </vt:variant>
      <vt:variant>
        <vt:i4>0</vt:i4>
      </vt:variant>
      <vt:variant>
        <vt:i4>5</vt:i4>
      </vt:variant>
      <vt:variant>
        <vt:lpwstr>http://www.nevo.co.il/case/28697218</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2097193</vt:i4>
      </vt:variant>
      <vt:variant>
        <vt:i4>60</vt:i4>
      </vt:variant>
      <vt:variant>
        <vt:i4>0</vt:i4>
      </vt:variant>
      <vt:variant>
        <vt:i4>5</vt:i4>
      </vt:variant>
      <vt:variant>
        <vt:lpwstr>http://www.nevo.co.il/safrut/bookgroup/412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35361</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 מחאג'נה</vt:lpwstr>
  </property>
  <property fmtid="{D5CDD505-2E9C-101B-9397-08002B2CF9AE}" pid="10" name="LAWYER">
    <vt:lpwstr>מעיין קריאף בנימין;עלא עתאמנה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20231114</vt:lpwstr>
  </property>
  <property fmtid="{D5CDD505-2E9C-101B-9397-08002B2CF9AE}" pid="14" name="TYPE_N_DATE">
    <vt:lpwstr>38020231114</vt:lpwstr>
  </property>
  <property fmtid="{D5CDD505-2E9C-101B-9397-08002B2CF9AE}" pid="15" name="WORDNUMPAGES">
    <vt:lpwstr>10</vt:lpwstr>
  </property>
  <property fmtid="{D5CDD505-2E9C-101B-9397-08002B2CF9AE}" pid="16" name="TYPE_ABS_DATE">
    <vt:lpwstr>380020231114</vt:lpwstr>
  </property>
  <property fmtid="{D5CDD505-2E9C-101B-9397-08002B2CF9AE}" pid="17" name="ISABSTRACT">
    <vt:lpwstr>Y</vt:lpwstr>
  </property>
  <property fmtid="{D5CDD505-2E9C-101B-9397-08002B2CF9AE}" pid="18" name="CASESLISTTMP1">
    <vt:lpwstr>28513828;27309272;25824863:2;28883087:2;28697218;27925239;26442335;26383419;26931111;27693610;27648787;26913995;24263426;28378067;26888657</vt:lpwstr>
  </property>
  <property fmtid="{D5CDD505-2E9C-101B-9397-08002B2CF9AE}" pid="19" name="BOOKGROUPTMP1">
    <vt:lpwstr>412</vt:lpwstr>
  </property>
  <property fmtid="{D5CDD505-2E9C-101B-9397-08002B2CF9AE}" pid="20" name="LAWLISTTMP1">
    <vt:lpwstr>70301/144.a:2;040i;40ja;040d;040e</vt:lpwstr>
  </property>
</Properties>
</file>