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F35FB" w:rsidRPr="002973B0" w14:paraId="1623C385" w14:textId="77777777" w:rsidTr="00373934">
        <w:trPr>
          <w:trHeight w:hRule="exact" w:val="418"/>
          <w:jc w:val="center"/>
        </w:trPr>
        <w:tc>
          <w:tcPr>
            <w:tcW w:w="8721" w:type="dxa"/>
            <w:gridSpan w:val="2"/>
          </w:tcPr>
          <w:p w14:paraId="5DF8355B" w14:textId="77777777" w:rsidR="00CF35FB" w:rsidRPr="002973B0" w:rsidRDefault="00CF35FB" w:rsidP="00504C95">
            <w:pPr>
              <w:pStyle w:val="a3"/>
              <w:jc w:val="center"/>
              <w:rPr>
                <w:rFonts w:ascii="Tahoma" w:hAnsi="Tahoma" w:cs="Tahoma"/>
                <w:color w:val="000080"/>
                <w:rtl/>
              </w:rPr>
            </w:pPr>
            <w:bookmarkStart w:id="0" w:name="LastJudge"/>
            <w:r w:rsidRPr="002973B0">
              <w:rPr>
                <w:rFonts w:ascii="Tahoma" w:hAnsi="Tahoma" w:cs="Tahoma"/>
                <w:b/>
                <w:bCs/>
                <w:color w:val="000080"/>
                <w:rtl/>
              </w:rPr>
              <w:t>בית משפט השלום בתל אביב-יפו</w:t>
            </w:r>
          </w:p>
        </w:tc>
      </w:tr>
      <w:tr w:rsidR="00CF35FB" w:rsidRPr="002973B0" w14:paraId="45C8FA25" w14:textId="77777777" w:rsidTr="00373934">
        <w:trPr>
          <w:trHeight w:val="337"/>
          <w:jc w:val="center"/>
        </w:trPr>
        <w:tc>
          <w:tcPr>
            <w:tcW w:w="5054" w:type="dxa"/>
          </w:tcPr>
          <w:p w14:paraId="75108886" w14:textId="77777777" w:rsidR="00CF35FB" w:rsidRPr="002973B0" w:rsidRDefault="00CF35FB" w:rsidP="00504C95">
            <w:pPr>
              <w:rPr>
                <w:rFonts w:cs="FrankRuehl"/>
                <w:sz w:val="28"/>
                <w:szCs w:val="28"/>
                <w:rtl/>
              </w:rPr>
            </w:pPr>
            <w:r w:rsidRPr="002973B0">
              <w:rPr>
                <w:rFonts w:cs="FrankRuehl"/>
                <w:sz w:val="28"/>
                <w:szCs w:val="28"/>
                <w:rtl/>
              </w:rPr>
              <w:t>ת"פ</w:t>
            </w:r>
            <w:r w:rsidRPr="002973B0">
              <w:rPr>
                <w:rFonts w:cs="FrankRuehl" w:hint="cs"/>
                <w:sz w:val="28"/>
                <w:szCs w:val="28"/>
                <w:rtl/>
              </w:rPr>
              <w:t xml:space="preserve"> </w:t>
            </w:r>
            <w:r w:rsidRPr="002973B0">
              <w:rPr>
                <w:rFonts w:cs="FrankRuehl"/>
                <w:sz w:val="28"/>
                <w:szCs w:val="28"/>
                <w:rtl/>
              </w:rPr>
              <w:t>5159-05-23</w:t>
            </w:r>
            <w:r w:rsidRPr="002973B0">
              <w:rPr>
                <w:rFonts w:cs="FrankRuehl" w:hint="cs"/>
                <w:sz w:val="28"/>
                <w:szCs w:val="28"/>
                <w:rtl/>
              </w:rPr>
              <w:t xml:space="preserve"> </w:t>
            </w:r>
            <w:r w:rsidRPr="002973B0">
              <w:rPr>
                <w:rFonts w:cs="FrankRuehl"/>
                <w:sz w:val="28"/>
                <w:szCs w:val="28"/>
                <w:rtl/>
              </w:rPr>
              <w:t>מדינת ישראל נ' קושנר</w:t>
            </w:r>
          </w:p>
          <w:p w14:paraId="16527A43" w14:textId="77777777" w:rsidR="00CF35FB" w:rsidRPr="002973B0" w:rsidRDefault="00CF35FB" w:rsidP="00504C95">
            <w:pPr>
              <w:pStyle w:val="a3"/>
              <w:rPr>
                <w:rFonts w:cs="FrankRuehl"/>
                <w:sz w:val="28"/>
                <w:szCs w:val="28"/>
                <w:rtl/>
              </w:rPr>
            </w:pPr>
          </w:p>
        </w:tc>
        <w:tc>
          <w:tcPr>
            <w:tcW w:w="3667" w:type="dxa"/>
          </w:tcPr>
          <w:p w14:paraId="7529204C" w14:textId="77777777" w:rsidR="00CF35FB" w:rsidRPr="002973B0" w:rsidRDefault="00CF35FB" w:rsidP="00504C95">
            <w:pPr>
              <w:pStyle w:val="a3"/>
              <w:jc w:val="right"/>
              <w:rPr>
                <w:rFonts w:cs="FrankRuehl"/>
                <w:sz w:val="28"/>
                <w:szCs w:val="28"/>
                <w:rtl/>
              </w:rPr>
            </w:pPr>
          </w:p>
        </w:tc>
      </w:tr>
    </w:tbl>
    <w:p w14:paraId="4A314511" w14:textId="77777777" w:rsidR="00CF35FB" w:rsidRPr="002973B0" w:rsidRDefault="00CF35FB" w:rsidP="00CF35FB">
      <w:pPr>
        <w:pStyle w:val="a3"/>
        <w:rPr>
          <w:rtl/>
        </w:rPr>
      </w:pPr>
      <w:r w:rsidRPr="002973B0">
        <w:rPr>
          <w:rFonts w:hint="cs"/>
          <w:rtl/>
        </w:rPr>
        <w:t xml:space="preserve"> </w:t>
      </w:r>
    </w:p>
    <w:p w14:paraId="5F337F08" w14:textId="77777777" w:rsidR="00CF35FB" w:rsidRPr="002973B0" w:rsidRDefault="00CF35FB" w:rsidP="00CF35FB">
      <w:pPr>
        <w:spacing w:line="360" w:lineRule="auto"/>
        <w:rPr>
          <w:rtl/>
        </w:rPr>
      </w:pPr>
    </w:p>
    <w:p w14:paraId="559D3849" w14:textId="77777777" w:rsidR="00CF35FB" w:rsidRPr="002973B0" w:rsidRDefault="00CF35FB" w:rsidP="00CF35FB">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F35FB" w:rsidRPr="002973B0" w14:paraId="76DE0AB2" w14:textId="77777777" w:rsidTr="00CF35FB">
        <w:trPr>
          <w:trHeight w:val="295"/>
          <w:jc w:val="center"/>
        </w:trPr>
        <w:tc>
          <w:tcPr>
            <w:tcW w:w="923" w:type="dxa"/>
            <w:tcBorders>
              <w:top w:val="nil"/>
              <w:left w:val="nil"/>
              <w:bottom w:val="nil"/>
              <w:right w:val="nil"/>
            </w:tcBorders>
            <w:shd w:val="clear" w:color="auto" w:fill="auto"/>
          </w:tcPr>
          <w:p w14:paraId="0B853552" w14:textId="77777777" w:rsidR="00CF35FB" w:rsidRPr="002973B0" w:rsidRDefault="00CF35FB" w:rsidP="00CF35FB">
            <w:pPr>
              <w:spacing w:line="360" w:lineRule="auto"/>
              <w:jc w:val="both"/>
              <w:rPr>
                <w:rFonts w:ascii="David" w:hAnsi="David"/>
                <w:b/>
                <w:bCs/>
                <w:sz w:val="26"/>
                <w:szCs w:val="26"/>
              </w:rPr>
            </w:pPr>
            <w:r w:rsidRPr="002973B0">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05B3461" w14:textId="77777777" w:rsidR="00CF35FB" w:rsidRPr="002973B0" w:rsidRDefault="00CF35FB" w:rsidP="00CF35FB">
            <w:pPr>
              <w:spacing w:line="360" w:lineRule="auto"/>
              <w:rPr>
                <w:rFonts w:ascii="David" w:hAnsi="David"/>
                <w:b/>
                <w:bCs/>
                <w:sz w:val="26"/>
                <w:szCs w:val="26"/>
                <w:rtl/>
              </w:rPr>
            </w:pPr>
            <w:r w:rsidRPr="002973B0">
              <w:rPr>
                <w:rFonts w:ascii="David" w:hAnsi="David" w:hint="cs"/>
                <w:b/>
                <w:bCs/>
                <w:sz w:val="26"/>
                <w:szCs w:val="26"/>
                <w:rtl/>
              </w:rPr>
              <w:t>כבוד השופט הבכיר, שאול אבינור</w:t>
            </w:r>
          </w:p>
          <w:p w14:paraId="15F51973" w14:textId="77777777" w:rsidR="00CF35FB" w:rsidRPr="002973B0" w:rsidRDefault="00CF35FB" w:rsidP="00CF35FB">
            <w:pPr>
              <w:spacing w:line="360" w:lineRule="auto"/>
              <w:rPr>
                <w:rFonts w:ascii="David" w:hAnsi="David"/>
                <w:sz w:val="26"/>
                <w:szCs w:val="26"/>
              </w:rPr>
            </w:pPr>
          </w:p>
        </w:tc>
      </w:tr>
      <w:tr w:rsidR="00CF35FB" w:rsidRPr="002973B0" w14:paraId="5E3AAD20" w14:textId="77777777" w:rsidTr="00CF35FB">
        <w:trPr>
          <w:trHeight w:val="355"/>
          <w:jc w:val="center"/>
        </w:trPr>
        <w:tc>
          <w:tcPr>
            <w:tcW w:w="923" w:type="dxa"/>
            <w:tcBorders>
              <w:top w:val="nil"/>
              <w:left w:val="nil"/>
              <w:bottom w:val="nil"/>
              <w:right w:val="nil"/>
            </w:tcBorders>
            <w:shd w:val="clear" w:color="auto" w:fill="auto"/>
          </w:tcPr>
          <w:p w14:paraId="3F4D382A" w14:textId="77777777" w:rsidR="00CF35FB" w:rsidRPr="002973B0" w:rsidRDefault="00CF35FB" w:rsidP="00CF35FB">
            <w:pPr>
              <w:spacing w:line="360" w:lineRule="auto"/>
              <w:jc w:val="both"/>
              <w:rPr>
                <w:rFonts w:ascii="David" w:hAnsi="David"/>
                <w:sz w:val="26"/>
                <w:szCs w:val="26"/>
              </w:rPr>
            </w:pPr>
            <w:bookmarkStart w:id="1" w:name="FirstAppellant"/>
            <w:bookmarkStart w:id="2" w:name="FirstLawyer"/>
            <w:r w:rsidRPr="002973B0">
              <w:rPr>
                <w:rFonts w:ascii="David" w:hAnsi="David"/>
                <w:sz w:val="26"/>
                <w:szCs w:val="26"/>
                <w:rtl/>
              </w:rPr>
              <w:t>בעניין:</w:t>
            </w:r>
          </w:p>
        </w:tc>
        <w:tc>
          <w:tcPr>
            <w:tcW w:w="3219" w:type="dxa"/>
            <w:tcBorders>
              <w:top w:val="nil"/>
              <w:left w:val="nil"/>
              <w:bottom w:val="nil"/>
              <w:right w:val="nil"/>
            </w:tcBorders>
            <w:shd w:val="clear" w:color="auto" w:fill="auto"/>
          </w:tcPr>
          <w:p w14:paraId="10707382" w14:textId="77777777" w:rsidR="00CF35FB" w:rsidRPr="002973B0" w:rsidRDefault="00CF35FB" w:rsidP="00CF35FB">
            <w:pPr>
              <w:suppressLineNumbers/>
              <w:spacing w:line="360" w:lineRule="auto"/>
            </w:pPr>
            <w:r w:rsidRPr="002973B0">
              <w:rPr>
                <w:rFonts w:ascii="Arial" w:hAnsi="Arial" w:hint="cs"/>
                <w:b/>
                <w:bCs/>
                <w:sz w:val="26"/>
                <w:szCs w:val="26"/>
                <w:rtl/>
              </w:rPr>
              <w:t>המאשימה:</w:t>
            </w:r>
          </w:p>
          <w:p w14:paraId="450C0A4F" w14:textId="77777777" w:rsidR="00CF35FB" w:rsidRPr="002973B0" w:rsidRDefault="00CF35FB" w:rsidP="00CF35FB">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79F4487F" w14:textId="77777777" w:rsidR="00CF35FB" w:rsidRPr="002973B0" w:rsidRDefault="00CF35FB" w:rsidP="00CF35FB">
            <w:pPr>
              <w:suppressLineNumbers/>
              <w:spacing w:line="360" w:lineRule="auto"/>
              <w:rPr>
                <w:rFonts w:ascii="Arial" w:hAnsi="Arial"/>
                <w:rtl/>
              </w:rPr>
            </w:pPr>
            <w:r w:rsidRPr="002973B0">
              <w:rPr>
                <w:rFonts w:ascii="Arial" w:hAnsi="Arial"/>
                <w:b/>
                <w:bCs/>
                <w:sz w:val="26"/>
                <w:szCs w:val="26"/>
                <w:rtl/>
              </w:rPr>
              <w:t>מדינת ישראל</w:t>
            </w:r>
            <w:r w:rsidRPr="002973B0">
              <w:rPr>
                <w:rFonts w:ascii="Arial" w:hAnsi="Arial" w:hint="cs"/>
                <w:b/>
                <w:bCs/>
                <w:sz w:val="26"/>
                <w:szCs w:val="26"/>
                <w:rtl/>
              </w:rPr>
              <w:t xml:space="preserve"> </w:t>
            </w:r>
          </w:p>
          <w:p w14:paraId="2B8E1B23" w14:textId="77777777" w:rsidR="00CF35FB" w:rsidRPr="002973B0" w:rsidRDefault="00CF35FB" w:rsidP="00CF35FB">
            <w:pPr>
              <w:suppressLineNumbers/>
              <w:spacing w:line="360" w:lineRule="auto"/>
            </w:pPr>
            <w:r w:rsidRPr="002973B0">
              <w:rPr>
                <w:rFonts w:ascii="Arial" w:hAnsi="Arial"/>
                <w:rtl/>
              </w:rPr>
              <w:t>ע"י</w:t>
            </w:r>
            <w:r w:rsidRPr="002973B0">
              <w:rPr>
                <w:rFonts w:ascii="Arial" w:hAnsi="Arial"/>
                <w:b/>
                <w:bCs/>
                <w:sz w:val="26"/>
                <w:szCs w:val="26"/>
                <w:rtl/>
              </w:rPr>
              <w:t xml:space="preserve"> </w:t>
            </w:r>
            <w:r w:rsidRPr="002973B0">
              <w:rPr>
                <w:rFonts w:ascii="Arial" w:hAnsi="Arial"/>
                <w:rtl/>
              </w:rPr>
              <w:t>ב"כ עו"ד</w:t>
            </w:r>
            <w:r w:rsidRPr="002973B0">
              <w:rPr>
                <w:rFonts w:ascii="Arial" w:hAnsi="Arial" w:hint="cs"/>
                <w:rtl/>
              </w:rPr>
              <w:t xml:space="preserve"> שני מגדי</w:t>
            </w:r>
          </w:p>
          <w:p w14:paraId="05B3CFE1" w14:textId="77777777" w:rsidR="00CF35FB" w:rsidRPr="002973B0" w:rsidRDefault="00CF35FB" w:rsidP="00CF35FB">
            <w:pPr>
              <w:spacing w:line="360" w:lineRule="auto"/>
              <w:rPr>
                <w:rFonts w:ascii="David" w:hAnsi="David"/>
                <w:sz w:val="26"/>
                <w:szCs w:val="26"/>
              </w:rPr>
            </w:pPr>
          </w:p>
        </w:tc>
      </w:tr>
      <w:bookmarkEnd w:id="1"/>
      <w:bookmarkEnd w:id="2"/>
      <w:tr w:rsidR="00CF35FB" w:rsidRPr="002973B0" w14:paraId="2213F43F" w14:textId="77777777" w:rsidTr="00CF35FB">
        <w:trPr>
          <w:trHeight w:val="355"/>
          <w:jc w:val="center"/>
        </w:trPr>
        <w:tc>
          <w:tcPr>
            <w:tcW w:w="923" w:type="dxa"/>
            <w:tcBorders>
              <w:top w:val="nil"/>
              <w:left w:val="nil"/>
              <w:bottom w:val="nil"/>
              <w:right w:val="nil"/>
            </w:tcBorders>
            <w:shd w:val="clear" w:color="auto" w:fill="auto"/>
          </w:tcPr>
          <w:p w14:paraId="0C107BEC" w14:textId="77777777" w:rsidR="00CF35FB" w:rsidRPr="002973B0" w:rsidRDefault="00CF35FB" w:rsidP="00CF35FB">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6F6EB14C" w14:textId="77777777" w:rsidR="00CF35FB" w:rsidRPr="002973B0" w:rsidRDefault="00CF35FB" w:rsidP="00CF35FB">
            <w:pPr>
              <w:spacing w:line="360" w:lineRule="auto"/>
              <w:jc w:val="center"/>
              <w:rPr>
                <w:rFonts w:ascii="David" w:hAnsi="David"/>
                <w:b/>
                <w:bCs/>
                <w:sz w:val="26"/>
                <w:szCs w:val="26"/>
                <w:rtl/>
              </w:rPr>
            </w:pPr>
          </w:p>
          <w:p w14:paraId="0494A307" w14:textId="77777777" w:rsidR="00CF35FB" w:rsidRPr="002973B0" w:rsidRDefault="00CF35FB" w:rsidP="00CF35FB">
            <w:pPr>
              <w:spacing w:line="360" w:lineRule="auto"/>
              <w:jc w:val="center"/>
              <w:rPr>
                <w:rFonts w:ascii="David" w:hAnsi="David"/>
                <w:b/>
                <w:bCs/>
                <w:sz w:val="26"/>
                <w:szCs w:val="26"/>
                <w:rtl/>
              </w:rPr>
            </w:pPr>
            <w:r w:rsidRPr="002973B0">
              <w:rPr>
                <w:rFonts w:ascii="David" w:hAnsi="David"/>
                <w:b/>
                <w:bCs/>
                <w:sz w:val="26"/>
                <w:szCs w:val="26"/>
                <w:rtl/>
              </w:rPr>
              <w:t>נגד</w:t>
            </w:r>
          </w:p>
          <w:p w14:paraId="553F051B" w14:textId="77777777" w:rsidR="00CF35FB" w:rsidRPr="002973B0" w:rsidRDefault="00CF35FB" w:rsidP="00CF35FB">
            <w:pPr>
              <w:spacing w:line="360" w:lineRule="auto"/>
              <w:jc w:val="both"/>
              <w:rPr>
                <w:rFonts w:ascii="David" w:hAnsi="David"/>
                <w:sz w:val="26"/>
                <w:szCs w:val="26"/>
                <w:rtl/>
              </w:rPr>
            </w:pPr>
          </w:p>
          <w:p w14:paraId="6DB3B42C" w14:textId="77777777" w:rsidR="00CF35FB" w:rsidRPr="002973B0" w:rsidRDefault="00CF35FB" w:rsidP="00CF35FB">
            <w:pPr>
              <w:spacing w:line="360" w:lineRule="auto"/>
              <w:jc w:val="both"/>
              <w:rPr>
                <w:rFonts w:ascii="David" w:hAnsi="David"/>
                <w:sz w:val="26"/>
                <w:szCs w:val="26"/>
              </w:rPr>
            </w:pPr>
          </w:p>
        </w:tc>
      </w:tr>
      <w:tr w:rsidR="00CF35FB" w:rsidRPr="002973B0" w14:paraId="536C5B77" w14:textId="77777777" w:rsidTr="00CF35FB">
        <w:trPr>
          <w:trHeight w:val="355"/>
          <w:jc w:val="center"/>
        </w:trPr>
        <w:tc>
          <w:tcPr>
            <w:tcW w:w="923" w:type="dxa"/>
            <w:tcBorders>
              <w:top w:val="nil"/>
              <w:left w:val="nil"/>
              <w:bottom w:val="nil"/>
              <w:right w:val="nil"/>
            </w:tcBorders>
            <w:shd w:val="clear" w:color="auto" w:fill="auto"/>
          </w:tcPr>
          <w:p w14:paraId="728DDCE4" w14:textId="77777777" w:rsidR="00CF35FB" w:rsidRPr="002973B0" w:rsidRDefault="00CF35FB" w:rsidP="00CF35FB">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47600606" w14:textId="77777777" w:rsidR="00CF35FB" w:rsidRPr="002973B0" w:rsidRDefault="00CF35FB" w:rsidP="00CF35FB">
            <w:pPr>
              <w:spacing w:line="360" w:lineRule="auto"/>
              <w:rPr>
                <w:rFonts w:ascii="Arial" w:hAnsi="Arial"/>
                <w:b/>
                <w:bCs/>
                <w:sz w:val="26"/>
                <w:szCs w:val="26"/>
                <w:rtl/>
              </w:rPr>
            </w:pPr>
            <w:r w:rsidRPr="002973B0">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49D3DCEF" w14:textId="77777777" w:rsidR="00CF35FB" w:rsidRPr="002973B0" w:rsidRDefault="00CF35FB" w:rsidP="00CF35FB">
            <w:pPr>
              <w:suppressLineNumbers/>
              <w:spacing w:line="360" w:lineRule="auto"/>
              <w:rPr>
                <w:rFonts w:ascii="Arial" w:hAnsi="Arial"/>
                <w:b/>
                <w:bCs/>
                <w:sz w:val="26"/>
                <w:szCs w:val="26"/>
                <w:rtl/>
              </w:rPr>
            </w:pPr>
            <w:r w:rsidRPr="002973B0">
              <w:rPr>
                <w:rFonts w:ascii="Arial" w:hAnsi="Arial"/>
                <w:b/>
                <w:bCs/>
                <w:sz w:val="26"/>
                <w:szCs w:val="26"/>
                <w:rtl/>
              </w:rPr>
              <w:t>ולדימיר קושנר</w:t>
            </w:r>
            <w:r w:rsidRPr="002973B0">
              <w:rPr>
                <w:rFonts w:ascii="Arial" w:hAnsi="Arial" w:hint="cs"/>
                <w:b/>
                <w:bCs/>
                <w:sz w:val="26"/>
                <w:szCs w:val="26"/>
                <w:rtl/>
              </w:rPr>
              <w:t xml:space="preserve"> </w:t>
            </w:r>
          </w:p>
          <w:p w14:paraId="5FCFA4F9" w14:textId="77777777" w:rsidR="00CF35FB" w:rsidRPr="002973B0" w:rsidRDefault="00CF35FB" w:rsidP="00CF35FB">
            <w:pPr>
              <w:suppressLineNumbers/>
              <w:spacing w:line="360" w:lineRule="auto"/>
            </w:pPr>
            <w:r w:rsidRPr="002973B0">
              <w:rPr>
                <w:rFonts w:ascii="Arial" w:hAnsi="Arial"/>
                <w:rtl/>
              </w:rPr>
              <w:t>ע"י</w:t>
            </w:r>
            <w:r w:rsidRPr="002973B0">
              <w:rPr>
                <w:rFonts w:ascii="Arial" w:hAnsi="Arial"/>
                <w:b/>
                <w:bCs/>
                <w:sz w:val="26"/>
                <w:szCs w:val="26"/>
                <w:rtl/>
              </w:rPr>
              <w:t xml:space="preserve"> </w:t>
            </w:r>
            <w:r w:rsidRPr="002973B0">
              <w:rPr>
                <w:rFonts w:ascii="Arial" w:hAnsi="Arial"/>
                <w:rtl/>
              </w:rPr>
              <w:t>ב"כ עו"ד</w:t>
            </w:r>
            <w:r w:rsidRPr="002973B0">
              <w:rPr>
                <w:rFonts w:ascii="Arial" w:hAnsi="Arial" w:hint="cs"/>
                <w:rtl/>
              </w:rPr>
              <w:t xml:space="preserve"> עדן פוליטקין</w:t>
            </w:r>
          </w:p>
          <w:p w14:paraId="3BF8D0BB" w14:textId="77777777" w:rsidR="00CF35FB" w:rsidRPr="002973B0" w:rsidRDefault="00CF35FB" w:rsidP="00CF35FB">
            <w:pPr>
              <w:spacing w:line="360" w:lineRule="auto"/>
              <w:rPr>
                <w:rFonts w:ascii="David" w:hAnsi="David"/>
                <w:sz w:val="26"/>
                <w:szCs w:val="26"/>
              </w:rPr>
            </w:pPr>
          </w:p>
        </w:tc>
      </w:tr>
    </w:tbl>
    <w:p w14:paraId="7EFDD3A5" w14:textId="77777777" w:rsidR="002973B0" w:rsidRPr="002973B0" w:rsidRDefault="002973B0" w:rsidP="002973B0">
      <w:pPr>
        <w:spacing w:before="120" w:after="120" w:line="240" w:lineRule="exact"/>
        <w:ind w:left="283" w:hanging="283"/>
        <w:jc w:val="both"/>
        <w:rPr>
          <w:rFonts w:ascii="FrankRuehl" w:hAnsi="FrankRuehl" w:cs="FrankRuehl"/>
          <w:rtl/>
        </w:rPr>
      </w:pPr>
    </w:p>
    <w:p w14:paraId="6AAD64F6" w14:textId="77777777" w:rsidR="00373934" w:rsidRPr="00373934" w:rsidRDefault="00373934" w:rsidP="00373934">
      <w:pPr>
        <w:spacing w:before="120" w:after="120" w:line="240" w:lineRule="exact"/>
        <w:ind w:left="283" w:hanging="283"/>
        <w:jc w:val="both"/>
        <w:rPr>
          <w:rFonts w:ascii="FrankRuehl" w:hAnsi="FrankRuehl" w:cs="FrankRuehl"/>
          <w:rtl/>
        </w:rPr>
      </w:pPr>
      <w:bookmarkStart w:id="3" w:name="LawTable"/>
      <w:bookmarkEnd w:id="3"/>
      <w:r w:rsidRPr="00373934">
        <w:rPr>
          <w:rFonts w:ascii="FrankRuehl" w:hAnsi="FrankRuehl" w:cs="FrankRuehl"/>
          <w:rtl/>
        </w:rPr>
        <w:t xml:space="preserve">חקיקה שאוזכרה: </w:t>
      </w:r>
    </w:p>
    <w:p w14:paraId="190733AC" w14:textId="77777777" w:rsidR="00373934" w:rsidRPr="00373934" w:rsidRDefault="00373934" w:rsidP="00373934">
      <w:pPr>
        <w:spacing w:before="120" w:after="120" w:line="240" w:lineRule="exact"/>
        <w:ind w:left="283" w:hanging="283"/>
        <w:jc w:val="both"/>
        <w:rPr>
          <w:rFonts w:ascii="FrankRuehl" w:hAnsi="FrankRuehl" w:cs="FrankRuehl"/>
          <w:color w:val="0000FF"/>
          <w:rtl/>
        </w:rPr>
      </w:pPr>
      <w:hyperlink r:id="rId7" w:history="1">
        <w:r w:rsidRPr="00373934">
          <w:rPr>
            <w:rStyle w:val="Hyperlink"/>
            <w:rFonts w:ascii="FrankRuehl" w:hAnsi="FrankRuehl" w:cs="FrankRuehl"/>
            <w:u w:val="none"/>
            <w:rtl/>
          </w:rPr>
          <w:t>חוק העונשין, תשל"ז-1977</w:t>
        </w:r>
      </w:hyperlink>
      <w:r w:rsidRPr="00373934">
        <w:rPr>
          <w:rFonts w:ascii="FrankRuehl" w:hAnsi="FrankRuehl" w:cs="FrankRuehl"/>
          <w:color w:val="0000FF"/>
          <w:rtl/>
        </w:rPr>
        <w:t xml:space="preserve">: סע'  </w:t>
      </w:r>
      <w:hyperlink r:id="rId8" w:history="1">
        <w:r w:rsidRPr="00373934">
          <w:rPr>
            <w:rStyle w:val="Hyperlink"/>
            <w:rFonts w:ascii="FrankRuehl" w:hAnsi="FrankRuehl" w:cs="FrankRuehl"/>
            <w:u w:val="none"/>
          </w:rPr>
          <w:t>25</w:t>
        </w:r>
      </w:hyperlink>
      <w:r w:rsidRPr="00373934">
        <w:rPr>
          <w:rFonts w:ascii="FrankRuehl" w:hAnsi="FrankRuehl" w:cs="FrankRuehl"/>
          <w:color w:val="0000FF"/>
          <w:rtl/>
        </w:rPr>
        <w:t xml:space="preserve">, </w:t>
      </w:r>
      <w:hyperlink r:id="rId9" w:history="1">
        <w:r w:rsidRPr="00373934">
          <w:rPr>
            <w:rStyle w:val="Hyperlink"/>
            <w:rFonts w:ascii="FrankRuehl" w:hAnsi="FrankRuehl" w:cs="FrankRuehl"/>
            <w:u w:val="none"/>
          </w:rPr>
          <w:t>40</w:t>
        </w:r>
        <w:r w:rsidRPr="00373934">
          <w:rPr>
            <w:rStyle w:val="Hyperlink"/>
            <w:rFonts w:ascii="FrankRuehl" w:hAnsi="FrankRuehl" w:cs="FrankRuehl"/>
            <w:u w:val="none"/>
            <w:rtl/>
          </w:rPr>
          <w:t>ט</w:t>
        </w:r>
      </w:hyperlink>
      <w:r w:rsidRPr="00373934">
        <w:rPr>
          <w:rFonts w:ascii="FrankRuehl" w:hAnsi="FrankRuehl" w:cs="FrankRuehl"/>
          <w:color w:val="0000FF"/>
          <w:rtl/>
        </w:rPr>
        <w:t xml:space="preserve">, </w:t>
      </w:r>
      <w:hyperlink r:id="rId10" w:history="1">
        <w:r w:rsidRPr="00373934">
          <w:rPr>
            <w:rStyle w:val="Hyperlink"/>
            <w:rFonts w:ascii="FrankRuehl" w:hAnsi="FrankRuehl" w:cs="FrankRuehl"/>
            <w:u w:val="none"/>
          </w:rPr>
          <w:t>384</w:t>
        </w:r>
      </w:hyperlink>
      <w:r w:rsidRPr="00373934">
        <w:rPr>
          <w:rFonts w:ascii="FrankRuehl" w:hAnsi="FrankRuehl" w:cs="FrankRuehl"/>
          <w:color w:val="0000FF"/>
          <w:rtl/>
        </w:rPr>
        <w:t xml:space="preserve">, </w:t>
      </w:r>
      <w:hyperlink r:id="rId11" w:history="1">
        <w:r w:rsidRPr="00373934">
          <w:rPr>
            <w:rStyle w:val="Hyperlink"/>
            <w:rFonts w:ascii="FrankRuehl" w:hAnsi="FrankRuehl" w:cs="FrankRuehl"/>
            <w:u w:val="none"/>
          </w:rPr>
          <w:t>409</w:t>
        </w:r>
      </w:hyperlink>
      <w:r w:rsidRPr="00373934">
        <w:rPr>
          <w:rFonts w:ascii="FrankRuehl" w:hAnsi="FrankRuehl" w:cs="FrankRuehl"/>
          <w:color w:val="0000FF"/>
          <w:rtl/>
        </w:rPr>
        <w:t xml:space="preserve">, </w:t>
      </w:r>
      <w:hyperlink r:id="rId12" w:history="1">
        <w:r w:rsidRPr="00373934">
          <w:rPr>
            <w:rStyle w:val="Hyperlink"/>
            <w:rFonts w:ascii="FrankRuehl" w:hAnsi="FrankRuehl" w:cs="FrankRuehl"/>
            <w:u w:val="none"/>
          </w:rPr>
          <w:t>40</w:t>
        </w:r>
        <w:r w:rsidRPr="00373934">
          <w:rPr>
            <w:rStyle w:val="Hyperlink"/>
            <w:rFonts w:ascii="FrankRuehl" w:hAnsi="FrankRuehl" w:cs="FrankRuehl"/>
            <w:u w:val="none"/>
            <w:rtl/>
          </w:rPr>
          <w:t>יא</w:t>
        </w:r>
      </w:hyperlink>
      <w:r w:rsidRPr="00373934">
        <w:rPr>
          <w:rFonts w:ascii="FrankRuehl" w:hAnsi="FrankRuehl" w:cs="FrankRuehl"/>
          <w:color w:val="0000FF"/>
          <w:rtl/>
        </w:rPr>
        <w:t xml:space="preserve">, </w:t>
      </w:r>
      <w:hyperlink r:id="rId13" w:history="1">
        <w:r w:rsidRPr="00373934">
          <w:rPr>
            <w:rStyle w:val="Hyperlink"/>
            <w:rFonts w:ascii="FrankRuehl" w:hAnsi="FrankRuehl" w:cs="FrankRuehl"/>
            <w:u w:val="none"/>
          </w:rPr>
          <w:t>411</w:t>
        </w:r>
      </w:hyperlink>
      <w:r w:rsidRPr="00373934">
        <w:rPr>
          <w:rFonts w:ascii="FrankRuehl" w:hAnsi="FrankRuehl" w:cs="FrankRuehl"/>
          <w:color w:val="0000FF"/>
          <w:rtl/>
        </w:rPr>
        <w:t xml:space="preserve">, </w:t>
      </w:r>
      <w:hyperlink r:id="rId14" w:history="1">
        <w:r w:rsidRPr="00373934">
          <w:rPr>
            <w:rStyle w:val="Hyperlink"/>
            <w:rFonts w:ascii="FrankRuehl" w:hAnsi="FrankRuehl" w:cs="FrankRuehl"/>
            <w:u w:val="none"/>
          </w:rPr>
          <w:t>413</w:t>
        </w:r>
      </w:hyperlink>
      <w:r w:rsidRPr="00373934">
        <w:rPr>
          <w:rFonts w:ascii="FrankRuehl" w:hAnsi="FrankRuehl" w:cs="FrankRuehl"/>
          <w:color w:val="0000FF"/>
          <w:rtl/>
        </w:rPr>
        <w:t xml:space="preserve">, </w:t>
      </w:r>
      <w:hyperlink r:id="rId15" w:history="1">
        <w:r w:rsidRPr="00373934">
          <w:rPr>
            <w:rStyle w:val="Hyperlink"/>
            <w:rFonts w:ascii="FrankRuehl" w:hAnsi="FrankRuehl" w:cs="FrankRuehl"/>
            <w:u w:val="none"/>
          </w:rPr>
          <w:t>413</w:t>
        </w:r>
        <w:r w:rsidRPr="00373934">
          <w:rPr>
            <w:rStyle w:val="Hyperlink"/>
            <w:rFonts w:ascii="FrankRuehl" w:hAnsi="FrankRuehl" w:cs="FrankRuehl"/>
            <w:u w:val="none"/>
            <w:rtl/>
          </w:rPr>
          <w:t>י</w:t>
        </w:r>
      </w:hyperlink>
      <w:r w:rsidRPr="00373934">
        <w:rPr>
          <w:rFonts w:ascii="FrankRuehl" w:hAnsi="FrankRuehl" w:cs="FrankRuehl"/>
          <w:color w:val="0000FF"/>
          <w:rtl/>
        </w:rPr>
        <w:t xml:space="preserve">, </w:t>
      </w:r>
      <w:hyperlink r:id="rId16" w:history="1">
        <w:r w:rsidRPr="00373934">
          <w:rPr>
            <w:rStyle w:val="Hyperlink"/>
            <w:rFonts w:ascii="FrankRuehl" w:hAnsi="FrankRuehl" w:cs="FrankRuehl"/>
            <w:u w:val="none"/>
          </w:rPr>
          <w:t>447</w:t>
        </w:r>
      </w:hyperlink>
      <w:r w:rsidRPr="00373934">
        <w:rPr>
          <w:rFonts w:ascii="FrankRuehl" w:hAnsi="FrankRuehl" w:cs="FrankRuehl"/>
          <w:color w:val="0000FF"/>
          <w:rtl/>
        </w:rPr>
        <w:t>(א)</w:t>
      </w:r>
    </w:p>
    <w:p w14:paraId="4455FC17" w14:textId="77777777" w:rsidR="00373934" w:rsidRPr="00373934" w:rsidRDefault="00373934" w:rsidP="00373934">
      <w:pPr>
        <w:spacing w:before="120" w:after="120" w:line="240" w:lineRule="exact"/>
        <w:ind w:left="283" w:hanging="283"/>
        <w:jc w:val="both"/>
        <w:rPr>
          <w:rFonts w:ascii="FrankRuehl" w:hAnsi="FrankRuehl" w:cs="FrankRuehl"/>
          <w:color w:val="0000FF"/>
          <w:rtl/>
        </w:rPr>
      </w:pPr>
      <w:hyperlink r:id="rId17" w:history="1">
        <w:r w:rsidRPr="00373934">
          <w:rPr>
            <w:rStyle w:val="Hyperlink"/>
            <w:rFonts w:ascii="FrankRuehl" w:hAnsi="FrankRuehl" w:cs="FrankRuehl"/>
            <w:u w:val="none"/>
            <w:rtl/>
          </w:rPr>
          <w:t>פקודת התעבורה [נוסח חדש</w:t>
        </w:r>
        <w:r w:rsidRPr="00373934">
          <w:rPr>
            <w:rStyle w:val="Hyperlink"/>
            <w:rFonts w:ascii="FrankRuehl" w:hAnsi="FrankRuehl" w:cs="FrankRuehl"/>
            <w:u w:val="none"/>
          </w:rPr>
          <w:t>]</w:t>
        </w:r>
      </w:hyperlink>
      <w:r w:rsidRPr="00373934">
        <w:rPr>
          <w:rFonts w:ascii="FrankRuehl" w:hAnsi="FrankRuehl" w:cs="FrankRuehl"/>
          <w:color w:val="0000FF"/>
          <w:rtl/>
        </w:rPr>
        <w:t xml:space="preserve">: סע'  </w:t>
      </w:r>
      <w:hyperlink r:id="rId18" w:history="1">
        <w:r w:rsidRPr="00373934">
          <w:rPr>
            <w:rStyle w:val="Hyperlink"/>
            <w:rFonts w:ascii="FrankRuehl" w:hAnsi="FrankRuehl" w:cs="FrankRuehl"/>
            <w:u w:val="none"/>
          </w:rPr>
          <w:t>10</w:t>
        </w:r>
      </w:hyperlink>
      <w:r w:rsidRPr="00373934">
        <w:rPr>
          <w:rFonts w:ascii="FrankRuehl" w:hAnsi="FrankRuehl" w:cs="FrankRuehl"/>
          <w:color w:val="0000FF"/>
          <w:rtl/>
        </w:rPr>
        <w:t xml:space="preserve">(א), </w:t>
      </w:r>
      <w:hyperlink r:id="rId19" w:history="1">
        <w:r w:rsidRPr="00373934">
          <w:rPr>
            <w:rStyle w:val="Hyperlink"/>
            <w:rFonts w:ascii="FrankRuehl" w:hAnsi="FrankRuehl" w:cs="FrankRuehl"/>
            <w:u w:val="none"/>
          </w:rPr>
          <w:t>62</w:t>
        </w:r>
      </w:hyperlink>
      <w:r w:rsidRPr="00373934">
        <w:rPr>
          <w:rFonts w:ascii="FrankRuehl" w:hAnsi="FrankRuehl" w:cs="FrankRuehl"/>
          <w:color w:val="0000FF"/>
          <w:rtl/>
        </w:rPr>
        <w:t>(3)</w:t>
      </w:r>
    </w:p>
    <w:p w14:paraId="31B4D772" w14:textId="77777777" w:rsidR="00373934" w:rsidRPr="00373934" w:rsidRDefault="00373934" w:rsidP="00373934">
      <w:pPr>
        <w:spacing w:before="120" w:after="120" w:line="240" w:lineRule="exact"/>
        <w:ind w:left="283" w:hanging="283"/>
        <w:jc w:val="both"/>
        <w:rPr>
          <w:rFonts w:ascii="FrankRuehl" w:hAnsi="FrankRuehl" w:cs="FrankRuehl"/>
          <w:color w:val="0000FF"/>
          <w:rtl/>
        </w:rPr>
      </w:pPr>
      <w:hyperlink r:id="rId20" w:history="1">
        <w:r w:rsidRPr="00373934">
          <w:rPr>
            <w:rStyle w:val="Hyperlink"/>
            <w:rFonts w:ascii="FrankRuehl" w:hAnsi="FrankRuehl" w:cs="FrankRuehl"/>
            <w:u w:val="none"/>
            <w:rtl/>
          </w:rPr>
          <w:t>תקנות התעבורה, תשכ"א-1961 - לא מרובדות</w:t>
        </w:r>
      </w:hyperlink>
      <w:r w:rsidRPr="00373934">
        <w:rPr>
          <w:rFonts w:ascii="FrankRuehl" w:hAnsi="FrankRuehl" w:cs="FrankRuehl"/>
          <w:color w:val="0000FF"/>
          <w:rtl/>
        </w:rPr>
        <w:t xml:space="preserve">: סע'  </w:t>
      </w:r>
      <w:hyperlink r:id="rId21" w:history="1">
        <w:r w:rsidRPr="00373934">
          <w:rPr>
            <w:rStyle w:val="Hyperlink"/>
            <w:rFonts w:ascii="FrankRuehl" w:hAnsi="FrankRuehl" w:cs="FrankRuehl"/>
            <w:u w:val="none"/>
          </w:rPr>
          <w:t>21</w:t>
        </w:r>
      </w:hyperlink>
      <w:r w:rsidRPr="00373934">
        <w:rPr>
          <w:rFonts w:ascii="FrankRuehl" w:hAnsi="FrankRuehl" w:cs="FrankRuehl"/>
          <w:color w:val="0000FF"/>
          <w:rtl/>
        </w:rPr>
        <w:t xml:space="preserve">(ב)(2), </w:t>
      </w:r>
      <w:hyperlink r:id="rId22" w:history="1">
        <w:r w:rsidRPr="00373934">
          <w:rPr>
            <w:rStyle w:val="Hyperlink"/>
            <w:rFonts w:ascii="FrankRuehl" w:hAnsi="FrankRuehl" w:cs="FrankRuehl"/>
            <w:u w:val="none"/>
          </w:rPr>
          <w:t>144</w:t>
        </w:r>
      </w:hyperlink>
      <w:r w:rsidRPr="00373934">
        <w:rPr>
          <w:rFonts w:ascii="FrankRuehl" w:hAnsi="FrankRuehl" w:cs="FrankRuehl"/>
          <w:color w:val="0000FF"/>
          <w:rtl/>
        </w:rPr>
        <w:t>(א)(2)</w:t>
      </w:r>
    </w:p>
    <w:p w14:paraId="01BA0922" w14:textId="77777777" w:rsidR="00CF35FB" w:rsidRPr="00373934" w:rsidRDefault="00CF35FB" w:rsidP="00373934">
      <w:pPr>
        <w:spacing w:line="360" w:lineRule="auto"/>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F35FB" w14:paraId="7FD7628C" w14:textId="77777777" w:rsidTr="00CF35FB">
        <w:trPr>
          <w:trHeight w:val="355"/>
          <w:jc w:val="center"/>
        </w:trPr>
        <w:tc>
          <w:tcPr>
            <w:tcW w:w="8820" w:type="dxa"/>
            <w:tcBorders>
              <w:top w:val="nil"/>
              <w:left w:val="nil"/>
              <w:bottom w:val="nil"/>
              <w:right w:val="nil"/>
            </w:tcBorders>
            <w:shd w:val="clear" w:color="auto" w:fill="auto"/>
          </w:tcPr>
          <w:p w14:paraId="58FD1339" w14:textId="77777777" w:rsidR="00CF35FB" w:rsidRPr="002973B0" w:rsidRDefault="002973B0" w:rsidP="002973B0">
            <w:pPr>
              <w:spacing w:after="120" w:line="360" w:lineRule="auto"/>
              <w:jc w:val="center"/>
              <w:rPr>
                <w:rFonts w:ascii="David" w:hAnsi="David"/>
                <w:bCs/>
                <w:sz w:val="36"/>
                <w:szCs w:val="36"/>
                <w:u w:val="single"/>
                <w:rtl/>
              </w:rPr>
            </w:pPr>
            <w:bookmarkStart w:id="5" w:name="PsakDin" w:colFirst="0" w:colLast="0"/>
            <w:bookmarkEnd w:id="0"/>
            <w:r w:rsidRPr="002973B0">
              <w:rPr>
                <w:rFonts w:ascii="David" w:hAnsi="David"/>
                <w:b/>
                <w:bCs/>
                <w:sz w:val="36"/>
                <w:szCs w:val="36"/>
                <w:u w:val="single"/>
                <w:rtl/>
              </w:rPr>
              <w:t>גזר דין</w:t>
            </w:r>
          </w:p>
        </w:tc>
      </w:tr>
    </w:tbl>
    <w:bookmarkEnd w:id="5"/>
    <w:p w14:paraId="04EC9AD6" w14:textId="77777777" w:rsidR="00CF35FB" w:rsidRDefault="00CF35FB" w:rsidP="00CF35FB">
      <w:pPr>
        <w:numPr>
          <w:ilvl w:val="0"/>
          <w:numId w:val="1"/>
        </w:numPr>
        <w:spacing w:after="120" w:line="360" w:lineRule="auto"/>
        <w:ind w:left="368"/>
        <w:jc w:val="both"/>
        <w:rPr>
          <w:rFonts w:ascii="Tahoma" w:hAnsi="Tahoma"/>
          <w:b/>
          <w:bCs/>
          <w:u w:val="single"/>
          <w:rtl/>
        </w:rPr>
      </w:pPr>
      <w:r>
        <w:rPr>
          <w:rFonts w:ascii="Tahoma" w:hAnsi="Tahoma"/>
          <w:b/>
          <w:bCs/>
          <w:u w:val="single"/>
          <w:rtl/>
        </w:rPr>
        <w:t>רקע כללי:</w:t>
      </w:r>
    </w:p>
    <w:p w14:paraId="03FCAE88" w14:textId="77777777" w:rsidR="00CF35FB" w:rsidRDefault="00CF35FB" w:rsidP="00CF35FB">
      <w:pPr>
        <w:numPr>
          <w:ilvl w:val="0"/>
          <w:numId w:val="2"/>
        </w:numPr>
        <w:spacing w:after="120" w:line="360" w:lineRule="auto"/>
        <w:ind w:left="360"/>
        <w:jc w:val="both"/>
        <w:rPr>
          <w:rFonts w:ascii="Tahoma" w:hAnsi="Tahoma"/>
        </w:rPr>
      </w:pPr>
      <w:bookmarkStart w:id="6" w:name="ABSTRACT_START"/>
      <w:bookmarkEnd w:id="6"/>
      <w:r>
        <w:rPr>
          <w:rFonts w:ascii="David" w:hAnsi="David"/>
          <w:rtl/>
        </w:rPr>
        <w:t>הנאשם הורשע – על יסוד הודאתו שניתנה במסגרת הסדר טיעון דיוני –</w:t>
      </w:r>
      <w:r>
        <w:rPr>
          <w:rFonts w:ascii="Tahoma" w:hAnsi="Tahoma"/>
          <w:rtl/>
        </w:rPr>
        <w:t xml:space="preserve"> בביצוע שרשרת של עבירות רכוש ועבירות נלוות. מדובר בהסדר טיעון דיוני בהיקף משמעותי, הכולל </w:t>
      </w:r>
      <w:r>
        <w:rPr>
          <w:rFonts w:ascii="Tahoma" w:hAnsi="Tahoma" w:hint="cs"/>
          <w:rtl/>
        </w:rPr>
        <w:t xml:space="preserve">הן </w:t>
      </w:r>
      <w:r>
        <w:rPr>
          <w:rFonts w:ascii="Tahoma" w:hAnsi="Tahoma"/>
          <w:rtl/>
        </w:rPr>
        <w:t>את התיק שבכותרת (להלן – התיק העיקרי) ו</w:t>
      </w:r>
      <w:r>
        <w:rPr>
          <w:rFonts w:ascii="Tahoma" w:hAnsi="Tahoma" w:hint="cs"/>
          <w:rtl/>
        </w:rPr>
        <w:t>ה</w:t>
      </w:r>
      <w:r>
        <w:rPr>
          <w:rFonts w:ascii="Tahoma" w:hAnsi="Tahoma"/>
          <w:rtl/>
        </w:rPr>
        <w:t>ן חמישה תיקים נוספים, שצורפו</w:t>
      </w:r>
      <w:r>
        <w:rPr>
          <w:rFonts w:ascii="Tahoma" w:hAnsi="Tahoma" w:hint="cs"/>
          <w:rtl/>
        </w:rPr>
        <w:t xml:space="preserve"> על ידי הנאשם</w:t>
      </w:r>
      <w:r>
        <w:rPr>
          <w:rFonts w:ascii="Tahoma" w:hAnsi="Tahoma"/>
          <w:rtl/>
        </w:rPr>
        <w:t xml:space="preserve">. במסגרת הסדר הטיעון הדיוני תוקן כתב האישום בתיק </w:t>
      </w:r>
      <w:r>
        <w:rPr>
          <w:rFonts w:ascii="Tahoma" w:hAnsi="Tahoma" w:hint="cs"/>
          <w:rtl/>
        </w:rPr>
        <w:t>העיקרי</w:t>
      </w:r>
      <w:r>
        <w:rPr>
          <w:rFonts w:ascii="Tahoma" w:hAnsi="Tahoma"/>
          <w:rtl/>
        </w:rPr>
        <w:t xml:space="preserve"> וכן תוקנו כתבי האישום במרבית התיקים המצורפים.</w:t>
      </w:r>
    </w:p>
    <w:p w14:paraId="0FC04005" w14:textId="77777777" w:rsidR="00CF35FB" w:rsidRPr="00E01BC7" w:rsidRDefault="00CF35FB" w:rsidP="00CF35FB">
      <w:pPr>
        <w:numPr>
          <w:ilvl w:val="0"/>
          <w:numId w:val="2"/>
        </w:numPr>
        <w:spacing w:after="120" w:line="360" w:lineRule="auto"/>
        <w:ind w:left="360"/>
        <w:jc w:val="both"/>
        <w:rPr>
          <w:rFonts w:ascii="Tahoma" w:hAnsi="Tahoma"/>
        </w:rPr>
      </w:pPr>
      <w:bookmarkStart w:id="7" w:name="ABSTRACT_END"/>
      <w:bookmarkEnd w:id="7"/>
      <w:r w:rsidRPr="00E01BC7">
        <w:rPr>
          <w:rFonts w:ascii="Tahoma" w:hAnsi="Tahoma"/>
          <w:rtl/>
        </w:rPr>
        <w:lastRenderedPageBreak/>
        <w:t>בכתבי האישום בתיק שבכותרת ובתיקים המצורפים –</w:t>
      </w:r>
      <w:r w:rsidRPr="00E01BC7">
        <w:rPr>
          <w:rFonts w:ascii="Tahoma" w:hAnsi="Tahoma" w:hint="cs"/>
          <w:rtl/>
        </w:rPr>
        <w:t xml:space="preserve"> כנוסחם דהיום </w:t>
      </w:r>
      <w:r w:rsidRPr="00E01BC7">
        <w:rPr>
          <w:rFonts w:ascii="Tahoma" w:hAnsi="Tahoma"/>
          <w:rtl/>
        </w:rPr>
        <w:t>–</w:t>
      </w:r>
      <w:r w:rsidRPr="00E01BC7">
        <w:rPr>
          <w:rFonts w:ascii="Tahoma" w:hAnsi="Tahoma" w:hint="cs"/>
          <w:rtl/>
        </w:rPr>
        <w:t xml:space="preserve"> </w:t>
      </w:r>
      <w:r w:rsidRPr="00E01BC7">
        <w:rPr>
          <w:rFonts w:ascii="Tahoma" w:hAnsi="Tahoma"/>
          <w:rtl/>
        </w:rPr>
        <w:t>נטען, בתמצית ובעיקרי הדברים, כלהלן:</w:t>
      </w:r>
    </w:p>
    <w:p w14:paraId="5D64C486" w14:textId="77777777" w:rsidR="00CF35FB" w:rsidRDefault="00CF35FB" w:rsidP="00CF35FB">
      <w:pPr>
        <w:spacing w:after="120" w:line="360" w:lineRule="auto"/>
        <w:ind w:left="360"/>
        <w:jc w:val="both"/>
        <w:rPr>
          <w:rFonts w:ascii="Tahoma" w:hAnsi="Tahoma"/>
        </w:rPr>
      </w:pPr>
      <w:r>
        <w:rPr>
          <w:rFonts w:ascii="Tahoma" w:hAnsi="Tahoma"/>
          <w:b/>
          <w:bCs/>
          <w:u w:val="single"/>
          <w:rtl/>
        </w:rPr>
        <w:t>בתיק העיקרי</w:t>
      </w:r>
      <w:r>
        <w:rPr>
          <w:rFonts w:ascii="Tahoma" w:hAnsi="Tahoma"/>
          <w:rtl/>
        </w:rPr>
        <w:t xml:space="preserve"> – </w:t>
      </w:r>
    </w:p>
    <w:p w14:paraId="7DD4382B" w14:textId="77777777" w:rsidR="00CF35FB" w:rsidRDefault="00CF35FB" w:rsidP="00CF35FB">
      <w:pPr>
        <w:spacing w:after="120" w:line="360" w:lineRule="auto"/>
        <w:ind w:left="360"/>
        <w:jc w:val="both"/>
        <w:rPr>
          <w:rFonts w:ascii="Tahoma" w:hAnsi="Tahoma"/>
          <w:u w:val="single"/>
        </w:rPr>
      </w:pPr>
      <w:r>
        <w:rPr>
          <w:rFonts w:ascii="Tahoma" w:hAnsi="Tahoma"/>
          <w:u w:val="single"/>
          <w:rtl/>
        </w:rPr>
        <w:t>העובדות:</w:t>
      </w:r>
    </w:p>
    <w:p w14:paraId="517BD49D" w14:textId="77777777" w:rsidR="00CF35FB" w:rsidRDefault="00CF35FB" w:rsidP="00CF35FB">
      <w:pPr>
        <w:spacing w:after="120" w:line="360" w:lineRule="auto"/>
        <w:ind w:left="360"/>
        <w:jc w:val="both"/>
        <w:rPr>
          <w:rFonts w:ascii="Tahoma" w:hAnsi="Tahoma"/>
        </w:rPr>
      </w:pPr>
      <w:r>
        <w:rPr>
          <w:rFonts w:ascii="Tahoma" w:hAnsi="Tahoma"/>
          <w:rtl/>
        </w:rPr>
        <w:t xml:space="preserve">אישום 1 – </w:t>
      </w:r>
    </w:p>
    <w:p w14:paraId="169862C7" w14:textId="77777777" w:rsidR="00CF35FB" w:rsidRDefault="00CF35FB" w:rsidP="00CF35FB">
      <w:pPr>
        <w:spacing w:after="120" w:line="360" w:lineRule="auto"/>
        <w:ind w:left="360"/>
        <w:jc w:val="both"/>
        <w:rPr>
          <w:rFonts w:ascii="Tahoma" w:hAnsi="Tahoma"/>
          <w:rtl/>
        </w:rPr>
      </w:pPr>
      <w:r>
        <w:rPr>
          <w:rFonts w:ascii="Tahoma" w:hAnsi="Tahoma"/>
          <w:rtl/>
        </w:rPr>
        <w:t>ביום 27.12.2022 בשעה 14:00 או בסמוך לכך, נכנס הנאשם לחצר בניין ברחוב נורדאו בתל אביב. במקום היו שני זוגות אופניים של המתלונן באישום זה, שחוברו לוו המקובע לאדמה. הנאשם נטל זוג אופניים אחד, כאשר הגלגל הקדמי שלו נותר מחובר לנעילה, ובמקומו חיבר את הגלגל הקדמי מזוג האופניים השני; ועזב את המקום. הרכוש הושב למתלונן.</w:t>
      </w:r>
    </w:p>
    <w:p w14:paraId="6F123AAA" w14:textId="77777777" w:rsidR="00CF35FB" w:rsidRDefault="00CF35FB" w:rsidP="00CF35FB">
      <w:pPr>
        <w:spacing w:after="120" w:line="360" w:lineRule="auto"/>
        <w:ind w:left="360"/>
        <w:jc w:val="both"/>
        <w:rPr>
          <w:rFonts w:ascii="Tahoma" w:hAnsi="Tahoma"/>
          <w:rtl/>
        </w:rPr>
      </w:pPr>
      <w:r>
        <w:rPr>
          <w:rFonts w:ascii="Tahoma" w:hAnsi="Tahoma"/>
          <w:rtl/>
        </w:rPr>
        <w:t xml:space="preserve">אישום 2 – </w:t>
      </w:r>
    </w:p>
    <w:p w14:paraId="29618BD0" w14:textId="77777777" w:rsidR="00CF35FB" w:rsidRDefault="00CF35FB" w:rsidP="00CF35FB">
      <w:pPr>
        <w:spacing w:after="120" w:line="360" w:lineRule="auto"/>
        <w:ind w:left="360"/>
        <w:jc w:val="both"/>
        <w:rPr>
          <w:rFonts w:ascii="Tahoma" w:hAnsi="Tahoma"/>
          <w:rtl/>
        </w:rPr>
      </w:pPr>
      <w:r>
        <w:rPr>
          <w:rFonts w:ascii="Tahoma" w:hAnsi="Tahoma"/>
          <w:rtl/>
        </w:rPr>
        <w:t>ביום 18.05.2023 בשעה 00:19 או בסמוך לכך, ברחוב דיזינגוף בתל אביב, החזיק הנאשם בשני מכפתים, שהם כלי פריצה, ללא הסבר סביר לכך.</w:t>
      </w:r>
    </w:p>
    <w:p w14:paraId="1E3D6E60" w14:textId="77777777" w:rsidR="00CF35FB" w:rsidRDefault="00CF35FB" w:rsidP="00CF35FB">
      <w:pPr>
        <w:spacing w:after="120" w:line="360" w:lineRule="auto"/>
        <w:ind w:left="360"/>
        <w:jc w:val="both"/>
        <w:rPr>
          <w:rFonts w:ascii="Tahoma" w:hAnsi="Tahoma"/>
          <w:u w:val="single"/>
        </w:rPr>
      </w:pPr>
      <w:r>
        <w:rPr>
          <w:rFonts w:ascii="Tahoma" w:hAnsi="Tahoma"/>
          <w:u w:val="single"/>
          <w:rtl/>
        </w:rPr>
        <w:t>הוראות החיקוק:</w:t>
      </w:r>
    </w:p>
    <w:p w14:paraId="35C01B1D" w14:textId="77777777" w:rsidR="00CF35FB" w:rsidRDefault="00CF35FB" w:rsidP="00CF35FB">
      <w:pPr>
        <w:spacing w:after="120" w:line="360" w:lineRule="auto"/>
        <w:ind w:left="360"/>
        <w:jc w:val="both"/>
        <w:rPr>
          <w:rFonts w:ascii="Tahoma" w:hAnsi="Tahoma"/>
        </w:rPr>
      </w:pPr>
      <w:r>
        <w:rPr>
          <w:rFonts w:ascii="Tahoma" w:hAnsi="Tahoma"/>
          <w:rtl/>
        </w:rPr>
        <w:t xml:space="preserve">אישום 1 – </w:t>
      </w:r>
      <w:r>
        <w:rPr>
          <w:rFonts w:ascii="Tahoma" w:hAnsi="Tahoma"/>
          <w:b/>
          <w:bCs/>
          <w:rtl/>
        </w:rPr>
        <w:t>גניבה</w:t>
      </w:r>
      <w:r>
        <w:rPr>
          <w:rFonts w:ascii="Tahoma" w:hAnsi="Tahoma"/>
          <w:rtl/>
        </w:rPr>
        <w:t xml:space="preserve">, עבירה לפי הוראות </w:t>
      </w:r>
      <w:hyperlink r:id="rId23" w:history="1">
        <w:r w:rsidR="00373934" w:rsidRPr="00373934">
          <w:rPr>
            <w:rStyle w:val="Hyperlink"/>
            <w:rFonts w:ascii="Tahoma" w:hAnsi="Tahoma"/>
            <w:color w:val="0000FF"/>
            <w:rtl/>
          </w:rPr>
          <w:t>סעיף 384</w:t>
        </w:r>
      </w:hyperlink>
      <w:r>
        <w:rPr>
          <w:rFonts w:ascii="Tahoma" w:hAnsi="Tahoma"/>
          <w:rtl/>
        </w:rPr>
        <w:t xml:space="preserve"> ל</w:t>
      </w:r>
      <w:hyperlink r:id="rId24" w:history="1">
        <w:r w:rsidR="002973B0" w:rsidRPr="002973B0">
          <w:rPr>
            <w:rFonts w:ascii="Tahoma" w:hAnsi="Tahoma"/>
            <w:color w:val="0000FF"/>
            <w:u w:val="single"/>
            <w:rtl/>
          </w:rPr>
          <w:t>חוק העונשין</w:t>
        </w:r>
      </w:hyperlink>
      <w:r>
        <w:rPr>
          <w:rFonts w:ascii="Tahoma" w:hAnsi="Tahoma"/>
          <w:rtl/>
        </w:rPr>
        <w:t xml:space="preserve"> תשל"ז-1977 (להלן – חוק העונשין); אישום 2 –</w:t>
      </w:r>
      <w:r>
        <w:rPr>
          <w:rFonts w:ascii="Tahoma" w:hAnsi="Tahoma"/>
          <w:b/>
          <w:bCs/>
          <w:rtl/>
        </w:rPr>
        <w:t xml:space="preserve"> החזקת מכשירי פריצה</w:t>
      </w:r>
      <w:r>
        <w:rPr>
          <w:rFonts w:ascii="Tahoma" w:hAnsi="Tahoma"/>
          <w:rtl/>
        </w:rPr>
        <w:t xml:space="preserve">, עבירה לפי הוראות </w:t>
      </w:r>
      <w:hyperlink r:id="rId25" w:history="1">
        <w:r w:rsidR="00373934" w:rsidRPr="00373934">
          <w:rPr>
            <w:rStyle w:val="Hyperlink"/>
            <w:rFonts w:ascii="Tahoma" w:hAnsi="Tahoma"/>
            <w:color w:val="0000FF"/>
            <w:rtl/>
          </w:rPr>
          <w:t>סעיף 409</w:t>
        </w:r>
      </w:hyperlink>
      <w:r>
        <w:rPr>
          <w:rFonts w:ascii="Tahoma" w:hAnsi="Tahoma"/>
          <w:rtl/>
        </w:rPr>
        <w:t xml:space="preserve"> לחוק העונשין.</w:t>
      </w:r>
    </w:p>
    <w:p w14:paraId="25DCF0E4" w14:textId="77777777" w:rsidR="00CF35FB" w:rsidRDefault="00CF35FB" w:rsidP="00CF35FB">
      <w:pPr>
        <w:spacing w:after="120" w:line="360" w:lineRule="auto"/>
        <w:ind w:left="360"/>
        <w:jc w:val="both"/>
        <w:rPr>
          <w:rFonts w:ascii="Tahoma" w:hAnsi="Tahoma"/>
          <w:rtl/>
        </w:rPr>
      </w:pPr>
      <w:r>
        <w:rPr>
          <w:rFonts w:ascii="Tahoma" w:hAnsi="Tahoma"/>
          <w:b/>
          <w:bCs/>
          <w:u w:val="single"/>
          <w:rtl/>
        </w:rPr>
        <w:t xml:space="preserve">בתיק המצורף </w:t>
      </w:r>
      <w:hyperlink r:id="rId26" w:history="1">
        <w:r w:rsidR="002973B0" w:rsidRPr="002973B0">
          <w:rPr>
            <w:rFonts w:ascii="Tahoma" w:hAnsi="Tahoma"/>
            <w:b/>
            <w:bCs/>
            <w:color w:val="0000FF"/>
            <w:u w:val="single"/>
            <w:rtl/>
          </w:rPr>
          <w:t>ת"פ (שלום ת"א) 16791-07-22</w:t>
        </w:r>
      </w:hyperlink>
      <w:r>
        <w:rPr>
          <w:rFonts w:ascii="Tahoma" w:hAnsi="Tahoma"/>
          <w:b/>
          <w:bCs/>
          <w:rtl/>
        </w:rPr>
        <w:t xml:space="preserve"> – </w:t>
      </w:r>
    </w:p>
    <w:p w14:paraId="28122E00" w14:textId="77777777" w:rsidR="00CF35FB" w:rsidRDefault="00CF35FB" w:rsidP="00CF35FB">
      <w:pPr>
        <w:spacing w:after="120" w:line="360" w:lineRule="auto"/>
        <w:ind w:left="360"/>
        <w:jc w:val="both"/>
        <w:rPr>
          <w:rFonts w:ascii="Tahoma" w:hAnsi="Tahoma"/>
          <w:u w:val="single"/>
        </w:rPr>
      </w:pPr>
      <w:r>
        <w:rPr>
          <w:rFonts w:ascii="Tahoma" w:hAnsi="Tahoma"/>
          <w:u w:val="single"/>
          <w:rtl/>
        </w:rPr>
        <w:t>העובדות:</w:t>
      </w:r>
    </w:p>
    <w:p w14:paraId="5C7B814D" w14:textId="77777777" w:rsidR="00CF35FB" w:rsidRDefault="00CF35FB" w:rsidP="00CF35FB">
      <w:pPr>
        <w:spacing w:after="120" w:line="360" w:lineRule="auto"/>
        <w:ind w:left="360"/>
        <w:jc w:val="both"/>
        <w:rPr>
          <w:rFonts w:ascii="Tahoma" w:hAnsi="Tahoma"/>
        </w:rPr>
      </w:pPr>
      <w:r>
        <w:rPr>
          <w:rFonts w:ascii="Tahoma" w:hAnsi="Tahoma"/>
          <w:rtl/>
        </w:rPr>
        <w:t>ביום 05.07.2022, בשעה 04:10 או בסמוך לכך, נכנס הנאשם למסעדת "טימוטי". הנאשם נטל מתוך המקררים של המסעדה עשר חבילות של סלמון מעושן וקרטון חלב, בשווי כולל של מאות ₪. שוטרים</w:t>
      </w:r>
      <w:r>
        <w:rPr>
          <w:rFonts w:ascii="Tahoma" w:hAnsi="Tahoma" w:hint="cs"/>
          <w:rtl/>
        </w:rPr>
        <w:t>,</w:t>
      </w:r>
      <w:r>
        <w:rPr>
          <w:rFonts w:ascii="Tahoma" w:hAnsi="Tahoma"/>
          <w:rtl/>
        </w:rPr>
        <w:t xml:space="preserve"> שהבחינו במעשיו של הנאשם</w:t>
      </w:r>
      <w:r>
        <w:rPr>
          <w:rFonts w:ascii="Tahoma" w:hAnsi="Tahoma" w:hint="cs"/>
          <w:rtl/>
        </w:rPr>
        <w:t>,</w:t>
      </w:r>
      <w:r>
        <w:rPr>
          <w:rFonts w:ascii="Tahoma" w:hAnsi="Tahoma"/>
          <w:rtl/>
        </w:rPr>
        <w:t xml:space="preserve"> עצרו אותו בכף כשברשותו קורקינט אשר קיים לגביו חשד סביר שהוא גנוב.</w:t>
      </w:r>
    </w:p>
    <w:p w14:paraId="091C55DF" w14:textId="77777777" w:rsidR="00CF35FB" w:rsidRDefault="00CF35FB" w:rsidP="00CF35FB">
      <w:pPr>
        <w:spacing w:after="120" w:line="360" w:lineRule="auto"/>
        <w:ind w:left="360"/>
        <w:jc w:val="both"/>
        <w:rPr>
          <w:rFonts w:ascii="Tahoma" w:hAnsi="Tahoma"/>
          <w:u w:val="single"/>
          <w:rtl/>
        </w:rPr>
      </w:pPr>
      <w:r>
        <w:rPr>
          <w:rFonts w:ascii="Tahoma" w:hAnsi="Tahoma"/>
          <w:u w:val="single"/>
          <w:rtl/>
        </w:rPr>
        <w:t>הוראות החיקוק:</w:t>
      </w:r>
    </w:p>
    <w:p w14:paraId="1F16F8E5" w14:textId="77777777" w:rsidR="00CF35FB" w:rsidRDefault="00CF35FB" w:rsidP="00CF35FB">
      <w:pPr>
        <w:spacing w:after="120" w:line="360" w:lineRule="auto"/>
        <w:ind w:left="360"/>
        <w:jc w:val="both"/>
        <w:rPr>
          <w:rFonts w:ascii="Tahoma" w:hAnsi="Tahoma"/>
        </w:rPr>
      </w:pPr>
      <w:r>
        <w:rPr>
          <w:rFonts w:ascii="Tahoma" w:hAnsi="Tahoma"/>
          <w:b/>
          <w:bCs/>
          <w:rtl/>
        </w:rPr>
        <w:t>הסגת גבול</w:t>
      </w:r>
      <w:r>
        <w:rPr>
          <w:rFonts w:ascii="Tahoma" w:hAnsi="Tahoma"/>
          <w:rtl/>
        </w:rPr>
        <w:t xml:space="preserve">, עבירה לפי הוראות </w:t>
      </w:r>
      <w:hyperlink r:id="rId27" w:history="1">
        <w:r w:rsidR="00373934" w:rsidRPr="00373934">
          <w:rPr>
            <w:rStyle w:val="Hyperlink"/>
            <w:rFonts w:ascii="Tahoma" w:hAnsi="Tahoma"/>
            <w:color w:val="0000FF"/>
            <w:rtl/>
          </w:rPr>
          <w:t>סעיף 447(א)</w:t>
        </w:r>
      </w:hyperlink>
      <w:r>
        <w:rPr>
          <w:rFonts w:ascii="Tahoma" w:hAnsi="Tahoma"/>
          <w:rtl/>
        </w:rPr>
        <w:t xml:space="preserve"> ל</w:t>
      </w:r>
      <w:hyperlink r:id="rId28" w:history="1">
        <w:r w:rsidR="002973B0" w:rsidRPr="002973B0">
          <w:rPr>
            <w:rFonts w:ascii="Tahoma" w:hAnsi="Tahoma"/>
            <w:color w:val="0000FF"/>
            <w:u w:val="single"/>
            <w:rtl/>
          </w:rPr>
          <w:t>חוק העונשין</w:t>
        </w:r>
      </w:hyperlink>
      <w:r>
        <w:rPr>
          <w:rFonts w:ascii="Tahoma" w:hAnsi="Tahoma"/>
          <w:rtl/>
        </w:rPr>
        <w:t xml:space="preserve">; </w:t>
      </w:r>
      <w:r>
        <w:rPr>
          <w:rFonts w:ascii="Tahoma" w:hAnsi="Tahoma"/>
          <w:b/>
          <w:bCs/>
          <w:rtl/>
        </w:rPr>
        <w:t>גניבה</w:t>
      </w:r>
      <w:r>
        <w:rPr>
          <w:rFonts w:ascii="Tahoma" w:hAnsi="Tahoma"/>
          <w:rtl/>
        </w:rPr>
        <w:t xml:space="preserve">, עבירה לפי הוראות </w:t>
      </w:r>
      <w:hyperlink r:id="rId29" w:history="1">
        <w:r w:rsidR="00373934" w:rsidRPr="00373934">
          <w:rPr>
            <w:rStyle w:val="Hyperlink"/>
            <w:rFonts w:ascii="Tahoma" w:hAnsi="Tahoma"/>
            <w:color w:val="0000FF"/>
            <w:rtl/>
          </w:rPr>
          <w:t>סעיף 384</w:t>
        </w:r>
      </w:hyperlink>
      <w:r>
        <w:rPr>
          <w:rFonts w:ascii="Tahoma" w:hAnsi="Tahoma"/>
          <w:rtl/>
        </w:rPr>
        <w:t xml:space="preserve"> לחוק העונשין; </w:t>
      </w:r>
      <w:r>
        <w:rPr>
          <w:rFonts w:ascii="Tahoma" w:hAnsi="Tahoma"/>
          <w:b/>
          <w:bCs/>
          <w:rtl/>
        </w:rPr>
        <w:t>החזקת נכס חשוד כגנוב</w:t>
      </w:r>
      <w:r>
        <w:rPr>
          <w:rFonts w:ascii="Tahoma" w:hAnsi="Tahoma"/>
          <w:rtl/>
        </w:rPr>
        <w:t xml:space="preserve">, עבירה לפי הוראות </w:t>
      </w:r>
      <w:hyperlink r:id="rId30" w:history="1">
        <w:r w:rsidR="00373934" w:rsidRPr="00373934">
          <w:rPr>
            <w:rStyle w:val="Hyperlink"/>
            <w:rFonts w:ascii="Tahoma" w:hAnsi="Tahoma"/>
            <w:color w:val="0000FF"/>
            <w:rtl/>
          </w:rPr>
          <w:t>סעיף 413</w:t>
        </w:r>
      </w:hyperlink>
      <w:r>
        <w:rPr>
          <w:rFonts w:ascii="Tahoma" w:hAnsi="Tahoma"/>
          <w:rtl/>
        </w:rPr>
        <w:t xml:space="preserve"> לחוק העונשין.</w:t>
      </w:r>
    </w:p>
    <w:p w14:paraId="4F573B76" w14:textId="77777777" w:rsidR="00CF35FB" w:rsidRDefault="00CF35FB" w:rsidP="00CF35FB">
      <w:pPr>
        <w:spacing w:after="120" w:line="360" w:lineRule="auto"/>
        <w:ind w:left="360"/>
        <w:jc w:val="both"/>
        <w:rPr>
          <w:rFonts w:ascii="Tahoma" w:hAnsi="Tahoma"/>
          <w:b/>
          <w:bCs/>
          <w:rtl/>
        </w:rPr>
      </w:pPr>
      <w:r>
        <w:rPr>
          <w:rFonts w:ascii="Tahoma" w:hAnsi="Tahoma"/>
          <w:b/>
          <w:bCs/>
          <w:u w:val="single"/>
          <w:rtl/>
        </w:rPr>
        <w:t xml:space="preserve">בתיק המצורף </w:t>
      </w:r>
      <w:hyperlink r:id="rId31" w:history="1">
        <w:r w:rsidR="002973B0" w:rsidRPr="002973B0">
          <w:rPr>
            <w:rFonts w:ascii="Tahoma" w:hAnsi="Tahoma"/>
            <w:b/>
            <w:bCs/>
            <w:color w:val="0000FF"/>
            <w:u w:val="single"/>
            <w:rtl/>
          </w:rPr>
          <w:t>ת"פ (שלום ת"א) 45170-02-22</w:t>
        </w:r>
      </w:hyperlink>
      <w:r>
        <w:rPr>
          <w:rFonts w:ascii="Tahoma" w:hAnsi="Tahoma"/>
          <w:b/>
          <w:bCs/>
          <w:rtl/>
        </w:rPr>
        <w:t xml:space="preserve"> – </w:t>
      </w:r>
    </w:p>
    <w:p w14:paraId="609108A3" w14:textId="77777777" w:rsidR="00CF35FB" w:rsidRDefault="00CF35FB" w:rsidP="00CF35FB">
      <w:pPr>
        <w:spacing w:after="120" w:line="360" w:lineRule="auto"/>
        <w:ind w:left="360"/>
        <w:jc w:val="both"/>
        <w:rPr>
          <w:rFonts w:ascii="Tahoma" w:hAnsi="Tahoma"/>
          <w:u w:val="single"/>
          <w:rtl/>
        </w:rPr>
      </w:pPr>
      <w:r>
        <w:rPr>
          <w:rFonts w:ascii="Tahoma" w:hAnsi="Tahoma"/>
          <w:u w:val="single"/>
          <w:rtl/>
        </w:rPr>
        <w:t>העובדות:</w:t>
      </w:r>
    </w:p>
    <w:p w14:paraId="37054F33" w14:textId="77777777" w:rsidR="00CF35FB" w:rsidRDefault="00CF35FB" w:rsidP="00CF35FB">
      <w:pPr>
        <w:spacing w:after="120" w:line="360" w:lineRule="auto"/>
        <w:ind w:left="360"/>
        <w:jc w:val="both"/>
        <w:rPr>
          <w:rFonts w:ascii="Tahoma" w:hAnsi="Tahoma"/>
        </w:rPr>
      </w:pPr>
      <w:r>
        <w:rPr>
          <w:rFonts w:ascii="Tahoma" w:hAnsi="Tahoma"/>
          <w:rtl/>
        </w:rPr>
        <w:t xml:space="preserve">ביום 17.08.2021, בשעה 04:00 או בסמוך לכך, נכנס הנאשם לסניף "ארומה" בדרך מנחם בגין בתל אביב. הנאשם נטל חטיפים מדלפק הסניף ואכל אותם, וכן נטל מהמקום </w:t>
      </w:r>
      <w:r>
        <w:rPr>
          <w:rFonts w:ascii="Tahoma" w:hAnsi="Tahoma" w:hint="cs"/>
          <w:rtl/>
        </w:rPr>
        <w:t xml:space="preserve">7 </w:t>
      </w:r>
      <w:r>
        <w:rPr>
          <w:rFonts w:ascii="Tahoma" w:hAnsi="Tahoma"/>
          <w:rtl/>
        </w:rPr>
        <w:t xml:space="preserve">שקיות חטיפים בשווי </w:t>
      </w:r>
      <w:r>
        <w:rPr>
          <w:rFonts w:ascii="Tahoma" w:hAnsi="Tahoma" w:hint="cs"/>
          <w:rtl/>
        </w:rPr>
        <w:t xml:space="preserve">כולל </w:t>
      </w:r>
      <w:r>
        <w:rPr>
          <w:rFonts w:ascii="Tahoma" w:hAnsi="Tahoma"/>
          <w:rtl/>
        </w:rPr>
        <w:t>של 150 ₪</w:t>
      </w:r>
      <w:r>
        <w:rPr>
          <w:rFonts w:ascii="Tahoma" w:hAnsi="Tahoma" w:hint="cs"/>
          <w:rtl/>
        </w:rPr>
        <w:t xml:space="preserve"> לערך</w:t>
      </w:r>
      <w:r>
        <w:rPr>
          <w:rFonts w:ascii="Tahoma" w:hAnsi="Tahoma"/>
          <w:rtl/>
        </w:rPr>
        <w:t>.</w:t>
      </w:r>
    </w:p>
    <w:p w14:paraId="61BC2646" w14:textId="77777777" w:rsidR="00CF35FB" w:rsidRDefault="00CF35FB" w:rsidP="00CF35FB">
      <w:pPr>
        <w:spacing w:after="120" w:line="360" w:lineRule="auto"/>
        <w:ind w:left="360"/>
        <w:jc w:val="both"/>
        <w:rPr>
          <w:rFonts w:ascii="Tahoma" w:hAnsi="Tahoma"/>
          <w:u w:val="single"/>
          <w:rtl/>
        </w:rPr>
      </w:pPr>
      <w:r>
        <w:rPr>
          <w:rFonts w:ascii="Tahoma" w:hAnsi="Tahoma"/>
          <w:u w:val="single"/>
          <w:rtl/>
        </w:rPr>
        <w:lastRenderedPageBreak/>
        <w:t>הוראות החיקוק:</w:t>
      </w:r>
    </w:p>
    <w:p w14:paraId="0A1547F7" w14:textId="77777777" w:rsidR="00CF35FB" w:rsidRDefault="00CF35FB" w:rsidP="00CF35FB">
      <w:pPr>
        <w:spacing w:after="120" w:line="360" w:lineRule="auto"/>
        <w:ind w:left="360"/>
        <w:jc w:val="both"/>
        <w:rPr>
          <w:rFonts w:ascii="Tahoma" w:hAnsi="Tahoma"/>
        </w:rPr>
      </w:pPr>
      <w:r>
        <w:rPr>
          <w:rFonts w:ascii="Tahoma" w:hAnsi="Tahoma"/>
          <w:b/>
          <w:bCs/>
          <w:rtl/>
        </w:rPr>
        <w:t>הסגת גבול</w:t>
      </w:r>
      <w:r>
        <w:rPr>
          <w:rFonts w:ascii="Tahoma" w:hAnsi="Tahoma"/>
          <w:rtl/>
        </w:rPr>
        <w:t xml:space="preserve">, עבירה לפי הוראות </w:t>
      </w:r>
      <w:hyperlink r:id="rId32" w:history="1">
        <w:r w:rsidR="00373934" w:rsidRPr="00373934">
          <w:rPr>
            <w:rStyle w:val="Hyperlink"/>
            <w:rFonts w:ascii="Tahoma" w:hAnsi="Tahoma"/>
            <w:color w:val="0000FF"/>
            <w:rtl/>
          </w:rPr>
          <w:t>סעיף 447(א)</w:t>
        </w:r>
      </w:hyperlink>
      <w:r>
        <w:rPr>
          <w:rFonts w:ascii="Tahoma" w:hAnsi="Tahoma"/>
          <w:rtl/>
        </w:rPr>
        <w:t xml:space="preserve"> ל</w:t>
      </w:r>
      <w:hyperlink r:id="rId33" w:history="1">
        <w:r w:rsidR="002973B0" w:rsidRPr="002973B0">
          <w:rPr>
            <w:rFonts w:ascii="Tahoma" w:hAnsi="Tahoma"/>
            <w:color w:val="0000FF"/>
            <w:u w:val="single"/>
            <w:rtl/>
          </w:rPr>
          <w:t>חוק העונשין</w:t>
        </w:r>
      </w:hyperlink>
      <w:r>
        <w:rPr>
          <w:rFonts w:ascii="Tahoma" w:hAnsi="Tahoma"/>
          <w:rtl/>
        </w:rPr>
        <w:t xml:space="preserve">; </w:t>
      </w:r>
      <w:r>
        <w:rPr>
          <w:rFonts w:ascii="Tahoma" w:hAnsi="Tahoma"/>
          <w:b/>
          <w:bCs/>
          <w:rtl/>
        </w:rPr>
        <w:t>גניבה</w:t>
      </w:r>
      <w:r>
        <w:rPr>
          <w:rFonts w:ascii="Tahoma" w:hAnsi="Tahoma"/>
          <w:rtl/>
        </w:rPr>
        <w:t xml:space="preserve">, עבירה לפי הוראות </w:t>
      </w:r>
      <w:hyperlink r:id="rId34" w:history="1">
        <w:r w:rsidR="00373934" w:rsidRPr="00373934">
          <w:rPr>
            <w:rStyle w:val="Hyperlink"/>
            <w:rFonts w:ascii="Tahoma" w:hAnsi="Tahoma"/>
            <w:color w:val="0000FF"/>
            <w:rtl/>
          </w:rPr>
          <w:t>סעיף 384</w:t>
        </w:r>
      </w:hyperlink>
      <w:r>
        <w:rPr>
          <w:rFonts w:ascii="Tahoma" w:hAnsi="Tahoma"/>
          <w:rtl/>
        </w:rPr>
        <w:t xml:space="preserve"> לחוק העונשין.</w:t>
      </w:r>
    </w:p>
    <w:p w14:paraId="6D767DDC" w14:textId="77777777" w:rsidR="00CF35FB" w:rsidRDefault="00CF35FB" w:rsidP="00CF35FB">
      <w:pPr>
        <w:spacing w:after="120" w:line="360" w:lineRule="auto"/>
        <w:ind w:left="360"/>
        <w:jc w:val="both"/>
        <w:rPr>
          <w:rFonts w:ascii="Tahoma" w:hAnsi="Tahoma"/>
          <w:b/>
          <w:bCs/>
        </w:rPr>
      </w:pPr>
      <w:r>
        <w:rPr>
          <w:rFonts w:ascii="Tahoma" w:hAnsi="Tahoma"/>
          <w:b/>
          <w:bCs/>
          <w:u w:val="single"/>
          <w:rtl/>
        </w:rPr>
        <w:t xml:space="preserve">בתיק המצורף </w:t>
      </w:r>
      <w:hyperlink r:id="rId35" w:history="1">
        <w:r w:rsidR="002973B0" w:rsidRPr="002973B0">
          <w:rPr>
            <w:rFonts w:ascii="Tahoma" w:hAnsi="Tahoma"/>
            <w:b/>
            <w:bCs/>
            <w:color w:val="0000FF"/>
            <w:u w:val="single"/>
            <w:rtl/>
          </w:rPr>
          <w:t>ת"פ (שלום ת"א) 62892-07-22</w:t>
        </w:r>
      </w:hyperlink>
      <w:r>
        <w:rPr>
          <w:rFonts w:ascii="Tahoma" w:hAnsi="Tahoma"/>
          <w:b/>
          <w:bCs/>
          <w:rtl/>
        </w:rPr>
        <w:t xml:space="preserve"> – </w:t>
      </w:r>
    </w:p>
    <w:p w14:paraId="75C7446C" w14:textId="77777777" w:rsidR="00CF35FB" w:rsidRDefault="00CF35FB" w:rsidP="00CF35FB">
      <w:pPr>
        <w:spacing w:after="120" w:line="360" w:lineRule="auto"/>
        <w:ind w:left="360"/>
        <w:jc w:val="both"/>
        <w:rPr>
          <w:rFonts w:ascii="Tahoma" w:hAnsi="Tahoma"/>
          <w:u w:val="single"/>
          <w:rtl/>
        </w:rPr>
      </w:pPr>
      <w:r>
        <w:rPr>
          <w:rFonts w:ascii="Tahoma" w:hAnsi="Tahoma"/>
          <w:u w:val="single"/>
          <w:rtl/>
        </w:rPr>
        <w:t>העובדות:</w:t>
      </w:r>
    </w:p>
    <w:p w14:paraId="7898EBD3" w14:textId="77777777" w:rsidR="00CF35FB" w:rsidRDefault="00CF35FB" w:rsidP="00CF35FB">
      <w:pPr>
        <w:spacing w:after="120" w:line="360" w:lineRule="auto"/>
        <w:ind w:left="360"/>
        <w:jc w:val="both"/>
        <w:rPr>
          <w:rFonts w:ascii="Tahoma" w:hAnsi="Tahoma"/>
        </w:rPr>
      </w:pPr>
      <w:r>
        <w:rPr>
          <w:rFonts w:ascii="Tahoma" w:hAnsi="Tahoma"/>
          <w:rtl/>
        </w:rPr>
        <w:t>ביום 27.12.2021, בשעה 13:00 או בסמוך לכך, ברחוב פייבל בתל אביב, ניסה הנאשם לגנוב אופניים חשמליים השייכים למתלוננת באישום זה, אך נתפס בכף. באותן הנסיבות החזיק הנאשם בכלי פריצה, כולל מגזרי תיל.</w:t>
      </w:r>
    </w:p>
    <w:p w14:paraId="1D9C02F4" w14:textId="77777777" w:rsidR="00CF35FB" w:rsidRDefault="00CF35FB" w:rsidP="00CF35FB">
      <w:pPr>
        <w:spacing w:after="120" w:line="360" w:lineRule="auto"/>
        <w:ind w:left="360"/>
        <w:jc w:val="both"/>
        <w:rPr>
          <w:rFonts w:ascii="Tahoma" w:hAnsi="Tahoma"/>
          <w:u w:val="single"/>
          <w:rtl/>
        </w:rPr>
      </w:pPr>
      <w:r>
        <w:rPr>
          <w:rFonts w:ascii="Tahoma" w:hAnsi="Tahoma"/>
          <w:u w:val="single"/>
          <w:rtl/>
        </w:rPr>
        <w:t>הוראות החיקוק:</w:t>
      </w:r>
    </w:p>
    <w:p w14:paraId="052A0384" w14:textId="77777777" w:rsidR="00CF35FB" w:rsidRDefault="00CF35FB" w:rsidP="00CF35FB">
      <w:pPr>
        <w:spacing w:after="120" w:line="360" w:lineRule="auto"/>
        <w:ind w:left="360"/>
        <w:jc w:val="both"/>
        <w:rPr>
          <w:rFonts w:ascii="Tahoma" w:hAnsi="Tahoma"/>
        </w:rPr>
      </w:pPr>
      <w:r>
        <w:rPr>
          <w:rFonts w:ascii="Tahoma" w:hAnsi="Tahoma"/>
          <w:b/>
          <w:bCs/>
          <w:rtl/>
        </w:rPr>
        <w:t>ניסיון גניבה</w:t>
      </w:r>
      <w:r>
        <w:rPr>
          <w:rFonts w:ascii="Tahoma" w:hAnsi="Tahoma"/>
          <w:rtl/>
        </w:rPr>
        <w:t xml:space="preserve">, עבירה לפי הוראות </w:t>
      </w:r>
      <w:hyperlink r:id="rId36" w:history="1">
        <w:r w:rsidR="00373934" w:rsidRPr="00373934">
          <w:rPr>
            <w:rStyle w:val="Hyperlink"/>
            <w:rFonts w:ascii="Tahoma" w:hAnsi="Tahoma"/>
            <w:color w:val="0000FF"/>
            <w:rtl/>
          </w:rPr>
          <w:t>סעיף 384</w:t>
        </w:r>
      </w:hyperlink>
      <w:r>
        <w:rPr>
          <w:rFonts w:ascii="Tahoma" w:hAnsi="Tahoma"/>
          <w:rtl/>
        </w:rPr>
        <w:t xml:space="preserve"> יחד עם </w:t>
      </w:r>
      <w:hyperlink r:id="rId37" w:history="1">
        <w:r w:rsidR="00373934" w:rsidRPr="00373934">
          <w:rPr>
            <w:rStyle w:val="Hyperlink"/>
            <w:rFonts w:ascii="Tahoma" w:hAnsi="Tahoma"/>
            <w:color w:val="0000FF"/>
            <w:rtl/>
          </w:rPr>
          <w:t>סעיף 25</w:t>
        </w:r>
      </w:hyperlink>
      <w:r>
        <w:rPr>
          <w:rFonts w:ascii="Tahoma" w:hAnsi="Tahoma"/>
          <w:rtl/>
        </w:rPr>
        <w:t xml:space="preserve"> ל</w:t>
      </w:r>
      <w:hyperlink r:id="rId38" w:history="1">
        <w:r w:rsidR="002973B0" w:rsidRPr="002973B0">
          <w:rPr>
            <w:rFonts w:ascii="Tahoma" w:hAnsi="Tahoma"/>
            <w:color w:val="0000FF"/>
            <w:u w:val="single"/>
            <w:rtl/>
          </w:rPr>
          <w:t>חוק העונשין</w:t>
        </w:r>
      </w:hyperlink>
      <w:r>
        <w:rPr>
          <w:rFonts w:ascii="Tahoma" w:hAnsi="Tahoma"/>
          <w:rtl/>
        </w:rPr>
        <w:t xml:space="preserve">; </w:t>
      </w:r>
      <w:r>
        <w:rPr>
          <w:rFonts w:ascii="Tahoma" w:hAnsi="Tahoma"/>
          <w:b/>
          <w:bCs/>
          <w:rtl/>
        </w:rPr>
        <w:t>החזקת מכשירי פריצה</w:t>
      </w:r>
      <w:r>
        <w:rPr>
          <w:rFonts w:ascii="Tahoma" w:hAnsi="Tahoma"/>
          <w:rtl/>
        </w:rPr>
        <w:t xml:space="preserve">, עבירה לפי הוראות </w:t>
      </w:r>
      <w:hyperlink r:id="rId39" w:history="1">
        <w:r w:rsidR="00373934" w:rsidRPr="00373934">
          <w:rPr>
            <w:rStyle w:val="Hyperlink"/>
            <w:rFonts w:ascii="Tahoma" w:hAnsi="Tahoma"/>
            <w:color w:val="0000FF"/>
            <w:rtl/>
          </w:rPr>
          <w:t>סעיף 409</w:t>
        </w:r>
      </w:hyperlink>
      <w:r>
        <w:rPr>
          <w:rFonts w:ascii="Tahoma" w:hAnsi="Tahoma"/>
          <w:rtl/>
        </w:rPr>
        <w:t xml:space="preserve"> לחוק העונשין.</w:t>
      </w:r>
    </w:p>
    <w:p w14:paraId="37D58D42" w14:textId="77777777" w:rsidR="00CF35FB" w:rsidRDefault="00CF35FB" w:rsidP="00CF35FB">
      <w:pPr>
        <w:spacing w:after="120" w:line="360" w:lineRule="auto"/>
        <w:ind w:left="360"/>
        <w:jc w:val="both"/>
        <w:rPr>
          <w:rFonts w:ascii="Tahoma" w:hAnsi="Tahoma"/>
          <w:b/>
          <w:bCs/>
          <w:rtl/>
        </w:rPr>
      </w:pPr>
      <w:r>
        <w:rPr>
          <w:rFonts w:ascii="Tahoma" w:hAnsi="Tahoma"/>
          <w:b/>
          <w:bCs/>
          <w:u w:val="single"/>
          <w:rtl/>
        </w:rPr>
        <w:t xml:space="preserve">בתיק המצורף </w:t>
      </w:r>
      <w:hyperlink r:id="rId40" w:history="1">
        <w:r w:rsidR="002973B0" w:rsidRPr="002973B0">
          <w:rPr>
            <w:rFonts w:ascii="Tahoma" w:hAnsi="Tahoma"/>
            <w:b/>
            <w:bCs/>
            <w:color w:val="0000FF"/>
            <w:u w:val="single"/>
            <w:rtl/>
          </w:rPr>
          <w:t>ת"פ (שלום רחובות) 4236-09-23</w:t>
        </w:r>
      </w:hyperlink>
      <w:r>
        <w:rPr>
          <w:rFonts w:ascii="Tahoma" w:hAnsi="Tahoma"/>
          <w:b/>
          <w:bCs/>
          <w:rtl/>
        </w:rPr>
        <w:t xml:space="preserve"> </w:t>
      </w:r>
      <w:r w:rsidRPr="00202D5F">
        <w:rPr>
          <w:rFonts w:ascii="Tahoma" w:hAnsi="Tahoma"/>
          <w:rtl/>
        </w:rPr>
        <w:t>(להלן – התיק המצורף מרחובות)</w:t>
      </w:r>
      <w:r>
        <w:rPr>
          <w:rFonts w:ascii="Tahoma" w:hAnsi="Tahoma"/>
          <w:b/>
          <w:bCs/>
          <w:rtl/>
        </w:rPr>
        <w:t xml:space="preserve"> – </w:t>
      </w:r>
    </w:p>
    <w:p w14:paraId="1699008F" w14:textId="77777777" w:rsidR="00CF35FB" w:rsidRDefault="00CF35FB" w:rsidP="00CF35FB">
      <w:pPr>
        <w:spacing w:after="120" w:line="360" w:lineRule="auto"/>
        <w:ind w:left="360"/>
        <w:jc w:val="both"/>
        <w:rPr>
          <w:rFonts w:ascii="Tahoma" w:hAnsi="Tahoma"/>
          <w:u w:val="single"/>
        </w:rPr>
      </w:pPr>
      <w:r>
        <w:rPr>
          <w:rFonts w:ascii="Tahoma" w:hAnsi="Tahoma"/>
          <w:u w:val="single"/>
          <w:rtl/>
        </w:rPr>
        <w:t>העובדות:</w:t>
      </w:r>
    </w:p>
    <w:p w14:paraId="06B730CA" w14:textId="77777777" w:rsidR="00CF35FB" w:rsidRDefault="00CF35FB" w:rsidP="00CF35FB">
      <w:pPr>
        <w:spacing w:after="120" w:line="360" w:lineRule="auto"/>
        <w:ind w:left="360"/>
        <w:jc w:val="both"/>
        <w:rPr>
          <w:rFonts w:ascii="Tahoma" w:hAnsi="Tahoma"/>
        </w:rPr>
      </w:pPr>
      <w:r>
        <w:rPr>
          <w:rFonts w:ascii="Tahoma" w:hAnsi="Tahoma"/>
          <w:rtl/>
        </w:rPr>
        <w:t>כחודש עובר ליום 21.08.2020 החנה המתלונן באישום זה רכב מסוג טרנזיט במתחם פתוח ברחובות. בין המועד הנ"ל לבין יום 22.08.2020 בשעה 20:00 הגיע אחר למקום, התניע את ה</w:t>
      </w:r>
      <w:r>
        <w:rPr>
          <w:rFonts w:ascii="Tahoma" w:hAnsi="Tahoma" w:hint="cs"/>
          <w:rtl/>
        </w:rPr>
        <w:t>טרנזיט</w:t>
      </w:r>
      <w:r>
        <w:rPr>
          <w:rFonts w:ascii="Tahoma" w:hAnsi="Tahoma"/>
          <w:rtl/>
        </w:rPr>
        <w:t xml:space="preserve"> ו</w:t>
      </w:r>
      <w:r>
        <w:rPr>
          <w:rFonts w:ascii="Tahoma" w:hAnsi="Tahoma" w:hint="cs"/>
          <w:rtl/>
        </w:rPr>
        <w:t>הסיע</w:t>
      </w:r>
      <w:r>
        <w:rPr>
          <w:rFonts w:ascii="Tahoma" w:hAnsi="Tahoma"/>
          <w:rtl/>
        </w:rPr>
        <w:t xml:space="preserve"> אותו מהמקום. בהמשך, באופן שאינו ידוע למאשימה, מסר האחר את ה</w:t>
      </w:r>
      <w:r>
        <w:rPr>
          <w:rFonts w:ascii="Tahoma" w:hAnsi="Tahoma" w:hint="cs"/>
          <w:rtl/>
        </w:rPr>
        <w:t xml:space="preserve">טרנזיט </w:t>
      </w:r>
      <w:r>
        <w:rPr>
          <w:rFonts w:ascii="Tahoma" w:hAnsi="Tahoma"/>
          <w:rtl/>
        </w:rPr>
        <w:t xml:space="preserve">לנאשם. </w:t>
      </w:r>
    </w:p>
    <w:p w14:paraId="3CD769C2" w14:textId="77777777" w:rsidR="00CF35FB" w:rsidRDefault="00CF35FB" w:rsidP="00CF35FB">
      <w:pPr>
        <w:spacing w:after="120" w:line="360" w:lineRule="auto"/>
        <w:ind w:left="360"/>
        <w:jc w:val="both"/>
        <w:rPr>
          <w:rFonts w:ascii="Tahoma" w:hAnsi="Tahoma"/>
          <w:rtl/>
        </w:rPr>
      </w:pPr>
      <w:r>
        <w:rPr>
          <w:rFonts w:ascii="Tahoma" w:hAnsi="Tahoma"/>
          <w:rtl/>
        </w:rPr>
        <w:t>ביום 24.08.2020, בשעה 08:00 או בסמוך לכך, נהג הנאשם ב</w:t>
      </w:r>
      <w:r>
        <w:rPr>
          <w:rFonts w:ascii="Tahoma" w:hAnsi="Tahoma" w:hint="cs"/>
          <w:rtl/>
        </w:rPr>
        <w:t xml:space="preserve">טרנזיט </w:t>
      </w:r>
      <w:r>
        <w:rPr>
          <w:rFonts w:ascii="Tahoma" w:hAnsi="Tahoma"/>
          <w:rtl/>
        </w:rPr>
        <w:t>כשרישיון הנהיגה שלו פקע לפני יותר משנתיים עובר למועד זה וכשהוא תחת השפעת סמים מסוכנים</w:t>
      </w:r>
      <w:r>
        <w:rPr>
          <w:rFonts w:ascii="Tahoma" w:hAnsi="Tahoma" w:hint="cs"/>
          <w:rtl/>
        </w:rPr>
        <w:t>; כל זאת</w:t>
      </w:r>
      <w:r>
        <w:rPr>
          <w:rFonts w:ascii="Tahoma" w:hAnsi="Tahoma"/>
          <w:rtl/>
        </w:rPr>
        <w:t xml:space="preserve"> באיזור צומת הכניסה למושב גאליה.</w:t>
      </w:r>
    </w:p>
    <w:p w14:paraId="2F01100B" w14:textId="77777777" w:rsidR="00CF35FB" w:rsidRDefault="00CF35FB" w:rsidP="00CF35FB">
      <w:pPr>
        <w:spacing w:after="120" w:line="360" w:lineRule="auto"/>
        <w:ind w:left="360"/>
        <w:jc w:val="both"/>
        <w:rPr>
          <w:rFonts w:ascii="Tahoma" w:hAnsi="Tahoma"/>
          <w:rtl/>
        </w:rPr>
      </w:pPr>
      <w:r>
        <w:rPr>
          <w:rFonts w:ascii="Tahoma" w:hAnsi="Tahoma"/>
          <w:rtl/>
        </w:rPr>
        <w:t>הנאשם נהג ב</w:t>
      </w:r>
      <w:r>
        <w:rPr>
          <w:rFonts w:ascii="Tahoma" w:hAnsi="Tahoma" w:hint="cs"/>
          <w:rtl/>
        </w:rPr>
        <w:t xml:space="preserve">טרנזיט </w:t>
      </w:r>
      <w:r>
        <w:rPr>
          <w:rFonts w:ascii="Tahoma" w:hAnsi="Tahoma"/>
          <w:rtl/>
        </w:rPr>
        <w:t>במהירות, התנגש בכלי רכב נוסף וזה התנגש בעוד כלי רכב. כתולדה מהתאונה נגרמו לשני כלי הרכב הנ"ל נזקי רכוש משמעותיים. לאחד הנהגים גם נגרמה רגישות בצוואר והוא נזקק לשבעה ימי מחלה. הנאשם יצא מה</w:t>
      </w:r>
      <w:r>
        <w:rPr>
          <w:rFonts w:ascii="Tahoma" w:hAnsi="Tahoma" w:hint="cs"/>
          <w:rtl/>
        </w:rPr>
        <w:t>טרנזיט</w:t>
      </w:r>
      <w:r>
        <w:rPr>
          <w:rFonts w:ascii="Tahoma" w:hAnsi="Tahoma"/>
          <w:rtl/>
        </w:rPr>
        <w:t xml:space="preserve"> ועזב את הצומת מבלי להגיש עזרה לנפגע.</w:t>
      </w:r>
    </w:p>
    <w:p w14:paraId="56D1444C" w14:textId="77777777" w:rsidR="00CF35FB" w:rsidRDefault="00CF35FB" w:rsidP="00CF35FB">
      <w:pPr>
        <w:spacing w:after="120" w:line="360" w:lineRule="auto"/>
        <w:ind w:left="360"/>
        <w:jc w:val="both"/>
        <w:rPr>
          <w:rFonts w:ascii="Tahoma" w:hAnsi="Tahoma"/>
          <w:u w:val="single"/>
          <w:rtl/>
        </w:rPr>
      </w:pPr>
      <w:r>
        <w:rPr>
          <w:rFonts w:ascii="Tahoma" w:hAnsi="Tahoma"/>
          <w:u w:val="single"/>
          <w:rtl/>
        </w:rPr>
        <w:t>הוראות החיקוק:</w:t>
      </w:r>
    </w:p>
    <w:p w14:paraId="3535EA55" w14:textId="77777777" w:rsidR="00CF35FB" w:rsidRDefault="00CF35FB" w:rsidP="00CF35FB">
      <w:pPr>
        <w:pStyle w:val="a9"/>
        <w:spacing w:after="120" w:line="360" w:lineRule="auto"/>
        <w:ind w:left="360"/>
        <w:jc w:val="both"/>
        <w:rPr>
          <w:rFonts w:ascii="Tahoma" w:hAnsi="Tahoma"/>
        </w:rPr>
      </w:pPr>
      <w:r>
        <w:rPr>
          <w:rFonts w:ascii="Tahoma" w:hAnsi="Tahoma"/>
          <w:b/>
          <w:bCs/>
          <w:rtl/>
        </w:rPr>
        <w:t>נהיגה תחת השפעת סמים</w:t>
      </w:r>
      <w:r>
        <w:rPr>
          <w:rFonts w:ascii="Tahoma" w:hAnsi="Tahoma"/>
          <w:rtl/>
        </w:rPr>
        <w:t xml:space="preserve">, עבירה לפי הוראות </w:t>
      </w:r>
      <w:hyperlink r:id="rId41" w:history="1">
        <w:r w:rsidR="00373934" w:rsidRPr="00373934">
          <w:rPr>
            <w:rStyle w:val="Hyperlink"/>
            <w:rFonts w:ascii="Tahoma" w:hAnsi="Tahoma"/>
            <w:color w:val="0000FF"/>
            <w:rtl/>
          </w:rPr>
          <w:t>סעיף 62(3)</w:t>
        </w:r>
      </w:hyperlink>
      <w:r>
        <w:rPr>
          <w:rFonts w:ascii="Tahoma" w:hAnsi="Tahoma"/>
          <w:rtl/>
        </w:rPr>
        <w:t xml:space="preserve"> ל</w:t>
      </w:r>
      <w:hyperlink r:id="rId42" w:history="1">
        <w:r w:rsidR="002973B0" w:rsidRPr="002973B0">
          <w:rPr>
            <w:rFonts w:ascii="Tahoma" w:hAnsi="Tahoma"/>
            <w:color w:val="0000FF"/>
            <w:u w:val="single"/>
            <w:rtl/>
          </w:rPr>
          <w:t>פקודת התעבורה</w:t>
        </w:r>
      </w:hyperlink>
      <w:r>
        <w:rPr>
          <w:rFonts w:ascii="Tahoma" w:hAnsi="Tahoma"/>
          <w:rtl/>
        </w:rPr>
        <w:t xml:space="preserve"> [נוסח חדש] תשכ"א-1961 (להלן – פקודת התעבורה); </w:t>
      </w:r>
      <w:r>
        <w:rPr>
          <w:rFonts w:ascii="Tahoma" w:hAnsi="Tahoma"/>
          <w:b/>
          <w:bCs/>
          <w:rtl/>
        </w:rPr>
        <w:t>קבלת רכב גנוב</w:t>
      </w:r>
      <w:r>
        <w:rPr>
          <w:rFonts w:ascii="Tahoma" w:hAnsi="Tahoma"/>
          <w:rtl/>
        </w:rPr>
        <w:t xml:space="preserve">, עבירה לפי הוראות </w:t>
      </w:r>
      <w:hyperlink r:id="rId43" w:history="1">
        <w:r w:rsidR="00373934" w:rsidRPr="00373934">
          <w:rPr>
            <w:rStyle w:val="Hyperlink"/>
            <w:rFonts w:ascii="Tahoma" w:hAnsi="Tahoma"/>
            <w:color w:val="0000FF"/>
            <w:rtl/>
          </w:rPr>
          <w:t>סעיף 413י</w:t>
        </w:r>
      </w:hyperlink>
      <w:r>
        <w:rPr>
          <w:rFonts w:ascii="Tahoma" w:hAnsi="Tahoma"/>
          <w:rtl/>
        </w:rPr>
        <w:t xml:space="preserve"> ל</w:t>
      </w:r>
      <w:hyperlink r:id="rId44" w:history="1">
        <w:r w:rsidR="002973B0" w:rsidRPr="002973B0">
          <w:rPr>
            <w:rFonts w:ascii="Tahoma" w:hAnsi="Tahoma"/>
            <w:color w:val="0000FF"/>
            <w:u w:val="single"/>
            <w:rtl/>
          </w:rPr>
          <w:t>חוק העונשין</w:t>
        </w:r>
      </w:hyperlink>
      <w:r>
        <w:rPr>
          <w:rFonts w:ascii="Tahoma" w:hAnsi="Tahoma"/>
          <w:rtl/>
        </w:rPr>
        <w:t xml:space="preserve">; </w:t>
      </w:r>
      <w:r>
        <w:rPr>
          <w:rFonts w:ascii="Tahoma" w:hAnsi="Tahoma"/>
          <w:b/>
          <w:bCs/>
          <w:rtl/>
        </w:rPr>
        <w:t xml:space="preserve">התנהגות הגורמת נזק, </w:t>
      </w:r>
      <w:r>
        <w:rPr>
          <w:rFonts w:ascii="Tahoma" w:hAnsi="Tahoma"/>
          <w:rtl/>
        </w:rPr>
        <w:t xml:space="preserve">עבירה לפי הוראות </w:t>
      </w:r>
      <w:hyperlink r:id="rId45" w:history="1">
        <w:r w:rsidR="00373934" w:rsidRPr="00373934">
          <w:rPr>
            <w:rStyle w:val="Hyperlink"/>
            <w:rFonts w:ascii="Tahoma" w:hAnsi="Tahoma"/>
            <w:color w:val="0000FF"/>
            <w:rtl/>
          </w:rPr>
          <w:t>תקנה 21(ב)(2)</w:t>
        </w:r>
      </w:hyperlink>
      <w:r>
        <w:rPr>
          <w:rFonts w:ascii="Tahoma" w:hAnsi="Tahoma"/>
          <w:rtl/>
        </w:rPr>
        <w:t xml:space="preserve"> ל</w:t>
      </w:r>
      <w:hyperlink r:id="rId46" w:history="1">
        <w:r w:rsidR="002973B0" w:rsidRPr="002973B0">
          <w:rPr>
            <w:rFonts w:ascii="Tahoma" w:hAnsi="Tahoma"/>
            <w:color w:val="0000FF"/>
            <w:u w:val="single"/>
            <w:rtl/>
          </w:rPr>
          <w:t>תקנות התעבורה</w:t>
        </w:r>
      </w:hyperlink>
      <w:r>
        <w:rPr>
          <w:rFonts w:ascii="Tahoma" w:hAnsi="Tahoma"/>
          <w:rtl/>
        </w:rPr>
        <w:t xml:space="preserve">, תשכ"א-1961 (להלן – תקנות התעבורה); </w:t>
      </w:r>
      <w:r>
        <w:rPr>
          <w:rFonts w:ascii="Tahoma" w:hAnsi="Tahoma"/>
          <w:b/>
          <w:bCs/>
          <w:rtl/>
        </w:rPr>
        <w:t>רישיון נהיגה פקע מעל שנתיים</w:t>
      </w:r>
      <w:r>
        <w:rPr>
          <w:rFonts w:ascii="Tahoma" w:hAnsi="Tahoma"/>
          <w:rtl/>
        </w:rPr>
        <w:t xml:space="preserve">, עבירה לפי הוראות </w:t>
      </w:r>
      <w:hyperlink r:id="rId47" w:history="1">
        <w:r w:rsidR="00373934" w:rsidRPr="00373934">
          <w:rPr>
            <w:rStyle w:val="Hyperlink"/>
            <w:rFonts w:ascii="Tahoma" w:hAnsi="Tahoma"/>
            <w:color w:val="0000FF"/>
            <w:rtl/>
          </w:rPr>
          <w:t>סעיף 10(א)</w:t>
        </w:r>
      </w:hyperlink>
      <w:r>
        <w:rPr>
          <w:rFonts w:ascii="Tahoma" w:hAnsi="Tahoma"/>
          <w:rtl/>
        </w:rPr>
        <w:t xml:space="preserve"> לפקודת התעבורה; </w:t>
      </w:r>
      <w:r>
        <w:rPr>
          <w:rFonts w:ascii="Tahoma" w:hAnsi="Tahoma"/>
          <w:b/>
          <w:bCs/>
          <w:rtl/>
        </w:rPr>
        <w:t>אי הגשת עזרה לנפגע תאונה</w:t>
      </w:r>
      <w:r>
        <w:rPr>
          <w:rFonts w:ascii="Tahoma" w:hAnsi="Tahoma"/>
          <w:rtl/>
        </w:rPr>
        <w:t xml:space="preserve">, עבירה לפי הוראות </w:t>
      </w:r>
      <w:hyperlink r:id="rId48" w:history="1">
        <w:r w:rsidR="00373934" w:rsidRPr="00373934">
          <w:rPr>
            <w:rStyle w:val="Hyperlink"/>
            <w:rFonts w:ascii="Tahoma" w:hAnsi="Tahoma"/>
            <w:color w:val="0000FF"/>
            <w:rtl/>
          </w:rPr>
          <w:t>תקנה 144(א)(2)</w:t>
        </w:r>
      </w:hyperlink>
      <w:r>
        <w:rPr>
          <w:rFonts w:ascii="Tahoma" w:hAnsi="Tahoma"/>
          <w:rtl/>
        </w:rPr>
        <w:t xml:space="preserve"> לתקנות התעבורה.</w:t>
      </w:r>
    </w:p>
    <w:p w14:paraId="706B86BC" w14:textId="77777777" w:rsidR="00CF35FB" w:rsidRDefault="00CF35FB" w:rsidP="00CF35FB">
      <w:pPr>
        <w:spacing w:after="120" w:line="360" w:lineRule="auto"/>
        <w:ind w:firstLine="360"/>
        <w:jc w:val="both"/>
        <w:rPr>
          <w:rFonts w:ascii="Tahoma" w:hAnsi="Tahoma"/>
          <w:b/>
          <w:bCs/>
          <w:rtl/>
        </w:rPr>
      </w:pPr>
      <w:r w:rsidRPr="00202D5F">
        <w:rPr>
          <w:rFonts w:ascii="Tahoma" w:hAnsi="Tahoma"/>
          <w:b/>
          <w:bCs/>
          <w:u w:val="single"/>
          <w:rtl/>
        </w:rPr>
        <w:t xml:space="preserve">בתיק המצורף </w:t>
      </w:r>
      <w:hyperlink r:id="rId49" w:history="1">
        <w:r w:rsidR="002973B0" w:rsidRPr="002973B0">
          <w:rPr>
            <w:rFonts w:ascii="Tahoma" w:hAnsi="Tahoma"/>
            <w:b/>
            <w:bCs/>
            <w:color w:val="0000FF"/>
            <w:u w:val="single"/>
            <w:rtl/>
          </w:rPr>
          <w:t>ת"פ (שלום ראשל"צ) 40297-10-23</w:t>
        </w:r>
      </w:hyperlink>
      <w:r>
        <w:rPr>
          <w:rFonts w:ascii="Tahoma" w:hAnsi="Tahoma"/>
          <w:b/>
          <w:bCs/>
          <w:rtl/>
        </w:rPr>
        <w:t xml:space="preserve"> – </w:t>
      </w:r>
    </w:p>
    <w:p w14:paraId="681CBB8D" w14:textId="77777777" w:rsidR="00CF35FB" w:rsidRDefault="00CF35FB" w:rsidP="00CF35FB">
      <w:pPr>
        <w:spacing w:after="120" w:line="360" w:lineRule="auto"/>
        <w:ind w:left="360"/>
        <w:jc w:val="both"/>
        <w:rPr>
          <w:rFonts w:ascii="Tahoma" w:hAnsi="Tahoma"/>
          <w:u w:val="single"/>
        </w:rPr>
      </w:pPr>
      <w:r>
        <w:rPr>
          <w:rFonts w:ascii="Tahoma" w:hAnsi="Tahoma"/>
          <w:u w:val="single"/>
          <w:rtl/>
        </w:rPr>
        <w:t>העובדות:</w:t>
      </w:r>
    </w:p>
    <w:p w14:paraId="315407BC" w14:textId="77777777" w:rsidR="00CF35FB" w:rsidRDefault="00CF35FB" w:rsidP="00CF35FB">
      <w:pPr>
        <w:spacing w:after="120" w:line="360" w:lineRule="auto"/>
        <w:ind w:left="360"/>
        <w:jc w:val="both"/>
        <w:rPr>
          <w:rFonts w:ascii="Tahoma" w:hAnsi="Tahoma"/>
        </w:rPr>
      </w:pPr>
      <w:r>
        <w:rPr>
          <w:rFonts w:ascii="Tahoma" w:hAnsi="Tahoma"/>
          <w:rtl/>
        </w:rPr>
        <w:t>ביום 15.09.2021 בין השעה 01:45 לשעה 02:15, התפרצו אנשים, שזהותם אינה ידועה למאשימה, למחסן במושב צפריה השייך למתלונן באישום זה, וגנבו ממנו סחורה בשווי מוערך של כ-75,230 ₪, לרבות מכשיר טלפון נייד מסוג סמסונג.</w:t>
      </w:r>
    </w:p>
    <w:p w14:paraId="7FB98645" w14:textId="77777777" w:rsidR="00CF35FB" w:rsidRDefault="00CF35FB" w:rsidP="00CF35FB">
      <w:pPr>
        <w:spacing w:after="120" w:line="360" w:lineRule="auto"/>
        <w:ind w:left="360"/>
        <w:jc w:val="both"/>
        <w:rPr>
          <w:rFonts w:ascii="Tahoma" w:hAnsi="Tahoma"/>
          <w:rtl/>
        </w:rPr>
      </w:pPr>
      <w:r>
        <w:rPr>
          <w:rFonts w:ascii="Tahoma" w:hAnsi="Tahoma"/>
          <w:rtl/>
        </w:rPr>
        <w:t>באותו היום, בשעה 10:36 או בסמוך לכך, קיבל הנאשם לידיו את מכשיר הטלפון הנייד ה</w:t>
      </w:r>
      <w:r>
        <w:rPr>
          <w:rFonts w:ascii="Tahoma" w:hAnsi="Tahoma" w:hint="cs"/>
          <w:rtl/>
        </w:rPr>
        <w:t>נ"ל</w:t>
      </w:r>
      <w:r>
        <w:rPr>
          <w:rFonts w:ascii="Tahoma" w:hAnsi="Tahoma"/>
          <w:rtl/>
        </w:rPr>
        <w:t>, בדרך שאינה ידועה למאשימה, ועשה בו שימוש.</w:t>
      </w:r>
    </w:p>
    <w:p w14:paraId="0B60F024" w14:textId="77777777" w:rsidR="00CF35FB" w:rsidRDefault="00CF35FB" w:rsidP="00CF35FB">
      <w:pPr>
        <w:spacing w:after="120" w:line="360" w:lineRule="auto"/>
        <w:ind w:left="360"/>
        <w:jc w:val="both"/>
        <w:rPr>
          <w:rFonts w:ascii="Tahoma" w:hAnsi="Tahoma"/>
          <w:u w:val="single"/>
          <w:rtl/>
        </w:rPr>
      </w:pPr>
      <w:r>
        <w:rPr>
          <w:rFonts w:ascii="Tahoma" w:hAnsi="Tahoma"/>
          <w:u w:val="single"/>
          <w:rtl/>
        </w:rPr>
        <w:t>הוראות החיקוק:</w:t>
      </w:r>
    </w:p>
    <w:p w14:paraId="20E95E49" w14:textId="77777777" w:rsidR="00CF35FB" w:rsidRDefault="00CF35FB" w:rsidP="00CF35FB">
      <w:pPr>
        <w:pStyle w:val="a9"/>
        <w:spacing w:after="120" w:line="360" w:lineRule="auto"/>
        <w:ind w:left="360"/>
        <w:jc w:val="both"/>
        <w:rPr>
          <w:rFonts w:ascii="Tahoma" w:hAnsi="Tahoma"/>
        </w:rPr>
      </w:pPr>
      <w:r>
        <w:rPr>
          <w:rFonts w:ascii="Tahoma" w:hAnsi="Tahoma"/>
          <w:b/>
          <w:bCs/>
          <w:rtl/>
        </w:rPr>
        <w:t>קבלת נכסים שהושגו בפשע</w:t>
      </w:r>
      <w:r>
        <w:rPr>
          <w:rFonts w:ascii="Tahoma" w:hAnsi="Tahoma"/>
          <w:rtl/>
        </w:rPr>
        <w:t xml:space="preserve">, עבירה לפי הוראות </w:t>
      </w:r>
      <w:hyperlink r:id="rId50" w:history="1">
        <w:r w:rsidR="00373934" w:rsidRPr="00373934">
          <w:rPr>
            <w:rStyle w:val="Hyperlink"/>
            <w:rFonts w:ascii="Tahoma" w:hAnsi="Tahoma"/>
            <w:color w:val="0000FF"/>
            <w:rtl/>
          </w:rPr>
          <w:t>סעיף 411</w:t>
        </w:r>
      </w:hyperlink>
      <w:r>
        <w:rPr>
          <w:rFonts w:ascii="Tahoma" w:hAnsi="Tahoma"/>
          <w:rtl/>
        </w:rPr>
        <w:t xml:space="preserve"> ל</w:t>
      </w:r>
      <w:hyperlink r:id="rId51" w:history="1">
        <w:r w:rsidR="002973B0" w:rsidRPr="002973B0">
          <w:rPr>
            <w:rFonts w:ascii="Tahoma" w:hAnsi="Tahoma"/>
            <w:color w:val="0000FF"/>
            <w:u w:val="single"/>
            <w:rtl/>
          </w:rPr>
          <w:t>חוק העונשין</w:t>
        </w:r>
      </w:hyperlink>
      <w:r>
        <w:rPr>
          <w:rFonts w:ascii="Tahoma" w:hAnsi="Tahoma"/>
          <w:rtl/>
        </w:rPr>
        <w:t xml:space="preserve">. </w:t>
      </w:r>
    </w:p>
    <w:p w14:paraId="33D2DBC1" w14:textId="77777777" w:rsidR="00CF35FB" w:rsidRDefault="00CF35FB" w:rsidP="00CF35FB">
      <w:pPr>
        <w:numPr>
          <w:ilvl w:val="0"/>
          <w:numId w:val="2"/>
        </w:numPr>
        <w:spacing w:after="120" w:line="360" w:lineRule="auto"/>
        <w:ind w:left="360"/>
        <w:jc w:val="both"/>
        <w:rPr>
          <w:rFonts w:ascii="Tahoma" w:hAnsi="Tahoma"/>
          <w:rtl/>
        </w:rPr>
      </w:pPr>
      <w:r>
        <w:rPr>
          <w:rFonts w:ascii="Tahoma" w:hAnsi="Tahoma"/>
          <w:rtl/>
        </w:rPr>
        <w:t>במסגרת הדיונים המקדמיים לפני</w:t>
      </w:r>
      <w:r>
        <w:rPr>
          <w:rFonts w:ascii="Tahoma" w:hAnsi="Tahoma" w:hint="cs"/>
          <w:rtl/>
        </w:rPr>
        <w:t>י</w:t>
      </w:r>
      <w:r>
        <w:rPr>
          <w:rFonts w:ascii="Tahoma" w:hAnsi="Tahoma"/>
          <w:rtl/>
        </w:rPr>
        <w:t xml:space="preserve"> הגיעו הצדדים להסדר הטיעון האמור, אשר נערך במס</w:t>
      </w:r>
      <w:r>
        <w:rPr>
          <w:rFonts w:ascii="Tahoma" w:hAnsi="Tahoma" w:hint="cs"/>
          <w:rtl/>
        </w:rPr>
        <w:t>פ</w:t>
      </w:r>
      <w:r>
        <w:rPr>
          <w:rFonts w:ascii="Tahoma" w:hAnsi="Tahoma"/>
          <w:rtl/>
        </w:rPr>
        <w:t xml:space="preserve">ר שלבים. במסגרת הסדר הטיעון, שהוא כאמור דיוני במהותו, נערכו תיקונים מהותיים במרבית כתבי האישום, בין השאר על דרך המרת עבירות של התפרצות שיוחסו </w:t>
      </w:r>
      <w:r>
        <w:rPr>
          <w:rFonts w:ascii="Tahoma" w:hAnsi="Tahoma" w:hint="cs"/>
          <w:rtl/>
        </w:rPr>
        <w:t xml:space="preserve">בזמנו </w:t>
      </w:r>
      <w:r>
        <w:rPr>
          <w:rFonts w:ascii="Tahoma" w:hAnsi="Tahoma"/>
          <w:rtl/>
        </w:rPr>
        <w:t>לנאשם בעבירות של הסגת גבול.</w:t>
      </w:r>
    </w:p>
    <w:p w14:paraId="3B454EA9" w14:textId="77777777" w:rsidR="00CF35FB" w:rsidRPr="0047776D" w:rsidRDefault="00CF35FB" w:rsidP="00CF35FB">
      <w:pPr>
        <w:numPr>
          <w:ilvl w:val="0"/>
          <w:numId w:val="2"/>
        </w:numPr>
        <w:spacing w:after="120" w:line="360" w:lineRule="auto"/>
        <w:ind w:left="360"/>
        <w:jc w:val="both"/>
        <w:rPr>
          <w:rFonts w:ascii="Tahoma" w:hAnsi="Tahoma"/>
        </w:rPr>
      </w:pPr>
      <w:r w:rsidRPr="0047776D">
        <w:rPr>
          <w:rFonts w:ascii="Tahoma" w:hAnsi="Tahoma"/>
          <w:rtl/>
        </w:rPr>
        <w:t xml:space="preserve">הנאשם הודה </w:t>
      </w:r>
      <w:r w:rsidRPr="0047776D">
        <w:rPr>
          <w:rFonts w:ascii="Tahoma" w:hAnsi="Tahoma" w:hint="cs"/>
          <w:rtl/>
        </w:rPr>
        <w:t xml:space="preserve">אפוא </w:t>
      </w:r>
      <w:r w:rsidRPr="0047776D">
        <w:rPr>
          <w:rFonts w:ascii="Tahoma" w:hAnsi="Tahoma"/>
          <w:rtl/>
        </w:rPr>
        <w:t>בעובדות כתבי האישום בכל התיקים הנ"ל והורשע, על יסוד הודאה זו, בכל העבירות בהן הואשם –</w:t>
      </w:r>
      <w:r w:rsidRPr="0047776D">
        <w:rPr>
          <w:rFonts w:ascii="Tahoma" w:hAnsi="Tahoma" w:hint="cs"/>
          <w:rtl/>
        </w:rPr>
        <w:t xml:space="preserve"> </w:t>
      </w:r>
      <w:r>
        <w:rPr>
          <w:rFonts w:ascii="Tahoma" w:hAnsi="Tahoma" w:hint="cs"/>
          <w:rtl/>
        </w:rPr>
        <w:t xml:space="preserve">והכל </w:t>
      </w:r>
      <w:r w:rsidRPr="0047776D">
        <w:rPr>
          <w:rFonts w:ascii="Tahoma" w:hAnsi="Tahoma"/>
          <w:rtl/>
        </w:rPr>
        <w:t>כמפורט בפסקה 2 דלעיל.</w:t>
      </w:r>
    </w:p>
    <w:p w14:paraId="6CE7712C" w14:textId="77777777" w:rsidR="00CF35FB" w:rsidRPr="0047776D" w:rsidRDefault="00CF35FB" w:rsidP="00CF35FB">
      <w:pPr>
        <w:spacing w:after="120" w:line="360" w:lineRule="auto"/>
        <w:ind w:left="360"/>
        <w:jc w:val="both"/>
        <w:rPr>
          <w:rFonts w:ascii="Tahoma" w:hAnsi="Tahoma"/>
        </w:rPr>
      </w:pPr>
    </w:p>
    <w:p w14:paraId="05EDA5A4" w14:textId="77777777" w:rsidR="00CF35FB" w:rsidRDefault="00CF35FB" w:rsidP="00CF35FB">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הראיות והטיעונים לקביעת העונש:</w:t>
      </w:r>
    </w:p>
    <w:p w14:paraId="08F83369" w14:textId="77777777" w:rsidR="00CF35FB" w:rsidRDefault="00CF35FB" w:rsidP="00CF35FB">
      <w:pPr>
        <w:numPr>
          <w:ilvl w:val="0"/>
          <w:numId w:val="2"/>
        </w:numPr>
        <w:spacing w:after="120" w:line="360" w:lineRule="auto"/>
        <w:ind w:left="360"/>
        <w:jc w:val="both"/>
        <w:rPr>
          <w:rFonts w:ascii="Tahoma" w:hAnsi="Tahoma"/>
          <w:rtl/>
        </w:rPr>
      </w:pPr>
      <w:r>
        <w:rPr>
          <w:rFonts w:ascii="Tahoma" w:hAnsi="Tahoma"/>
          <w:rtl/>
        </w:rPr>
        <w:t xml:space="preserve">ב"כ המאשימה הגישה, כראיות לקביעת העונש, את תדפיסי המידע הפלילי והתעבורתי בעניינו של הנאשם, וכן הגישה את גזר </w:t>
      </w:r>
      <w:r>
        <w:rPr>
          <w:rFonts w:ascii="Tahoma" w:hAnsi="Tahoma" w:hint="cs"/>
          <w:rtl/>
        </w:rPr>
        <w:t>ה</w:t>
      </w:r>
      <w:r>
        <w:rPr>
          <w:rFonts w:ascii="Tahoma" w:hAnsi="Tahoma"/>
          <w:rtl/>
        </w:rPr>
        <w:t>דין בו הושת על הנאשם עונש של מאסר מותנה בן חודשיים, שהוא בר הפעלה לפניי (</w:t>
      </w:r>
      <w:hyperlink r:id="rId52" w:history="1">
        <w:r w:rsidR="002973B0" w:rsidRPr="002973B0">
          <w:rPr>
            <w:rFonts w:ascii="Tahoma" w:hAnsi="Tahoma"/>
            <w:color w:val="0000FF"/>
            <w:u w:val="single"/>
            <w:rtl/>
          </w:rPr>
          <w:t>ת"פ (שלום ת"א) 30261-10-20</w:t>
        </w:r>
      </w:hyperlink>
      <w:r>
        <w:rPr>
          <w:rFonts w:ascii="Tahoma" w:hAnsi="Tahoma"/>
          <w:rtl/>
        </w:rPr>
        <w:t xml:space="preserve">, גזר דין מיום 08.12.2020). כעולה מתדפיסי המידע </w:t>
      </w:r>
      <w:r>
        <w:rPr>
          <w:rFonts w:ascii="Tahoma" w:hAnsi="Tahoma" w:hint="cs"/>
          <w:rtl/>
        </w:rPr>
        <w:t xml:space="preserve">האמורים </w:t>
      </w:r>
      <w:r>
        <w:rPr>
          <w:rFonts w:ascii="Tahoma" w:hAnsi="Tahoma"/>
          <w:rtl/>
        </w:rPr>
        <w:t>לנאשם, יליד שנת 1970, עבר פלילי מכביד למדי, בעיקר בעבירות רכוש, והוא אף נשא בעברו עונשי מאסר בפועל.</w:t>
      </w:r>
    </w:p>
    <w:p w14:paraId="34D90AC7"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בט</w:t>
      </w:r>
      <w:r>
        <w:rPr>
          <w:rFonts w:ascii="Tahoma" w:hAnsi="Tahoma" w:hint="cs"/>
          <w:rtl/>
        </w:rPr>
        <w:t>י</w:t>
      </w:r>
      <w:r>
        <w:rPr>
          <w:rFonts w:ascii="Tahoma" w:hAnsi="Tahoma"/>
          <w:rtl/>
        </w:rPr>
        <w:t xml:space="preserve">עוניה פירטה ב"כ המאשימה את העובדות </w:t>
      </w:r>
      <w:r>
        <w:rPr>
          <w:rFonts w:ascii="Tahoma" w:hAnsi="Tahoma" w:hint="cs"/>
          <w:rtl/>
        </w:rPr>
        <w:t>ה</w:t>
      </w:r>
      <w:r>
        <w:rPr>
          <w:rFonts w:ascii="Tahoma" w:hAnsi="Tahoma"/>
          <w:rtl/>
        </w:rPr>
        <w:t xml:space="preserve">אמורות בששת כתבי האישום, בהן </w:t>
      </w:r>
      <w:r>
        <w:rPr>
          <w:rFonts w:ascii="Tahoma" w:hAnsi="Tahoma" w:hint="cs"/>
          <w:rtl/>
        </w:rPr>
        <w:t xml:space="preserve">כאמור </w:t>
      </w:r>
      <w:r>
        <w:rPr>
          <w:rFonts w:ascii="Tahoma" w:hAnsi="Tahoma"/>
          <w:rtl/>
        </w:rPr>
        <w:t xml:space="preserve">הודה הנאשם, תוך שעמדה על נסיבות החומרה העולות מהן. במיוחד הטעימה התובעת את חומרת האירוע מושא התיק המצורף מרחובות, שבמסגרתו פוטנציאל הנזק </w:t>
      </w:r>
      <w:r>
        <w:rPr>
          <w:rFonts w:ascii="Tahoma" w:hAnsi="Tahoma" w:hint="cs"/>
          <w:rtl/>
        </w:rPr>
        <w:t xml:space="preserve">הצפוי </w:t>
      </w:r>
      <w:r>
        <w:rPr>
          <w:rFonts w:ascii="Tahoma" w:hAnsi="Tahoma"/>
          <w:rtl/>
        </w:rPr>
        <w:t>היה גבוה במיוחד</w:t>
      </w:r>
      <w:r>
        <w:rPr>
          <w:rFonts w:ascii="Tahoma" w:hAnsi="Tahoma" w:hint="cs"/>
          <w:rtl/>
        </w:rPr>
        <w:t xml:space="preserve">. באותו אירוע נהג </w:t>
      </w:r>
      <w:r>
        <w:rPr>
          <w:rFonts w:ascii="Tahoma" w:hAnsi="Tahoma"/>
          <w:rtl/>
        </w:rPr>
        <w:t xml:space="preserve">הנאשם </w:t>
      </w:r>
      <w:r>
        <w:rPr>
          <w:rFonts w:ascii="Tahoma" w:hAnsi="Tahoma" w:hint="cs"/>
          <w:rtl/>
        </w:rPr>
        <w:t xml:space="preserve">בטרנזיט </w:t>
      </w:r>
      <w:r>
        <w:rPr>
          <w:rFonts w:ascii="Tahoma" w:hAnsi="Tahoma"/>
          <w:rtl/>
        </w:rPr>
        <w:t xml:space="preserve">במהירות, ללא רישיון נהיגה וכשבגופו תוצרי חילוף של סמים מסוכנים – ורק בנס לא נגרם </w:t>
      </w:r>
      <w:r>
        <w:rPr>
          <w:rFonts w:ascii="Tahoma" w:hAnsi="Tahoma" w:hint="cs"/>
          <w:rtl/>
        </w:rPr>
        <w:t xml:space="preserve">בפועל </w:t>
      </w:r>
      <w:r>
        <w:rPr>
          <w:rFonts w:ascii="Tahoma" w:hAnsi="Tahoma"/>
          <w:rtl/>
        </w:rPr>
        <w:t xml:space="preserve">נזק חמור בהרבה. </w:t>
      </w:r>
    </w:p>
    <w:p w14:paraId="057F40A6"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 xml:space="preserve">אשר לערכים החברתיים המוגנים, שנפגעו כתולדה ממעשיו של הנאשם, ציינה התובעת לא רק את הפגיעה בהגנה על </w:t>
      </w:r>
      <w:r>
        <w:rPr>
          <w:rFonts w:ascii="Tahoma" w:hAnsi="Tahoma" w:hint="cs"/>
          <w:rtl/>
        </w:rPr>
        <w:t>ה</w:t>
      </w:r>
      <w:r>
        <w:rPr>
          <w:rFonts w:ascii="Tahoma" w:hAnsi="Tahoma"/>
          <w:rtl/>
        </w:rPr>
        <w:t>רכוש ו</w:t>
      </w:r>
      <w:r>
        <w:rPr>
          <w:rFonts w:ascii="Tahoma" w:hAnsi="Tahoma" w:hint="cs"/>
          <w:rtl/>
        </w:rPr>
        <w:t xml:space="preserve">על </w:t>
      </w:r>
      <w:r>
        <w:rPr>
          <w:rFonts w:ascii="Tahoma" w:hAnsi="Tahoma"/>
          <w:rtl/>
        </w:rPr>
        <w:t>קניין הפרט</w:t>
      </w:r>
      <w:r>
        <w:rPr>
          <w:rFonts w:ascii="Tahoma" w:hAnsi="Tahoma" w:hint="cs"/>
          <w:rtl/>
        </w:rPr>
        <w:t>,</w:t>
      </w:r>
      <w:r>
        <w:rPr>
          <w:rFonts w:ascii="Tahoma" w:hAnsi="Tahoma"/>
          <w:rtl/>
        </w:rPr>
        <w:t xml:space="preserve"> אלא גם את הפגיעה בהגנה על שלום הציבור. עוד הדגישה התובעת את הפגיעה בהגנה על שלום ציבור המשתמשים בדרך, כאשר </w:t>
      </w:r>
      <w:r>
        <w:rPr>
          <w:rFonts w:ascii="Tahoma" w:hAnsi="Tahoma" w:hint="cs"/>
          <w:rtl/>
        </w:rPr>
        <w:t xml:space="preserve">במכלול נסיבות העניין </w:t>
      </w:r>
      <w:r>
        <w:rPr>
          <w:rFonts w:ascii="Tahoma" w:hAnsi="Tahoma"/>
          <w:rtl/>
        </w:rPr>
        <w:t>מידת הפגיעה בערכים החברתיים המוגנים היא לשיטתה גבוהה.</w:t>
      </w:r>
    </w:p>
    <w:p w14:paraId="7DDFD74C"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 xml:space="preserve">אשר למדיניות הענישה הנהוגה הפנתה ב"כ המאשימה, לעניין התיק המצורף מרחובות, לעפ"ג (מחוזי ב"ש) 57099-04-24 </w:t>
      </w:r>
      <w:r>
        <w:rPr>
          <w:rFonts w:ascii="Tahoma" w:hAnsi="Tahoma"/>
          <w:b/>
          <w:bCs/>
          <w:rtl/>
        </w:rPr>
        <w:t>מדינת ישראל נ'</w:t>
      </w:r>
      <w:r>
        <w:rPr>
          <w:rFonts w:ascii="Tahoma" w:hAnsi="Tahoma"/>
          <w:rtl/>
        </w:rPr>
        <w:t xml:space="preserve"> </w:t>
      </w:r>
      <w:r>
        <w:rPr>
          <w:rFonts w:ascii="Tahoma" w:hAnsi="Tahoma"/>
          <w:b/>
          <w:bCs/>
          <w:rtl/>
        </w:rPr>
        <w:t>עול</w:t>
      </w:r>
      <w:r>
        <w:rPr>
          <w:rFonts w:ascii="Tahoma" w:hAnsi="Tahoma"/>
          <w:rtl/>
        </w:rPr>
        <w:t xml:space="preserve"> (19.06.2024). באותו מקרה נקבע מתחם עונש הולם שבין 16 חודשי מאסר בפועל לבין 32 חודשי מאסר בפועל, אך דובר במקרה חמור בהרבה, שכלל בין השאר עקירת מכשיר כספומט ממקומו וגרירתו מאחורי רכב באופן שגרם לסיכון משמעותי בדרכים. עוד הפנתה </w:t>
      </w:r>
      <w:r>
        <w:rPr>
          <w:rFonts w:ascii="Tahoma" w:hAnsi="Tahoma" w:hint="cs"/>
          <w:rtl/>
        </w:rPr>
        <w:t xml:space="preserve">ב"כ המאשימה </w:t>
      </w:r>
      <w:r>
        <w:rPr>
          <w:rFonts w:ascii="Tahoma" w:hAnsi="Tahoma"/>
          <w:rtl/>
        </w:rPr>
        <w:t>ל</w:t>
      </w:r>
      <w:hyperlink r:id="rId53" w:history="1">
        <w:r w:rsidR="002973B0" w:rsidRPr="002973B0">
          <w:rPr>
            <w:rFonts w:ascii="Tahoma" w:hAnsi="Tahoma"/>
            <w:color w:val="0000FF"/>
            <w:u w:val="single"/>
            <w:rtl/>
          </w:rPr>
          <w:t>עפ"ת (מחוזי ת"א) 52695-05-24</w:t>
        </w:r>
      </w:hyperlink>
      <w:r>
        <w:rPr>
          <w:rFonts w:ascii="Tahoma" w:hAnsi="Tahoma"/>
          <w:rtl/>
        </w:rPr>
        <w:t xml:space="preserve"> </w:t>
      </w:r>
      <w:r>
        <w:rPr>
          <w:rFonts w:ascii="Tahoma" w:hAnsi="Tahoma"/>
          <w:b/>
          <w:bCs/>
          <w:rtl/>
        </w:rPr>
        <w:t>מדינת ישראל נ' אלוני</w:t>
      </w:r>
      <w:r>
        <w:rPr>
          <w:rFonts w:ascii="Tahoma" w:hAnsi="Tahoma"/>
          <w:rtl/>
        </w:rPr>
        <w:t xml:space="preserve"> (13.06.2024)</w:t>
      </w:r>
      <w:r>
        <w:rPr>
          <w:rFonts w:ascii="Tahoma" w:hAnsi="Tahoma" w:hint="cs"/>
          <w:rtl/>
        </w:rPr>
        <w:t>,</w:t>
      </w:r>
      <w:r>
        <w:rPr>
          <w:rFonts w:ascii="Tahoma" w:hAnsi="Tahoma"/>
          <w:rtl/>
        </w:rPr>
        <w:t xml:space="preserve"> שם נקבע מתחם עונש הולם שבין 10 חודשי מאסר בפועל לבין 20 חודשי מאסר בפועל בגין </w:t>
      </w:r>
      <w:r>
        <w:rPr>
          <w:rFonts w:ascii="Tahoma" w:hAnsi="Tahoma" w:hint="cs"/>
          <w:rtl/>
        </w:rPr>
        <w:t xml:space="preserve">ביצוע </w:t>
      </w:r>
      <w:r>
        <w:rPr>
          <w:rFonts w:ascii="Tahoma" w:hAnsi="Tahoma"/>
          <w:rtl/>
        </w:rPr>
        <w:t>עבירות של נהיגה ללא רישיון נהיגה לסוג הרכב, סירוב לבדיקת דם לאיתור אלכוהול, נהיגה בקלות ראש, סטייה מנתיב נסיעה תוך סיכון התנועה, נהיגה ברכב ללא ביטוח, התנהגות הגורמת נזק ואי ציות לשוטר במדים. בנוסף לשוני בעבירות, במקרה ה</w:t>
      </w:r>
      <w:r>
        <w:rPr>
          <w:rFonts w:ascii="Tahoma" w:hAnsi="Tahoma" w:hint="cs"/>
          <w:rtl/>
        </w:rPr>
        <w:t xml:space="preserve">אמור </w:t>
      </w:r>
      <w:r>
        <w:rPr>
          <w:rFonts w:ascii="Tahoma" w:hAnsi="Tahoma"/>
          <w:rtl/>
        </w:rPr>
        <w:t xml:space="preserve">נהג הנאשם </w:t>
      </w:r>
      <w:r>
        <w:rPr>
          <w:rFonts w:ascii="Tahoma" w:hAnsi="Tahoma" w:hint="cs"/>
          <w:rtl/>
        </w:rPr>
        <w:t xml:space="preserve">דשם </w:t>
      </w:r>
      <w:r>
        <w:rPr>
          <w:rFonts w:ascii="Tahoma" w:hAnsi="Tahoma"/>
          <w:rtl/>
        </w:rPr>
        <w:t>ללא צמיג ימני אחורי ו</w:t>
      </w:r>
      <w:r>
        <w:rPr>
          <w:rFonts w:ascii="Tahoma" w:hAnsi="Tahoma" w:hint="cs"/>
          <w:rtl/>
        </w:rPr>
        <w:t>כ</w:t>
      </w:r>
      <w:r>
        <w:rPr>
          <w:rFonts w:ascii="Tahoma" w:hAnsi="Tahoma"/>
          <w:rtl/>
        </w:rPr>
        <w:t xml:space="preserve">שנדרש לעצור נמלט </w:t>
      </w:r>
      <w:r>
        <w:rPr>
          <w:rFonts w:ascii="Tahoma" w:hAnsi="Tahoma" w:hint="cs"/>
          <w:rtl/>
        </w:rPr>
        <w:t xml:space="preserve">מהשוטרים </w:t>
      </w:r>
      <w:r>
        <w:rPr>
          <w:rFonts w:ascii="Tahoma" w:hAnsi="Tahoma"/>
          <w:rtl/>
        </w:rPr>
        <w:t>בנס</w:t>
      </w:r>
      <w:r>
        <w:rPr>
          <w:rFonts w:ascii="Tahoma" w:hAnsi="Tahoma" w:hint="cs"/>
          <w:rtl/>
        </w:rPr>
        <w:t>י</w:t>
      </w:r>
      <w:r>
        <w:rPr>
          <w:rFonts w:ascii="Tahoma" w:hAnsi="Tahoma"/>
          <w:rtl/>
        </w:rPr>
        <w:t>עה מסוכנת במיוחד.</w:t>
      </w:r>
    </w:p>
    <w:p w14:paraId="0F538B41" w14:textId="77777777" w:rsidR="00CF35FB" w:rsidRPr="00AB19A5" w:rsidRDefault="00CF35FB" w:rsidP="00CF35FB">
      <w:pPr>
        <w:numPr>
          <w:ilvl w:val="0"/>
          <w:numId w:val="2"/>
        </w:numPr>
        <w:spacing w:after="120" w:line="360" w:lineRule="auto"/>
        <w:ind w:left="360"/>
        <w:jc w:val="both"/>
        <w:rPr>
          <w:rFonts w:ascii="Tahoma" w:hAnsi="Tahoma"/>
        </w:rPr>
      </w:pPr>
      <w:r w:rsidRPr="00AB19A5">
        <w:rPr>
          <w:rFonts w:ascii="Tahoma" w:hAnsi="Tahoma" w:hint="cs"/>
          <w:rtl/>
        </w:rPr>
        <w:t xml:space="preserve">מכל מקום, </w:t>
      </w:r>
      <w:r w:rsidRPr="00AB19A5">
        <w:rPr>
          <w:rFonts w:ascii="Tahoma" w:hAnsi="Tahoma"/>
          <w:rtl/>
        </w:rPr>
        <w:t>בסיכומו של דבר</w:t>
      </w:r>
      <w:r w:rsidRPr="00AB19A5">
        <w:rPr>
          <w:rFonts w:ascii="Tahoma" w:hAnsi="Tahoma" w:hint="cs"/>
          <w:rtl/>
        </w:rPr>
        <w:t xml:space="preserve"> ו</w:t>
      </w:r>
      <w:r w:rsidRPr="00AB19A5">
        <w:rPr>
          <w:rFonts w:ascii="Tahoma" w:hAnsi="Tahoma"/>
          <w:rtl/>
        </w:rPr>
        <w:t xml:space="preserve">לרקע טיעוניה האמורים עתרה ב"כ המאשימה לקביעת מתחם עונש הולם נפרד </w:t>
      </w:r>
      <w:r w:rsidRPr="00AB19A5">
        <w:rPr>
          <w:rFonts w:ascii="Tahoma" w:hAnsi="Tahoma" w:hint="cs"/>
          <w:rtl/>
        </w:rPr>
        <w:t>ל</w:t>
      </w:r>
      <w:r w:rsidRPr="00AB19A5">
        <w:rPr>
          <w:rFonts w:ascii="Tahoma" w:hAnsi="Tahoma"/>
          <w:rtl/>
        </w:rPr>
        <w:t>כל אחד מ</w:t>
      </w:r>
      <w:r w:rsidRPr="00AB19A5">
        <w:rPr>
          <w:rFonts w:ascii="Tahoma" w:hAnsi="Tahoma" w:hint="cs"/>
          <w:rtl/>
        </w:rPr>
        <w:t xml:space="preserve">ששת </w:t>
      </w:r>
      <w:r w:rsidRPr="00AB19A5">
        <w:rPr>
          <w:rFonts w:ascii="Tahoma" w:hAnsi="Tahoma"/>
          <w:rtl/>
        </w:rPr>
        <w:t>התיקים –</w:t>
      </w:r>
      <w:r w:rsidRPr="00AB19A5">
        <w:rPr>
          <w:rFonts w:ascii="Tahoma" w:hAnsi="Tahoma" w:hint="cs"/>
          <w:rtl/>
        </w:rPr>
        <w:t xml:space="preserve"> </w:t>
      </w:r>
      <w:r w:rsidRPr="00AB19A5">
        <w:rPr>
          <w:rFonts w:ascii="Tahoma" w:hAnsi="Tahoma"/>
          <w:rtl/>
        </w:rPr>
        <w:t xml:space="preserve">נוכח </w:t>
      </w:r>
      <w:r>
        <w:rPr>
          <w:rFonts w:ascii="Tahoma" w:hAnsi="Tahoma" w:hint="cs"/>
          <w:rtl/>
        </w:rPr>
        <w:t xml:space="preserve">מועדי הביצוע השונים </w:t>
      </w:r>
      <w:r w:rsidRPr="00AB19A5">
        <w:rPr>
          <w:rFonts w:ascii="Tahoma" w:hAnsi="Tahoma"/>
          <w:rtl/>
        </w:rPr>
        <w:t xml:space="preserve">והקורבנות השונים בהם מדובר בתיקים אלה. בכל התיקים, למעט התיק המצורף מרחובות, עתרה ב"כ המאשימה לקביעת מתחם עונש הולם שבין מאסר מותנה לבין מספר חודשי מאסר בפועל. להבדיל, בעניין התיק המצורף מרחובות עתרה ב"כ המאשימה לקביעת מתחם עונש הולם שבין 14 חודשי מאסר בפועל לבין 24 חודשי מאסר בפועל. </w:t>
      </w:r>
    </w:p>
    <w:p w14:paraId="1311EDD8" w14:textId="77777777" w:rsidR="00CF35FB" w:rsidRPr="00D23996" w:rsidRDefault="00CF35FB" w:rsidP="00CF35FB">
      <w:pPr>
        <w:numPr>
          <w:ilvl w:val="0"/>
          <w:numId w:val="2"/>
        </w:numPr>
        <w:spacing w:after="120" w:line="360" w:lineRule="auto"/>
        <w:ind w:left="360"/>
        <w:jc w:val="both"/>
        <w:rPr>
          <w:rFonts w:ascii="Tahoma" w:hAnsi="Tahoma"/>
        </w:rPr>
      </w:pPr>
      <w:r w:rsidRPr="00D23996">
        <w:rPr>
          <w:rFonts w:ascii="Tahoma" w:hAnsi="Tahoma"/>
          <w:rtl/>
        </w:rPr>
        <w:t>אשר לגזירת עונשו של הנאשם בתוך מתחמי העונש ההולמים עמדה התובעת על עברו הפלילי המכביד של הנאשם, הכולל כאמור הרשעות שבגינן נשא עונשי מאסר בפועל. במיוחד הדגישה</w:t>
      </w:r>
      <w:r w:rsidRPr="00D23996">
        <w:rPr>
          <w:rFonts w:ascii="Tahoma" w:hAnsi="Tahoma" w:hint="cs"/>
          <w:rtl/>
        </w:rPr>
        <w:t xml:space="preserve"> התובעת</w:t>
      </w:r>
      <w:r w:rsidRPr="00D23996">
        <w:rPr>
          <w:rFonts w:ascii="Tahoma" w:hAnsi="Tahoma"/>
          <w:rtl/>
        </w:rPr>
        <w:t xml:space="preserve">, בהקשר זה, את העובדה שהנאשם ביצע את העבירות כאשר מעל ראשו מרחף עונש של מאסר מותנה, אותו היא עתרה להפעיל. עם זאת ציינה </w:t>
      </w:r>
      <w:r w:rsidRPr="00D23996">
        <w:rPr>
          <w:rFonts w:ascii="Tahoma" w:hAnsi="Tahoma" w:hint="cs"/>
          <w:rtl/>
        </w:rPr>
        <w:t xml:space="preserve">התובעת </w:t>
      </w:r>
      <w:r w:rsidRPr="00D23996">
        <w:rPr>
          <w:rFonts w:ascii="Tahoma" w:hAnsi="Tahoma"/>
          <w:rtl/>
        </w:rPr>
        <w:t xml:space="preserve">גם את </w:t>
      </w:r>
      <w:r w:rsidRPr="00D23996">
        <w:rPr>
          <w:rFonts w:ascii="Tahoma" w:hAnsi="Tahoma" w:hint="cs"/>
          <w:rtl/>
        </w:rPr>
        <w:t xml:space="preserve">נסיבות הקולה </w:t>
      </w:r>
      <w:r w:rsidRPr="00D23996">
        <w:rPr>
          <w:rFonts w:ascii="Tahoma" w:hAnsi="Tahoma"/>
          <w:rtl/>
        </w:rPr>
        <w:t>–</w:t>
      </w:r>
      <w:r w:rsidRPr="00D23996">
        <w:rPr>
          <w:rFonts w:ascii="Tahoma" w:hAnsi="Tahoma" w:hint="cs"/>
          <w:rtl/>
        </w:rPr>
        <w:t xml:space="preserve"> </w:t>
      </w:r>
      <w:r w:rsidRPr="00D23996">
        <w:rPr>
          <w:rFonts w:ascii="Tahoma" w:hAnsi="Tahoma"/>
          <w:rtl/>
        </w:rPr>
        <w:t>ההודאה ונטילת האחריות, כמו גם צירוף התיקים</w:t>
      </w:r>
      <w:r w:rsidRPr="00D23996">
        <w:rPr>
          <w:rFonts w:ascii="Tahoma" w:hAnsi="Tahoma" w:hint="cs"/>
          <w:rtl/>
        </w:rPr>
        <w:t xml:space="preserve"> </w:t>
      </w:r>
      <w:r w:rsidRPr="00D23996">
        <w:rPr>
          <w:rFonts w:ascii="Tahoma" w:hAnsi="Tahoma"/>
          <w:rtl/>
        </w:rPr>
        <w:t>–</w:t>
      </w:r>
      <w:r w:rsidRPr="00D23996">
        <w:rPr>
          <w:rFonts w:ascii="Tahoma" w:hAnsi="Tahoma" w:hint="cs"/>
          <w:rtl/>
        </w:rPr>
        <w:t xml:space="preserve"> </w:t>
      </w:r>
      <w:r w:rsidRPr="00D23996">
        <w:rPr>
          <w:rFonts w:ascii="Tahoma" w:hAnsi="Tahoma"/>
          <w:rtl/>
        </w:rPr>
        <w:t xml:space="preserve">ובשורה התחתונה עתרה </w:t>
      </w:r>
      <w:r w:rsidRPr="00D23996">
        <w:rPr>
          <w:rFonts w:ascii="Tahoma" w:hAnsi="Tahoma" w:hint="cs"/>
          <w:rtl/>
        </w:rPr>
        <w:t>לגזור את העונש בחלק העליון של מתחמי העונש ההולמים ו</w:t>
      </w:r>
      <w:r w:rsidRPr="00D23996">
        <w:rPr>
          <w:rFonts w:ascii="Tahoma" w:hAnsi="Tahoma"/>
          <w:rtl/>
        </w:rPr>
        <w:t xml:space="preserve">להשית על הנאשם עונש </w:t>
      </w:r>
      <w:r w:rsidRPr="00D23996">
        <w:rPr>
          <w:rFonts w:ascii="Tahoma" w:hAnsi="Tahoma" w:hint="cs"/>
          <w:rtl/>
        </w:rPr>
        <w:t xml:space="preserve">כולל של </w:t>
      </w:r>
      <w:r w:rsidRPr="00D23996">
        <w:rPr>
          <w:rFonts w:ascii="Tahoma" w:hAnsi="Tahoma"/>
          <w:rtl/>
        </w:rPr>
        <w:t xml:space="preserve">24 חודשי מאסר בפועל, הפעלת </w:t>
      </w:r>
      <w:r w:rsidRPr="00D23996">
        <w:rPr>
          <w:rFonts w:ascii="Tahoma" w:hAnsi="Tahoma" w:hint="cs"/>
          <w:rtl/>
        </w:rPr>
        <w:t>ה</w:t>
      </w:r>
      <w:r w:rsidRPr="00D23996">
        <w:rPr>
          <w:rFonts w:ascii="Tahoma" w:hAnsi="Tahoma"/>
          <w:rtl/>
        </w:rPr>
        <w:t xml:space="preserve">מאסר </w:t>
      </w:r>
      <w:r w:rsidRPr="00D23996">
        <w:rPr>
          <w:rFonts w:ascii="Tahoma" w:hAnsi="Tahoma" w:hint="cs"/>
          <w:rtl/>
        </w:rPr>
        <w:t>ה</w:t>
      </w:r>
      <w:r w:rsidRPr="00D23996">
        <w:rPr>
          <w:rFonts w:ascii="Tahoma" w:hAnsi="Tahoma"/>
          <w:rtl/>
        </w:rPr>
        <w:t>מותנה, קנס כספי ופסילת רישיון נהיגה בפועל ועל תנאי.</w:t>
      </w:r>
    </w:p>
    <w:p w14:paraId="31DE37E9"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 xml:space="preserve">ב"כ הנאשם, מצידה, תיארה באופן מוחשי את הרקע לביצוע העבירות כרקע של עוני </w:t>
      </w:r>
      <w:r>
        <w:rPr>
          <w:rFonts w:ascii="Tahoma" w:hAnsi="Tahoma" w:hint="cs"/>
          <w:rtl/>
        </w:rPr>
        <w:t xml:space="preserve">קשה </w:t>
      </w:r>
      <w:r>
        <w:rPr>
          <w:rFonts w:ascii="Tahoma" w:hAnsi="Tahoma"/>
          <w:rtl/>
        </w:rPr>
        <w:t>– כאשר הנאשם, דר רחוב ומכור לסמים</w:t>
      </w:r>
      <w:r>
        <w:rPr>
          <w:rFonts w:ascii="Tahoma" w:hAnsi="Tahoma" w:hint="cs"/>
          <w:rtl/>
        </w:rPr>
        <w:t xml:space="preserve"> מסוכנים</w:t>
      </w:r>
      <w:r>
        <w:rPr>
          <w:rFonts w:ascii="Tahoma" w:hAnsi="Tahoma"/>
          <w:rtl/>
        </w:rPr>
        <w:t>, הסיג גבול למקומות בהם יכול היה למצוא אוכל</w:t>
      </w:r>
      <w:r>
        <w:rPr>
          <w:rFonts w:ascii="Tahoma" w:hAnsi="Tahoma" w:hint="cs"/>
          <w:rtl/>
        </w:rPr>
        <w:t xml:space="preserve"> כדי לשבור את רעבונו</w:t>
      </w:r>
      <w:r>
        <w:rPr>
          <w:rFonts w:ascii="Tahoma" w:hAnsi="Tahoma"/>
          <w:rtl/>
        </w:rPr>
        <w:t>. ב"כ הנאשם לא חלקה על עתירת המאשימה לקב</w:t>
      </w:r>
      <w:r>
        <w:rPr>
          <w:rFonts w:ascii="Tahoma" w:hAnsi="Tahoma" w:hint="cs"/>
          <w:rtl/>
        </w:rPr>
        <w:t>יעת</w:t>
      </w:r>
      <w:r>
        <w:rPr>
          <w:rFonts w:ascii="Tahoma" w:hAnsi="Tahoma"/>
          <w:rtl/>
        </w:rPr>
        <w:t xml:space="preserve"> מתח</w:t>
      </w:r>
      <w:r>
        <w:rPr>
          <w:rFonts w:ascii="Tahoma" w:hAnsi="Tahoma" w:hint="cs"/>
          <w:rtl/>
        </w:rPr>
        <w:t>מי</w:t>
      </w:r>
      <w:r>
        <w:rPr>
          <w:rFonts w:ascii="Tahoma" w:hAnsi="Tahoma"/>
          <w:rtl/>
        </w:rPr>
        <w:t xml:space="preserve"> עונש הול</w:t>
      </w:r>
      <w:r>
        <w:rPr>
          <w:rFonts w:ascii="Tahoma" w:hAnsi="Tahoma" w:hint="cs"/>
          <w:rtl/>
        </w:rPr>
        <w:t>מי</w:t>
      </w:r>
      <w:r>
        <w:rPr>
          <w:rFonts w:ascii="Tahoma" w:hAnsi="Tahoma"/>
          <w:rtl/>
        </w:rPr>
        <w:t>ם נפרד</w:t>
      </w:r>
      <w:r>
        <w:rPr>
          <w:rFonts w:ascii="Tahoma" w:hAnsi="Tahoma" w:hint="cs"/>
          <w:rtl/>
        </w:rPr>
        <w:t>ים</w:t>
      </w:r>
      <w:r>
        <w:rPr>
          <w:rFonts w:ascii="Tahoma" w:hAnsi="Tahoma"/>
          <w:rtl/>
        </w:rPr>
        <w:t xml:space="preserve"> לכל אחד מהתיקים ואף הסכימה כי עתירה ב"כ המאשימה למתחמים </w:t>
      </w:r>
      <w:r>
        <w:rPr>
          <w:rFonts w:ascii="Tahoma" w:hAnsi="Tahoma" w:hint="cs"/>
          <w:rtl/>
        </w:rPr>
        <w:t xml:space="preserve">אלה </w:t>
      </w:r>
      <w:r>
        <w:rPr>
          <w:rFonts w:ascii="Tahoma" w:hAnsi="Tahoma"/>
          <w:rtl/>
        </w:rPr>
        <w:t xml:space="preserve">– למעט בעניין התיק המצורף מרחובות – </w:t>
      </w:r>
      <w:r>
        <w:rPr>
          <w:rFonts w:ascii="Tahoma" w:hAnsi="Tahoma" w:hint="cs"/>
          <w:rtl/>
        </w:rPr>
        <w:t xml:space="preserve">אכן </w:t>
      </w:r>
      <w:r>
        <w:rPr>
          <w:rFonts w:ascii="Tahoma" w:hAnsi="Tahoma"/>
          <w:rtl/>
        </w:rPr>
        <w:t xml:space="preserve">משקפת את מדיניות הענישה הנהוגה. בד בבד האירה ב"כ הנאשם את </w:t>
      </w:r>
      <w:r>
        <w:rPr>
          <w:rFonts w:ascii="Tahoma" w:hAnsi="Tahoma" w:hint="cs"/>
          <w:rtl/>
        </w:rPr>
        <w:t>ה</w:t>
      </w:r>
      <w:r>
        <w:rPr>
          <w:rFonts w:ascii="Tahoma" w:hAnsi="Tahoma"/>
          <w:rtl/>
        </w:rPr>
        <w:t xml:space="preserve">עובדות </w:t>
      </w:r>
      <w:r>
        <w:rPr>
          <w:rFonts w:ascii="Tahoma" w:hAnsi="Tahoma" w:hint="cs"/>
          <w:rtl/>
        </w:rPr>
        <w:t xml:space="preserve">הספציפיות של </w:t>
      </w:r>
      <w:r>
        <w:rPr>
          <w:rFonts w:ascii="Tahoma" w:hAnsi="Tahoma"/>
          <w:rtl/>
        </w:rPr>
        <w:t xml:space="preserve">חמשת התיקים </w:t>
      </w:r>
      <w:r>
        <w:rPr>
          <w:rFonts w:ascii="Tahoma" w:hAnsi="Tahoma" w:hint="cs"/>
          <w:rtl/>
        </w:rPr>
        <w:t xml:space="preserve">האמורים </w:t>
      </w:r>
      <w:r>
        <w:rPr>
          <w:rFonts w:ascii="Tahoma" w:hAnsi="Tahoma"/>
          <w:rtl/>
        </w:rPr>
        <w:t xml:space="preserve">מזווית עוניו ונסיבות החיים הקשות של הנאשם, כאשר לשיטתה מדובר בתיקים </w:t>
      </w:r>
      <w:r>
        <w:rPr>
          <w:rFonts w:ascii="Tahoma" w:hAnsi="Tahoma" w:hint="cs"/>
          <w:rtl/>
        </w:rPr>
        <w:t xml:space="preserve">המצויים </w:t>
      </w:r>
      <w:r>
        <w:rPr>
          <w:rFonts w:ascii="Tahoma" w:hAnsi="Tahoma"/>
          <w:rtl/>
        </w:rPr>
        <w:t>ברף חומרה נמוך.</w:t>
      </w:r>
    </w:p>
    <w:p w14:paraId="3513A137"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לטענת הסניגורית, אלמלא התיק המצורף מרחובות והיות הנאשם במעצר – משום שלא יכול היה להמציא ערובות לשחרור – עניינו של הנאשם היה מסתיים בענישה צופה פני עתי</w:t>
      </w:r>
      <w:r>
        <w:rPr>
          <w:rFonts w:ascii="Tahoma" w:hAnsi="Tahoma" w:hint="cs"/>
          <w:rtl/>
        </w:rPr>
        <w:t>ד</w:t>
      </w:r>
      <w:r>
        <w:rPr>
          <w:rFonts w:ascii="Tahoma" w:hAnsi="Tahoma"/>
          <w:rtl/>
        </w:rPr>
        <w:t xml:space="preserve"> גרידא. הסניגורית </w:t>
      </w:r>
      <w:r>
        <w:rPr>
          <w:rFonts w:ascii="Tahoma" w:hAnsi="Tahoma" w:hint="cs"/>
          <w:rtl/>
        </w:rPr>
        <w:t xml:space="preserve">אמנם </w:t>
      </w:r>
      <w:r>
        <w:rPr>
          <w:rFonts w:ascii="Tahoma" w:hAnsi="Tahoma"/>
          <w:rtl/>
        </w:rPr>
        <w:t xml:space="preserve">ערה לכך שהתיק המצורף מרחובות הוא ברף חומרה גבוה </w:t>
      </w:r>
      <w:r>
        <w:rPr>
          <w:rFonts w:ascii="Tahoma" w:hAnsi="Tahoma" w:hint="cs"/>
          <w:rtl/>
        </w:rPr>
        <w:t>משמעותית</w:t>
      </w:r>
      <w:r>
        <w:rPr>
          <w:rFonts w:ascii="Tahoma" w:hAnsi="Tahoma"/>
          <w:rtl/>
        </w:rPr>
        <w:t xml:space="preserve">, אך </w:t>
      </w:r>
      <w:r>
        <w:rPr>
          <w:rFonts w:ascii="Tahoma" w:hAnsi="Tahoma" w:hint="cs"/>
          <w:rtl/>
        </w:rPr>
        <w:t xml:space="preserve">עדיין </w:t>
      </w:r>
      <w:r>
        <w:rPr>
          <w:rFonts w:ascii="Tahoma" w:hAnsi="Tahoma"/>
          <w:rtl/>
        </w:rPr>
        <w:t xml:space="preserve">לשיטתה עתירת ב"כ המאשימה </w:t>
      </w:r>
      <w:r>
        <w:rPr>
          <w:rFonts w:ascii="Tahoma" w:hAnsi="Tahoma" w:hint="cs"/>
          <w:rtl/>
        </w:rPr>
        <w:t xml:space="preserve">לענישה מחמירה </w:t>
      </w:r>
      <w:r>
        <w:rPr>
          <w:rFonts w:ascii="Tahoma" w:hAnsi="Tahoma"/>
          <w:rtl/>
        </w:rPr>
        <w:t xml:space="preserve">אינה ראויה. לשיטת הסניגורית, מתחם העונש ההולם בגין </w:t>
      </w:r>
      <w:r>
        <w:rPr>
          <w:rFonts w:ascii="Tahoma" w:hAnsi="Tahoma" w:hint="cs"/>
          <w:rtl/>
        </w:rPr>
        <w:t xml:space="preserve">התיק המצורף מרחובות </w:t>
      </w:r>
      <w:r>
        <w:rPr>
          <w:rFonts w:ascii="Tahoma" w:hAnsi="Tahoma"/>
          <w:rtl/>
        </w:rPr>
        <w:t>צריך להתחיל ממספר חד ספרתי של חודשי מאסר, לנשיאה בדרך של עבודות שירות</w:t>
      </w:r>
      <w:r>
        <w:rPr>
          <w:rFonts w:ascii="Tahoma" w:hAnsi="Tahoma" w:hint="cs"/>
          <w:rtl/>
        </w:rPr>
        <w:t>, ולא יותר מכך</w:t>
      </w:r>
      <w:r>
        <w:rPr>
          <w:rFonts w:ascii="Tahoma" w:hAnsi="Tahoma"/>
          <w:rtl/>
        </w:rPr>
        <w:t>.</w:t>
      </w:r>
    </w:p>
    <w:p w14:paraId="4D1C7DF7"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 xml:space="preserve">לעניין מדיניות הענישה הפנתה הסניגורית לפסיקה, אך במקרים קלים מבענייננו. כך, למשל, הפנתה </w:t>
      </w:r>
      <w:r>
        <w:rPr>
          <w:rFonts w:ascii="Tahoma" w:hAnsi="Tahoma" w:hint="cs"/>
          <w:rtl/>
        </w:rPr>
        <w:t xml:space="preserve">הסניגורית </w:t>
      </w:r>
      <w:r>
        <w:rPr>
          <w:rFonts w:ascii="Tahoma" w:hAnsi="Tahoma"/>
          <w:rtl/>
        </w:rPr>
        <w:t>ל</w:t>
      </w:r>
      <w:hyperlink r:id="rId54" w:history="1">
        <w:r w:rsidR="002973B0" w:rsidRPr="002973B0">
          <w:rPr>
            <w:rFonts w:ascii="Tahoma" w:hAnsi="Tahoma"/>
            <w:color w:val="0000FF"/>
            <w:u w:val="single"/>
            <w:rtl/>
          </w:rPr>
          <w:t>ת"פ (שלום י-ם) 8389-04-19</w:t>
        </w:r>
      </w:hyperlink>
      <w:r>
        <w:rPr>
          <w:rFonts w:ascii="Tahoma" w:hAnsi="Tahoma"/>
          <w:rtl/>
        </w:rPr>
        <w:t xml:space="preserve"> </w:t>
      </w:r>
      <w:r>
        <w:rPr>
          <w:rFonts w:ascii="Tahoma" w:hAnsi="Tahoma"/>
          <w:b/>
          <w:bCs/>
          <w:rtl/>
        </w:rPr>
        <w:t>מדינת ישראל נ' חדר</w:t>
      </w:r>
      <w:r>
        <w:rPr>
          <w:rFonts w:ascii="Tahoma" w:hAnsi="Tahoma"/>
          <w:rtl/>
        </w:rPr>
        <w:t xml:space="preserve"> (04.03.2021), שם נקבע מתחם עונש הולם שבין מאסר לכמה חודשים, לנשיאה בעבודות שירות, לבין 10 חודשי מאסר בפועל, אך במקרה של קבלת רכב גנוב ונהיגה ברכב ללא רישיון בלבד. כך גם ב</w:t>
      </w:r>
      <w:hyperlink r:id="rId55" w:history="1">
        <w:r w:rsidR="002973B0" w:rsidRPr="002973B0">
          <w:rPr>
            <w:rFonts w:ascii="Tahoma" w:hAnsi="Tahoma"/>
            <w:color w:val="0000FF"/>
            <w:u w:val="single"/>
            <w:rtl/>
          </w:rPr>
          <w:t>ת"פ (שלום רחובות) 1455-12-19</w:t>
        </w:r>
      </w:hyperlink>
      <w:r w:rsidR="002973B0">
        <w:rPr>
          <w:rFonts w:ascii="Tahoma" w:hAnsi="Tahoma"/>
          <w:rtl/>
        </w:rPr>
        <w:t xml:space="preserve"> </w:t>
      </w:r>
      <w:r>
        <w:rPr>
          <w:rFonts w:ascii="Tahoma" w:hAnsi="Tahoma"/>
          <w:b/>
          <w:bCs/>
          <w:rtl/>
        </w:rPr>
        <w:t>מדינת ישראל נ' בדר</w:t>
      </w:r>
      <w:r w:rsidR="002973B0">
        <w:rPr>
          <w:rFonts w:ascii="Tahoma" w:hAnsi="Tahoma"/>
          <w:rtl/>
        </w:rPr>
        <w:t xml:space="preserve"> </w:t>
      </w:r>
      <w:r>
        <w:rPr>
          <w:rFonts w:ascii="Tahoma" w:hAnsi="Tahoma"/>
          <w:rtl/>
        </w:rPr>
        <w:t xml:space="preserve">(02.11.2020), </w:t>
      </w:r>
      <w:r>
        <w:rPr>
          <w:rFonts w:ascii="Tahoma" w:hAnsi="Tahoma" w:hint="cs"/>
          <w:rtl/>
        </w:rPr>
        <w:t xml:space="preserve">שגם אליו הפנתה, </w:t>
      </w:r>
      <w:r>
        <w:rPr>
          <w:rFonts w:ascii="Tahoma" w:hAnsi="Tahoma"/>
          <w:rtl/>
        </w:rPr>
        <w:t xml:space="preserve">בו נקבע </w:t>
      </w:r>
      <w:r>
        <w:rPr>
          <w:rFonts w:ascii="Tahoma" w:hAnsi="Tahoma" w:hint="cs"/>
          <w:rtl/>
        </w:rPr>
        <w:t xml:space="preserve">אמנם </w:t>
      </w:r>
      <w:r>
        <w:rPr>
          <w:rFonts w:ascii="Tahoma" w:hAnsi="Tahoma"/>
          <w:rtl/>
        </w:rPr>
        <w:t>מתחם עונש הולם שתחילתו במאסר מותנה, אך במקרה ש</w:t>
      </w:r>
      <w:r>
        <w:rPr>
          <w:rFonts w:ascii="Tahoma" w:hAnsi="Tahoma" w:hint="cs"/>
          <w:rtl/>
        </w:rPr>
        <w:t>כ</w:t>
      </w:r>
      <w:r>
        <w:rPr>
          <w:rFonts w:ascii="Tahoma" w:hAnsi="Tahoma"/>
          <w:rtl/>
        </w:rPr>
        <w:t>ל</w:t>
      </w:r>
      <w:r>
        <w:rPr>
          <w:rFonts w:ascii="Tahoma" w:hAnsi="Tahoma" w:hint="cs"/>
          <w:rtl/>
        </w:rPr>
        <w:t>ל</w:t>
      </w:r>
      <w:r>
        <w:rPr>
          <w:rFonts w:ascii="Tahoma" w:hAnsi="Tahoma"/>
          <w:rtl/>
        </w:rPr>
        <w:t xml:space="preserve"> קבלת רכב גנוב בלבד.</w:t>
      </w:r>
    </w:p>
    <w:p w14:paraId="59195567"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 xml:space="preserve">אשר לגזירת עונשו של הנאשם בתוך מתחמי העונש ההולמים טענה הסניגורית כי עברו הפלילי של מרשה אינו מכביד במיוחד, כאשר הרשעתו הקודמת האחרונה היא משנת 2020, ובגינה אף תלוי ועומד נגדו המאסר המותנה שהוא </w:t>
      </w:r>
      <w:r>
        <w:rPr>
          <w:rFonts w:ascii="Tahoma" w:hAnsi="Tahoma" w:hint="cs"/>
          <w:rtl/>
        </w:rPr>
        <w:t xml:space="preserve">כאמור </w:t>
      </w:r>
      <w:r>
        <w:rPr>
          <w:rFonts w:ascii="Tahoma" w:hAnsi="Tahoma"/>
          <w:rtl/>
        </w:rPr>
        <w:t xml:space="preserve">בר הפעלה בענייננו. מכאן ביקשה הסניגורית להסיק כי עסקינן בנאשם שבמשך שנים </w:t>
      </w:r>
      <w:r>
        <w:rPr>
          <w:rFonts w:ascii="Tahoma" w:hAnsi="Tahoma" w:hint="cs"/>
          <w:rtl/>
        </w:rPr>
        <w:t xml:space="preserve">השכיל לשמור </w:t>
      </w:r>
      <w:r>
        <w:rPr>
          <w:rFonts w:ascii="Tahoma" w:hAnsi="Tahoma"/>
          <w:rtl/>
        </w:rPr>
        <w:t xml:space="preserve">על עצמו, כאשר במועדי העבירות </w:t>
      </w:r>
      <w:r>
        <w:rPr>
          <w:rFonts w:ascii="Tahoma" w:hAnsi="Tahoma" w:hint="cs"/>
          <w:rtl/>
        </w:rPr>
        <w:t xml:space="preserve">בתיקים </w:t>
      </w:r>
      <w:r>
        <w:rPr>
          <w:rFonts w:ascii="Tahoma" w:hAnsi="Tahoma"/>
          <w:rtl/>
        </w:rPr>
        <w:t>שלפניי חווה התדרדרות לרקע משבר מגיפת הקורונה.</w:t>
      </w:r>
    </w:p>
    <w:p w14:paraId="3BEE471B"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עוד הדגישה הסניגורית את נסיבות חייו הקשות של הנאשם, שהוא נעדר</w:t>
      </w:r>
      <w:r>
        <w:rPr>
          <w:rFonts w:ascii="Tahoma" w:hAnsi="Tahoma" w:hint="cs"/>
          <w:rtl/>
        </w:rPr>
        <w:t xml:space="preserve"> כל תמיכה כלכלית או גב כלכלי</w:t>
      </w:r>
      <w:r>
        <w:rPr>
          <w:rFonts w:ascii="Tahoma" w:hAnsi="Tahoma"/>
          <w:rtl/>
        </w:rPr>
        <w:t xml:space="preserve">, סובל מהתמכרות לסמים </w:t>
      </w:r>
      <w:r>
        <w:rPr>
          <w:rFonts w:ascii="Tahoma" w:hAnsi="Tahoma" w:hint="cs"/>
          <w:rtl/>
        </w:rPr>
        <w:t xml:space="preserve">מסוכנים </w:t>
      </w:r>
      <w:r>
        <w:rPr>
          <w:rFonts w:ascii="Tahoma" w:hAnsi="Tahoma"/>
          <w:rtl/>
        </w:rPr>
        <w:t xml:space="preserve">ואף לוקה בסכרת קשה; כאשר מחלה זו מקשה </w:t>
      </w:r>
      <w:r>
        <w:rPr>
          <w:rFonts w:ascii="Tahoma" w:hAnsi="Tahoma" w:hint="cs"/>
          <w:rtl/>
        </w:rPr>
        <w:t xml:space="preserve">מאוד על </w:t>
      </w:r>
      <w:r>
        <w:rPr>
          <w:rFonts w:ascii="Tahoma" w:hAnsi="Tahoma"/>
          <w:rtl/>
        </w:rPr>
        <w:t xml:space="preserve">תנאי מעצרו. </w:t>
      </w:r>
      <w:r>
        <w:rPr>
          <w:rFonts w:ascii="Tahoma" w:hAnsi="Tahoma" w:hint="cs"/>
          <w:rtl/>
        </w:rPr>
        <w:t>לשיטתה</w:t>
      </w:r>
      <w:r>
        <w:rPr>
          <w:rFonts w:ascii="Tahoma" w:hAnsi="Tahoma"/>
          <w:rtl/>
        </w:rPr>
        <w:t xml:space="preserve">, אלמלא מעצרו של הנאשם עניינו היה מסתיים </w:t>
      </w:r>
      <w:r>
        <w:rPr>
          <w:rFonts w:ascii="Tahoma" w:hAnsi="Tahoma" w:hint="cs"/>
          <w:rtl/>
        </w:rPr>
        <w:t xml:space="preserve">לכל היותר </w:t>
      </w:r>
      <w:r>
        <w:rPr>
          <w:rFonts w:ascii="Tahoma" w:hAnsi="Tahoma"/>
          <w:rtl/>
        </w:rPr>
        <w:t>ב</w:t>
      </w:r>
      <w:r>
        <w:rPr>
          <w:rFonts w:ascii="Tahoma" w:hAnsi="Tahoma" w:hint="cs"/>
          <w:rtl/>
        </w:rPr>
        <w:t xml:space="preserve">ענישה בדרך של </w:t>
      </w:r>
      <w:r>
        <w:rPr>
          <w:rFonts w:ascii="Tahoma" w:hAnsi="Tahoma"/>
          <w:rtl/>
        </w:rPr>
        <w:t xml:space="preserve">עבודות שירות, ובכל מקרה עתרה </w:t>
      </w:r>
      <w:r>
        <w:rPr>
          <w:rFonts w:ascii="Tahoma" w:hAnsi="Tahoma" w:hint="cs"/>
          <w:rtl/>
        </w:rPr>
        <w:t xml:space="preserve">הסניגורית </w:t>
      </w:r>
      <w:r>
        <w:rPr>
          <w:rFonts w:ascii="Tahoma" w:hAnsi="Tahoma"/>
          <w:rtl/>
        </w:rPr>
        <w:t>שלא להשית על</w:t>
      </w:r>
      <w:r>
        <w:rPr>
          <w:rFonts w:ascii="Tahoma" w:hAnsi="Tahoma" w:hint="cs"/>
          <w:rtl/>
        </w:rPr>
        <w:t xml:space="preserve"> הנאשם</w:t>
      </w:r>
      <w:r>
        <w:rPr>
          <w:rFonts w:ascii="Tahoma" w:hAnsi="Tahoma"/>
          <w:rtl/>
        </w:rPr>
        <w:t xml:space="preserve"> עונש העולה על 10 חודשי מאסר בפועל.</w:t>
      </w:r>
    </w:p>
    <w:p w14:paraId="3F2AA5DC"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לבסוף הנאשם, בדברו האחרון לעונש, ביקש סליחה על מעשיו (בפרוטוקול, עמ' 18 שורה 20).</w:t>
      </w:r>
    </w:p>
    <w:p w14:paraId="6229B499" w14:textId="77777777" w:rsidR="00CF35FB" w:rsidRDefault="00CF35FB" w:rsidP="00CF35FB">
      <w:pPr>
        <w:spacing w:after="120" w:line="360" w:lineRule="auto"/>
        <w:jc w:val="both"/>
        <w:rPr>
          <w:rFonts w:ascii="Tahoma" w:hAnsi="Tahoma"/>
        </w:rPr>
      </w:pPr>
    </w:p>
    <w:p w14:paraId="75023CF4" w14:textId="77777777" w:rsidR="00CF35FB" w:rsidRDefault="00CF35FB" w:rsidP="00CF35FB">
      <w:pPr>
        <w:pStyle w:val="a9"/>
        <w:numPr>
          <w:ilvl w:val="0"/>
          <w:numId w:val="1"/>
        </w:numPr>
        <w:spacing w:after="120" w:line="360" w:lineRule="auto"/>
        <w:ind w:left="360"/>
        <w:jc w:val="both"/>
        <w:rPr>
          <w:rFonts w:ascii="Tahoma" w:hAnsi="Tahoma"/>
          <w:b/>
          <w:bCs/>
          <w:u w:val="single"/>
        </w:rPr>
      </w:pPr>
      <w:r>
        <w:rPr>
          <w:rFonts w:ascii="Tahoma" w:hAnsi="Tahoma"/>
          <w:b/>
          <w:bCs/>
          <w:u w:val="single"/>
          <w:rtl/>
        </w:rPr>
        <w:t>קביעת מתח</w:t>
      </w:r>
      <w:r>
        <w:rPr>
          <w:rFonts w:ascii="Tahoma" w:hAnsi="Tahoma" w:hint="cs"/>
          <w:b/>
          <w:bCs/>
          <w:u w:val="single"/>
          <w:rtl/>
        </w:rPr>
        <w:t>מי</w:t>
      </w:r>
      <w:r>
        <w:rPr>
          <w:rFonts w:ascii="Tahoma" w:hAnsi="Tahoma"/>
          <w:b/>
          <w:bCs/>
          <w:u w:val="single"/>
          <w:rtl/>
        </w:rPr>
        <w:t xml:space="preserve"> העונש ההול</w:t>
      </w:r>
      <w:r>
        <w:rPr>
          <w:rFonts w:ascii="Tahoma" w:hAnsi="Tahoma" w:hint="cs"/>
          <w:b/>
          <w:bCs/>
          <w:u w:val="single"/>
          <w:rtl/>
        </w:rPr>
        <w:t>מי</w:t>
      </w:r>
      <w:r>
        <w:rPr>
          <w:rFonts w:ascii="Tahoma" w:hAnsi="Tahoma"/>
          <w:b/>
          <w:bCs/>
          <w:u w:val="single"/>
          <w:rtl/>
        </w:rPr>
        <w:t>ם:</w:t>
      </w:r>
    </w:p>
    <w:p w14:paraId="71E941A4" w14:textId="77777777" w:rsidR="00CF35FB" w:rsidRDefault="00CF35FB" w:rsidP="00CF35FB">
      <w:pPr>
        <w:numPr>
          <w:ilvl w:val="0"/>
          <w:numId w:val="2"/>
        </w:numPr>
        <w:spacing w:after="120" w:line="360" w:lineRule="auto"/>
        <w:ind w:left="360"/>
        <w:jc w:val="both"/>
        <w:rPr>
          <w:rFonts w:ascii="Tahoma" w:hAnsi="Tahoma"/>
          <w:rtl/>
        </w:rPr>
      </w:pPr>
      <w:r>
        <w:rPr>
          <w:rtl/>
        </w:rPr>
        <w:t xml:space="preserve">בעת גזירת עונשו של נאשם על בית המשפט לקבוע, תחילה, את מתחם העונש ההולם לכל "אירוע" עברייני שבגינו הורשע הנאשם, וזאת בהתאם </w:t>
      </w:r>
      <w:r>
        <w:rPr>
          <w:rFonts w:ascii="Tahoma" w:hAnsi="Tahoma"/>
          <w:rtl/>
        </w:rPr>
        <w:t xml:space="preserve">לעיקרון ההלימה. בהקשר זה יתחשב בית המשפט, בין השאר, </w:t>
      </w:r>
      <w:r>
        <w:rPr>
          <w:rtl/>
        </w:rPr>
        <w:t xml:space="preserve">בערכים החברתיים שנפגעו מביצוע העבירות ובמידת הפגיעה בהם, במדיניות הענישה הנהוגה ובנסיבות הקשורות בביצוע העבירות – לרבות אלה המנויות בהוראות </w:t>
      </w:r>
      <w:hyperlink r:id="rId56" w:history="1">
        <w:r w:rsidR="00373934" w:rsidRPr="00373934">
          <w:rPr>
            <w:rStyle w:val="Hyperlink"/>
            <w:color w:val="0000FF"/>
            <w:rtl/>
          </w:rPr>
          <w:t>סעיף 40ט</w:t>
        </w:r>
      </w:hyperlink>
      <w:r>
        <w:rPr>
          <w:rtl/>
        </w:rPr>
        <w:t xml:space="preserve"> ל</w:t>
      </w:r>
      <w:hyperlink r:id="rId57" w:history="1">
        <w:r w:rsidR="002973B0" w:rsidRPr="002973B0">
          <w:rPr>
            <w:color w:val="0000FF"/>
            <w:u w:val="single"/>
            <w:rtl/>
          </w:rPr>
          <w:t>חוק העונשין</w:t>
        </w:r>
      </w:hyperlink>
      <w:r>
        <w:rPr>
          <w:rtl/>
        </w:rPr>
        <w:t>.</w:t>
      </w:r>
    </w:p>
    <w:p w14:paraId="1C882B17"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 xml:space="preserve">לא היתה מחלוקת בין </w:t>
      </w:r>
      <w:r>
        <w:rPr>
          <w:rFonts w:ascii="Tahoma" w:hAnsi="Tahoma" w:hint="cs"/>
          <w:rtl/>
        </w:rPr>
        <w:t xml:space="preserve">ב"כ </w:t>
      </w:r>
      <w:r>
        <w:rPr>
          <w:rFonts w:ascii="Tahoma" w:hAnsi="Tahoma"/>
          <w:rtl/>
        </w:rPr>
        <w:t>הצדדים לפניי הן על כך שיש לראות כל כתב אישום כאירוע עברייני נפרד והן על מתחם העונש ההולם שיש לקבוע בגין כל אחד מאירועים אלה – למעט האירוע מושא התיק המצורף מרחובות – ועל כן אין צורך להרחיב בדבר</w:t>
      </w:r>
      <w:r>
        <w:rPr>
          <w:rFonts w:ascii="Tahoma" w:hAnsi="Tahoma" w:hint="cs"/>
          <w:rtl/>
        </w:rPr>
        <w:t>;</w:t>
      </w:r>
      <w:r>
        <w:rPr>
          <w:rFonts w:ascii="Tahoma" w:hAnsi="Tahoma"/>
          <w:rtl/>
        </w:rPr>
        <w:t xml:space="preserve"> בפרט כשהטיעון המשותף-למעשה </w:t>
      </w:r>
      <w:r>
        <w:rPr>
          <w:rFonts w:ascii="Tahoma" w:hAnsi="Tahoma" w:hint="cs"/>
          <w:rtl/>
        </w:rPr>
        <w:t xml:space="preserve">של הצדדים </w:t>
      </w:r>
      <w:r>
        <w:rPr>
          <w:rFonts w:ascii="Tahoma" w:hAnsi="Tahoma"/>
          <w:rtl/>
        </w:rPr>
        <w:t>עולה בקנה אחד עם מדיניות הענישה הנהוגה.</w:t>
      </w:r>
    </w:p>
    <w:p w14:paraId="2EE9C43C" w14:textId="77777777" w:rsidR="00CF35FB" w:rsidRPr="00D23996" w:rsidRDefault="00CF35FB" w:rsidP="00CF35FB">
      <w:pPr>
        <w:numPr>
          <w:ilvl w:val="0"/>
          <w:numId w:val="2"/>
        </w:numPr>
        <w:spacing w:after="120" w:line="360" w:lineRule="auto"/>
        <w:ind w:left="360"/>
        <w:jc w:val="both"/>
        <w:rPr>
          <w:rFonts w:ascii="Tahoma" w:hAnsi="Tahoma"/>
        </w:rPr>
      </w:pPr>
      <w:r w:rsidRPr="00D23996">
        <w:rPr>
          <w:rFonts w:ascii="Tahoma" w:hAnsi="Tahoma"/>
          <w:rtl/>
        </w:rPr>
        <w:t xml:space="preserve">עם זאת אוסיף ואציין כי הגם שלמעט בתיק הנ"ל מדובר בעבירות רכוש בלבד, מדובר בפגיעה חוזרת ונשנית בזכויות הקניין </w:t>
      </w:r>
      <w:r w:rsidRPr="00D23996">
        <w:rPr>
          <w:rFonts w:ascii="Tahoma" w:hAnsi="Tahoma" w:hint="cs"/>
          <w:rtl/>
        </w:rPr>
        <w:t xml:space="preserve">של הפרט </w:t>
      </w:r>
      <w:r w:rsidRPr="00D23996">
        <w:rPr>
          <w:rFonts w:ascii="Tahoma" w:hAnsi="Tahoma"/>
          <w:rtl/>
        </w:rPr>
        <w:t xml:space="preserve">ועל כן מקובל עליי טיעון ב"כ המאשימה </w:t>
      </w:r>
      <w:r w:rsidRPr="00D23996">
        <w:rPr>
          <w:rFonts w:ascii="Tahoma" w:hAnsi="Tahoma" w:hint="cs"/>
          <w:rtl/>
        </w:rPr>
        <w:t xml:space="preserve">שלפיו </w:t>
      </w:r>
      <w:r w:rsidRPr="00D23996">
        <w:rPr>
          <w:rFonts w:ascii="Tahoma" w:hAnsi="Tahoma"/>
          <w:rtl/>
        </w:rPr>
        <w:t>במעשיו של הנאשם יש גם משום פגיעה בהגנה על שלום הציבור ו</w:t>
      </w:r>
      <w:r w:rsidRPr="00D23996">
        <w:rPr>
          <w:rFonts w:ascii="Tahoma" w:hAnsi="Tahoma" w:hint="cs"/>
          <w:rtl/>
        </w:rPr>
        <w:t xml:space="preserve">על </w:t>
      </w:r>
      <w:r w:rsidRPr="00D23996">
        <w:rPr>
          <w:rFonts w:ascii="Tahoma" w:hAnsi="Tahoma"/>
          <w:rtl/>
        </w:rPr>
        <w:t>שלוות נפשו.</w:t>
      </w:r>
      <w:r w:rsidRPr="00D23996">
        <w:rPr>
          <w:rFonts w:ascii="Tahoma" w:hAnsi="Tahoma" w:hint="cs"/>
          <w:rtl/>
        </w:rPr>
        <w:t xml:space="preserve"> </w:t>
      </w:r>
      <w:r w:rsidRPr="00D23996">
        <w:rPr>
          <w:rFonts w:ascii="Tahoma" w:hAnsi="Tahoma"/>
          <w:rtl/>
        </w:rPr>
        <w:t xml:space="preserve">אני קובע אפוא את מתחם העונש ההולם בכל אחד מהתיקים – למעט התיק המצורף מרחובות – בין מאסר מותנה לבין מספר חודשי מאסר בפועל. אשר לתיק המצורף מרחובות, במכלול הנסיבות </w:t>
      </w:r>
      <w:r>
        <w:rPr>
          <w:rFonts w:ascii="Tahoma" w:hAnsi="Tahoma" w:hint="cs"/>
          <w:rtl/>
        </w:rPr>
        <w:t xml:space="preserve">ובהתחשב במדיניות הענישה הנהוגה </w:t>
      </w:r>
      <w:r w:rsidRPr="00D23996">
        <w:rPr>
          <w:rFonts w:ascii="Tahoma" w:hAnsi="Tahoma"/>
          <w:rtl/>
        </w:rPr>
        <w:t xml:space="preserve">אני קובע את מתחם העונש ההולם בגינו בין 9 חודשי מאסר בפועל לבין 18 חודשי מאסר בפועל. </w:t>
      </w:r>
    </w:p>
    <w:p w14:paraId="5919F216" w14:textId="77777777" w:rsidR="00CF35FB" w:rsidRDefault="00CF35FB" w:rsidP="00CF35FB">
      <w:pPr>
        <w:spacing w:after="120" w:line="360" w:lineRule="auto"/>
        <w:jc w:val="both"/>
        <w:rPr>
          <w:rFonts w:ascii="Tahoma" w:hAnsi="Tahoma"/>
        </w:rPr>
      </w:pPr>
    </w:p>
    <w:p w14:paraId="536909FC" w14:textId="77777777" w:rsidR="00CF35FB" w:rsidRDefault="00CF35FB" w:rsidP="00CF35FB">
      <w:pPr>
        <w:pStyle w:val="a9"/>
        <w:numPr>
          <w:ilvl w:val="0"/>
          <w:numId w:val="1"/>
        </w:numPr>
        <w:snapToGrid w:val="0"/>
        <w:spacing w:after="120" w:line="360" w:lineRule="auto"/>
        <w:ind w:left="360"/>
        <w:jc w:val="both"/>
        <w:rPr>
          <w:b/>
          <w:bCs/>
          <w:u w:val="single"/>
          <w:rtl/>
        </w:rPr>
      </w:pPr>
      <w:r>
        <w:rPr>
          <w:b/>
          <w:bCs/>
          <w:u w:val="single"/>
          <w:rtl/>
        </w:rPr>
        <w:t>גזירת עונשו של הנאשם בתוך מתחמי העונש ההולמים:</w:t>
      </w:r>
    </w:p>
    <w:p w14:paraId="7FB0FA22" w14:textId="77777777" w:rsidR="00CF35FB" w:rsidRPr="00EC0543" w:rsidRDefault="00CF35FB" w:rsidP="00CF35FB">
      <w:pPr>
        <w:numPr>
          <w:ilvl w:val="0"/>
          <w:numId w:val="2"/>
        </w:numPr>
        <w:spacing w:after="120" w:line="360" w:lineRule="auto"/>
        <w:ind w:left="360"/>
        <w:jc w:val="both"/>
        <w:rPr>
          <w:rFonts w:ascii="Tahoma" w:hAnsi="Tahoma"/>
        </w:rPr>
      </w:pPr>
      <w:r>
        <w:rPr>
          <w:rtl/>
        </w:rPr>
        <w:t>לאחר קביעת מתחמי העונש ההולמים על בית המשפט לגזור את עונשו של הנאשם בתוך מתחמים אלה, תוך התחשבות בנסיבות שאינן קשורות בביצוע העבירות</w:t>
      </w:r>
      <w:r>
        <w:rPr>
          <w:rFonts w:hint="cs"/>
          <w:rtl/>
        </w:rPr>
        <w:t xml:space="preserve"> </w:t>
      </w:r>
      <w:r>
        <w:rPr>
          <w:rtl/>
        </w:rPr>
        <w:t>–</w:t>
      </w:r>
      <w:r>
        <w:rPr>
          <w:rFonts w:hint="cs"/>
          <w:rtl/>
        </w:rPr>
        <w:t xml:space="preserve"> </w:t>
      </w:r>
      <w:r>
        <w:rPr>
          <w:rtl/>
        </w:rPr>
        <w:t xml:space="preserve">לרבות אלה המנויות בהוראות </w:t>
      </w:r>
      <w:hyperlink r:id="rId58" w:history="1">
        <w:r w:rsidR="00373934" w:rsidRPr="00373934">
          <w:rPr>
            <w:rStyle w:val="Hyperlink"/>
            <w:color w:val="0000FF"/>
            <w:rtl/>
          </w:rPr>
          <w:t>סעיף 40יא</w:t>
        </w:r>
      </w:hyperlink>
      <w:r>
        <w:rPr>
          <w:rtl/>
        </w:rPr>
        <w:t xml:space="preserve"> ל</w:t>
      </w:r>
      <w:hyperlink r:id="rId59" w:history="1">
        <w:r w:rsidR="002973B0" w:rsidRPr="002973B0">
          <w:rPr>
            <w:color w:val="0000FF"/>
            <w:u w:val="single"/>
            <w:rtl/>
          </w:rPr>
          <w:t>חוק העונשין</w:t>
        </w:r>
      </w:hyperlink>
      <w:r>
        <w:rPr>
          <w:rtl/>
        </w:rPr>
        <w:t>.</w:t>
      </w:r>
      <w:r w:rsidRPr="00EC0543">
        <w:rPr>
          <w:rFonts w:ascii="Tahoma" w:hAnsi="Tahoma" w:hint="cs"/>
          <w:rtl/>
        </w:rPr>
        <w:t xml:space="preserve"> </w:t>
      </w:r>
      <w:r>
        <w:rPr>
          <w:rtl/>
        </w:rPr>
        <w:t>אשר לנאשם שלפניי, בגזירת עונש</w:t>
      </w:r>
      <w:r>
        <w:rPr>
          <w:rFonts w:hint="cs"/>
          <w:rtl/>
        </w:rPr>
        <w:t>ו</w:t>
      </w:r>
      <w:r>
        <w:rPr>
          <w:rtl/>
        </w:rPr>
        <w:t xml:space="preserve"> יש להתחשב גם בעובדה שמדובר בביצוע חוזר ונשנה של עבירות, במשך תקופה של כמעט שלוש שנים, ובנסיבות אלה ברי כי יש לצבור </w:t>
      </w:r>
      <w:r>
        <w:rPr>
          <w:rFonts w:hint="cs"/>
          <w:rtl/>
        </w:rPr>
        <w:t xml:space="preserve">במידה מסוימת </w:t>
      </w:r>
      <w:r>
        <w:rPr>
          <w:rtl/>
        </w:rPr>
        <w:t xml:space="preserve">בין העונשים הנגזרים. אדגיש, בהקשר זה, כי נוכח נסיבות אלה לא ניתן לקבל את טענת הסניגורית </w:t>
      </w:r>
      <w:r>
        <w:rPr>
          <w:rFonts w:hint="cs"/>
          <w:rtl/>
        </w:rPr>
        <w:t xml:space="preserve">שלפיה ניתן להסתפק </w:t>
      </w:r>
      <w:r>
        <w:rPr>
          <w:rtl/>
        </w:rPr>
        <w:t xml:space="preserve">בענישה צופה פני עתיד בגין כלל התיקים </w:t>
      </w:r>
      <w:r>
        <w:rPr>
          <w:rFonts w:hint="cs"/>
          <w:rtl/>
        </w:rPr>
        <w:t>(</w:t>
      </w:r>
      <w:r>
        <w:rPr>
          <w:rtl/>
        </w:rPr>
        <w:t>למעט התיק המצורף מרחובות</w:t>
      </w:r>
      <w:r>
        <w:rPr>
          <w:rFonts w:hint="cs"/>
          <w:rtl/>
        </w:rPr>
        <w:t>)</w:t>
      </w:r>
      <w:r>
        <w:rPr>
          <w:rtl/>
        </w:rPr>
        <w:t>.</w:t>
      </w:r>
    </w:p>
    <w:p w14:paraId="4378F8A4" w14:textId="77777777" w:rsidR="00CF35FB" w:rsidRPr="00985707" w:rsidRDefault="00CF35FB" w:rsidP="00CF35FB">
      <w:pPr>
        <w:numPr>
          <w:ilvl w:val="0"/>
          <w:numId w:val="2"/>
        </w:numPr>
        <w:spacing w:after="120" w:line="360" w:lineRule="auto"/>
        <w:ind w:left="360"/>
        <w:jc w:val="both"/>
        <w:rPr>
          <w:rFonts w:ascii="Tahoma" w:hAnsi="Tahoma"/>
        </w:rPr>
      </w:pPr>
      <w:r>
        <w:rPr>
          <w:rtl/>
        </w:rPr>
        <w:t>בנוסף, לנאשם עבר פלילי מכביד למדי. כאמור, הנאשם אף נשא בעבר</w:t>
      </w:r>
      <w:r>
        <w:rPr>
          <w:rFonts w:hint="cs"/>
          <w:rtl/>
        </w:rPr>
        <w:t>ו</w:t>
      </w:r>
      <w:r>
        <w:rPr>
          <w:rtl/>
        </w:rPr>
        <w:t xml:space="preserve"> עונשי מאסר בפועל </w:t>
      </w:r>
      <w:r>
        <w:rPr>
          <w:rFonts w:hint="cs"/>
          <w:rtl/>
        </w:rPr>
        <w:t xml:space="preserve">משמעותיים </w:t>
      </w:r>
      <w:r>
        <w:rPr>
          <w:rtl/>
        </w:rPr>
        <w:t>–</w:t>
      </w:r>
      <w:r>
        <w:rPr>
          <w:rFonts w:hint="cs"/>
          <w:rtl/>
        </w:rPr>
        <w:t xml:space="preserve"> שלא הרתיעו אותו מלחזור לסורו ולבצע את העבירות מושא התיקים שלפניי </w:t>
      </w:r>
      <w:r>
        <w:rPr>
          <w:rtl/>
        </w:rPr>
        <w:t>–</w:t>
      </w:r>
      <w:r>
        <w:rPr>
          <w:rFonts w:hint="cs"/>
          <w:rtl/>
        </w:rPr>
        <w:t xml:space="preserve"> </w:t>
      </w:r>
      <w:r>
        <w:rPr>
          <w:rtl/>
        </w:rPr>
        <w:t xml:space="preserve">ואת העבירות דנא </w:t>
      </w:r>
      <w:r>
        <w:rPr>
          <w:rFonts w:hint="cs"/>
          <w:rtl/>
        </w:rPr>
        <w:t xml:space="preserve">אף </w:t>
      </w:r>
      <w:r>
        <w:rPr>
          <w:rtl/>
        </w:rPr>
        <w:t xml:space="preserve">ביצע כאשר מרחף מעל ראשו עונש של מאסר מותנה. אכן, נסיבות חייו של הנאשם </w:t>
      </w:r>
      <w:r>
        <w:rPr>
          <w:rFonts w:hint="cs"/>
          <w:rtl/>
        </w:rPr>
        <w:t>הן קשות</w:t>
      </w:r>
      <w:r>
        <w:rPr>
          <w:rtl/>
        </w:rPr>
        <w:t xml:space="preserve"> – ומקובלת עליי טענת הסניגורית כי </w:t>
      </w:r>
      <w:r>
        <w:rPr>
          <w:rFonts w:hint="cs"/>
          <w:rtl/>
        </w:rPr>
        <w:t>ה</w:t>
      </w:r>
      <w:r>
        <w:rPr>
          <w:rtl/>
        </w:rPr>
        <w:t xml:space="preserve">מקרה שבו הנאשם </w:t>
      </w:r>
      <w:r w:rsidRPr="00985707">
        <w:rPr>
          <w:rFonts w:ascii="Tahoma" w:hAnsi="Tahoma"/>
          <w:rtl/>
        </w:rPr>
        <w:t>הסיג גבול לבית קפה, אכל וגנב חטיפים בערך כספי נמו</w:t>
      </w:r>
      <w:r w:rsidRPr="00D51566">
        <w:rPr>
          <w:rFonts w:ascii="Tahoma" w:hAnsi="Tahoma"/>
          <w:rtl/>
        </w:rPr>
        <w:t>ך</w:t>
      </w:r>
      <w:r>
        <w:rPr>
          <w:rFonts w:ascii="Tahoma" w:hAnsi="Tahoma" w:hint="cs"/>
          <w:rtl/>
        </w:rPr>
        <w:t xml:space="preserve"> יחסית</w:t>
      </w:r>
      <w:r w:rsidRPr="00D51566">
        <w:rPr>
          <w:rFonts w:ascii="Tahoma" w:hAnsi="Tahoma"/>
          <w:rtl/>
        </w:rPr>
        <w:t>, הוא אכן מקרה של "עבירות עוני"</w:t>
      </w:r>
      <w:r w:rsidRPr="00D51566">
        <w:rPr>
          <w:rFonts w:ascii="Tahoma" w:hAnsi="Tahoma" w:hint="cs"/>
          <w:rtl/>
        </w:rPr>
        <w:t xml:space="preserve"> ה</w:t>
      </w:r>
      <w:r w:rsidRPr="00D51566">
        <w:rPr>
          <w:rFonts w:ascii="Tahoma" w:hAnsi="Tahoma"/>
          <w:rtl/>
        </w:rPr>
        <w:t>מצוי ברף חומרה נמוך</w:t>
      </w:r>
      <w:r w:rsidRPr="00D51566">
        <w:rPr>
          <w:rFonts w:ascii="Tahoma" w:hAnsi="Tahoma" w:hint="cs"/>
          <w:rtl/>
        </w:rPr>
        <w:t xml:space="preserve"> (</w:t>
      </w:r>
      <w:hyperlink r:id="rId60" w:history="1">
        <w:r w:rsidR="002973B0" w:rsidRPr="002973B0">
          <w:rPr>
            <w:rFonts w:ascii="Tahoma" w:hAnsi="Tahoma"/>
            <w:color w:val="0000FF"/>
            <w:u w:val="single"/>
            <w:rtl/>
          </w:rPr>
          <w:t>ת"פ (שלום ת"א) 45170-02-22</w:t>
        </w:r>
      </w:hyperlink>
      <w:r w:rsidRPr="00D51566">
        <w:rPr>
          <w:rFonts w:ascii="Tahoma" w:hAnsi="Tahoma" w:hint="cs"/>
          <w:rtl/>
        </w:rPr>
        <w:t>)</w:t>
      </w:r>
      <w:r w:rsidRPr="00D51566">
        <w:rPr>
          <w:rFonts w:ascii="Tahoma" w:hAnsi="Tahoma"/>
          <w:rtl/>
        </w:rPr>
        <w:t>. ל</w:t>
      </w:r>
      <w:r w:rsidRPr="00D51566">
        <w:rPr>
          <w:rFonts w:ascii="Tahoma" w:hAnsi="Tahoma" w:hint="cs"/>
          <w:rtl/>
        </w:rPr>
        <w:t xml:space="preserve">קולת עונשו של הנאשם יש </w:t>
      </w:r>
      <w:r w:rsidRPr="00D51566">
        <w:rPr>
          <w:rFonts w:ascii="Tahoma" w:hAnsi="Tahoma"/>
          <w:rtl/>
        </w:rPr>
        <w:t>גם לזקוף את ההודאה ונטילת האחריות, בפרט כאשר מדובר בצ</w:t>
      </w:r>
      <w:r w:rsidRPr="00985707">
        <w:rPr>
          <w:rFonts w:ascii="Tahoma" w:hAnsi="Tahoma"/>
          <w:rtl/>
        </w:rPr>
        <w:t>ירוף תיקים וב"ניקוי שולחן"</w:t>
      </w:r>
      <w:r>
        <w:rPr>
          <w:rFonts w:ascii="Tahoma" w:hAnsi="Tahoma" w:hint="cs"/>
          <w:rtl/>
        </w:rPr>
        <w:t>; ולכן אין מקום לגזור את עונשו של הנאשם ברף העליון של מתחמי העונש ההולמים</w:t>
      </w:r>
      <w:r w:rsidRPr="00985707">
        <w:rPr>
          <w:rFonts w:ascii="Tahoma" w:hAnsi="Tahoma"/>
          <w:rtl/>
        </w:rPr>
        <w:t>.</w:t>
      </w:r>
    </w:p>
    <w:p w14:paraId="12E78306"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 xml:space="preserve">עם זאת, נסיבות חייו הקשות של הנאשם אינן בבחינת היתר לביצוע עבירות, מה גם שחלק מהעבירות </w:t>
      </w:r>
      <w:r>
        <w:rPr>
          <w:rFonts w:ascii="Tahoma" w:hAnsi="Tahoma" w:hint="cs"/>
          <w:rtl/>
        </w:rPr>
        <w:t xml:space="preserve">שביצע </w:t>
      </w:r>
      <w:r>
        <w:rPr>
          <w:rFonts w:ascii="Tahoma" w:hAnsi="Tahoma"/>
          <w:rtl/>
        </w:rPr>
        <w:t xml:space="preserve">אכן יצרו סכנה לציבור. בנוסף, כאמור, </w:t>
      </w:r>
      <w:r>
        <w:rPr>
          <w:rFonts w:ascii="Tahoma" w:hAnsi="Tahoma" w:hint="cs"/>
          <w:rtl/>
        </w:rPr>
        <w:t xml:space="preserve">הנסיבות של </w:t>
      </w:r>
      <w:r>
        <w:rPr>
          <w:rFonts w:ascii="Tahoma" w:hAnsi="Tahoma"/>
          <w:rtl/>
        </w:rPr>
        <w:t xml:space="preserve">הצטברות העבירות </w:t>
      </w:r>
      <w:r>
        <w:rPr>
          <w:rFonts w:ascii="Tahoma" w:hAnsi="Tahoma" w:hint="cs"/>
          <w:rtl/>
        </w:rPr>
        <w:t xml:space="preserve">וביצוען לאורך תקופה ממושכת </w:t>
      </w:r>
      <w:r>
        <w:rPr>
          <w:rFonts w:ascii="Tahoma" w:hAnsi="Tahoma"/>
          <w:rtl/>
        </w:rPr>
        <w:t>אינ</w:t>
      </w:r>
      <w:r>
        <w:rPr>
          <w:rFonts w:ascii="Tahoma" w:hAnsi="Tahoma" w:hint="cs"/>
          <w:rtl/>
        </w:rPr>
        <w:t>ן</w:t>
      </w:r>
      <w:r>
        <w:rPr>
          <w:rFonts w:ascii="Tahoma" w:hAnsi="Tahoma"/>
          <w:rtl/>
        </w:rPr>
        <w:t xml:space="preserve"> מאפשר</w:t>
      </w:r>
      <w:r>
        <w:rPr>
          <w:rFonts w:ascii="Tahoma" w:hAnsi="Tahoma" w:hint="cs"/>
          <w:rtl/>
        </w:rPr>
        <w:t>ו</w:t>
      </w:r>
      <w:r>
        <w:rPr>
          <w:rFonts w:ascii="Tahoma" w:hAnsi="Tahoma"/>
          <w:rtl/>
        </w:rPr>
        <w:t>ת את גזירת הדין ברף התחתון של מתחמי העונש ההולמים</w:t>
      </w:r>
      <w:r>
        <w:rPr>
          <w:rFonts w:ascii="Tahoma" w:hAnsi="Tahoma" w:hint="cs"/>
          <w:rtl/>
        </w:rPr>
        <w:t xml:space="preserve"> ואף מחייבות דווקא צבירה מסוימת</w:t>
      </w:r>
      <w:r>
        <w:rPr>
          <w:rFonts w:ascii="Tahoma" w:hAnsi="Tahoma"/>
          <w:rtl/>
        </w:rPr>
        <w:t xml:space="preserve">. במכלול הנסיבות אני </w:t>
      </w:r>
      <w:r>
        <w:rPr>
          <w:rFonts w:ascii="Tahoma" w:hAnsi="Tahoma" w:hint="cs"/>
          <w:rtl/>
        </w:rPr>
        <w:t>גוזר אפוא את עונשו של הנאשם מעל הרף התחתון של מתחמי העונש ההולמים, ובהצטברות מסוימת, כפי שיפורט בפרק ה' שלהלן. העונש המותנה יופעל בחופף ובמצטבר לעונש זה.</w:t>
      </w:r>
    </w:p>
    <w:p w14:paraId="569A2FAE" w14:textId="77777777" w:rsidR="00CF35FB" w:rsidRDefault="00CF35FB" w:rsidP="00CF35FB">
      <w:pPr>
        <w:numPr>
          <w:ilvl w:val="0"/>
          <w:numId w:val="2"/>
        </w:numPr>
        <w:spacing w:after="120" w:line="360" w:lineRule="auto"/>
        <w:ind w:left="360"/>
        <w:jc w:val="both"/>
        <w:rPr>
          <w:rFonts w:ascii="Tahoma" w:hAnsi="Tahoma"/>
        </w:rPr>
      </w:pPr>
      <w:r>
        <w:rPr>
          <w:rFonts w:ascii="Tahoma" w:hAnsi="Tahoma"/>
          <w:rtl/>
        </w:rPr>
        <w:t xml:space="preserve">לבסוף נותר לדון בענישה הכלכלית – בדמות קנס כספי – שלהשתתו עתרה ב"כ המאשימה. נוכח האופי הכלכלי של העבירות עתירת המאשימה היא </w:t>
      </w:r>
      <w:r>
        <w:rPr>
          <w:rFonts w:ascii="Tahoma" w:hAnsi="Tahoma" w:hint="cs"/>
          <w:rtl/>
        </w:rPr>
        <w:t xml:space="preserve">כמובן </w:t>
      </w:r>
      <w:r>
        <w:rPr>
          <w:rFonts w:ascii="Tahoma" w:hAnsi="Tahoma"/>
          <w:rtl/>
        </w:rPr>
        <w:t xml:space="preserve">מוצדקת וראויה. עם זאת, כאשר מדובר בנאשם חסר כל, המצוי מזה תקופה </w:t>
      </w:r>
      <w:r>
        <w:rPr>
          <w:rFonts w:ascii="Tahoma" w:hAnsi="Tahoma" w:hint="cs"/>
          <w:rtl/>
        </w:rPr>
        <w:t xml:space="preserve">משמעותית </w:t>
      </w:r>
      <w:r>
        <w:rPr>
          <w:rFonts w:ascii="Tahoma" w:hAnsi="Tahoma"/>
          <w:rtl/>
        </w:rPr>
        <w:t>במעצר ונעדר כל יכולת להתפרנס</w:t>
      </w:r>
      <w:r>
        <w:rPr>
          <w:rFonts w:ascii="Tahoma" w:hAnsi="Tahoma" w:hint="cs"/>
          <w:rtl/>
        </w:rPr>
        <w:t>,</w:t>
      </w:r>
      <w:r>
        <w:rPr>
          <w:rFonts w:ascii="Tahoma" w:hAnsi="Tahoma"/>
          <w:rtl/>
        </w:rPr>
        <w:t xml:space="preserve"> </w:t>
      </w:r>
      <w:r>
        <w:rPr>
          <w:rtl/>
        </w:rPr>
        <w:t>איני מוצא מקום להשית על הנאשם גם עיצומים כלכליים. זאת ועוד: נוכח נסיבותיו האישיות של הנאשם נראה כי בהשתת קנס כספי עליו לא יהא אלא כדי להאריך את תקופת מאסרו; וכמעט למותר לציין כי זה אינו הרציונל העומד ביסודה של ענישה כלכלית.</w:t>
      </w:r>
    </w:p>
    <w:p w14:paraId="74241062" w14:textId="77777777" w:rsidR="00CF35FB" w:rsidRPr="002059D0" w:rsidRDefault="00CF35FB" w:rsidP="00CF35FB">
      <w:pPr>
        <w:spacing w:after="120" w:line="360" w:lineRule="auto"/>
        <w:jc w:val="both"/>
        <w:rPr>
          <w:rFonts w:ascii="Tahoma" w:hAnsi="Tahoma"/>
          <w:rtl/>
        </w:rPr>
      </w:pPr>
    </w:p>
    <w:p w14:paraId="26956834" w14:textId="77777777" w:rsidR="00CF35FB" w:rsidRDefault="00CF35FB" w:rsidP="00CF35FB">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4CCB5C3F" w14:textId="77777777" w:rsidR="00CF35FB" w:rsidRPr="002059D0" w:rsidRDefault="00CF35FB" w:rsidP="00CF35FB">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309EB00F" w14:textId="77777777" w:rsidR="00CF35FB" w:rsidRDefault="00CF35FB" w:rsidP="00CF35FB">
      <w:pPr>
        <w:spacing w:after="120" w:line="360" w:lineRule="auto"/>
        <w:ind w:left="1080" w:hanging="720"/>
        <w:jc w:val="both"/>
        <w:rPr>
          <w:rFonts w:ascii="Tahoma" w:hAnsi="Tahoma"/>
          <w:rtl/>
        </w:rPr>
      </w:pPr>
      <w:r>
        <w:rPr>
          <w:rFonts w:hint="cs"/>
          <w:rtl/>
        </w:rPr>
        <w:t>(א)</w:t>
      </w:r>
      <w:r>
        <w:rPr>
          <w:rtl/>
        </w:rPr>
        <w:tab/>
      </w:r>
      <w:r>
        <w:rPr>
          <w:rFonts w:hint="cs"/>
          <w:rtl/>
        </w:rPr>
        <w:t>13 חודשי מאסר בפועל, בניכוי ימי מעצרו בהתאם לרישומי שירות בתי הסוהר.</w:t>
      </w:r>
    </w:p>
    <w:p w14:paraId="52D4FAC0" w14:textId="77777777" w:rsidR="00CF35FB" w:rsidRDefault="00CF35FB" w:rsidP="00CF35FB">
      <w:pPr>
        <w:spacing w:after="120" w:line="360" w:lineRule="auto"/>
        <w:ind w:left="1080" w:hanging="720"/>
        <w:jc w:val="both"/>
        <w:rPr>
          <w:rFonts w:ascii="Tahoma" w:hAnsi="Tahoma"/>
        </w:rPr>
      </w:pPr>
      <w:r>
        <w:rPr>
          <w:rFonts w:hint="cs"/>
          <w:rtl/>
        </w:rPr>
        <w:t>(ב)</w:t>
      </w:r>
      <w:r>
        <w:rPr>
          <w:rtl/>
        </w:rPr>
        <w:tab/>
      </w:r>
      <w:r>
        <w:rPr>
          <w:rFonts w:hint="cs"/>
          <w:rtl/>
        </w:rPr>
        <w:t>המאסר המותנה, בן חודשיים, אשר נגזר על הנאשם ביום 08.12.2020 ב</w:t>
      </w:r>
      <w:hyperlink r:id="rId61" w:history="1">
        <w:r w:rsidR="002973B0" w:rsidRPr="002973B0">
          <w:rPr>
            <w:color w:val="0000FF"/>
            <w:u w:val="single"/>
            <w:rtl/>
          </w:rPr>
          <w:t>ת"פ (שלום ת"א) 30261-10-20</w:t>
        </w:r>
      </w:hyperlink>
      <w:r>
        <w:rPr>
          <w:rFonts w:hint="cs"/>
          <w:rtl/>
        </w:rPr>
        <w:t xml:space="preserve">, מופעל בזה בחופף ובמצטבר לעונש המאסר אשר הוטל בסעיף-קטן (א) דלעיל, </w:t>
      </w:r>
      <w:r w:rsidRPr="00355C58">
        <w:rPr>
          <w:rFonts w:hint="cs"/>
          <w:b/>
          <w:bCs/>
          <w:rtl/>
        </w:rPr>
        <w:t>באופן שבסך הכל יישא הנאשם עונש של 14 חודשי מאסר</w:t>
      </w:r>
      <w:r>
        <w:rPr>
          <w:rFonts w:hint="cs"/>
          <w:b/>
          <w:bCs/>
          <w:rtl/>
        </w:rPr>
        <w:t xml:space="preserve"> בפועל</w:t>
      </w:r>
      <w:r>
        <w:rPr>
          <w:rFonts w:hint="cs"/>
          <w:rtl/>
        </w:rPr>
        <w:t>, בניכוי ימי מעצרו בהתאם לרישומי שירות בתי הסוהר.</w:t>
      </w:r>
    </w:p>
    <w:p w14:paraId="4FA486A5" w14:textId="77777777" w:rsidR="00CF35FB" w:rsidRDefault="00CF35FB" w:rsidP="00CF35FB">
      <w:pPr>
        <w:spacing w:after="120" w:line="360" w:lineRule="auto"/>
        <w:ind w:left="1080" w:hanging="720"/>
        <w:jc w:val="both"/>
        <w:rPr>
          <w:rtl/>
        </w:rPr>
      </w:pPr>
      <w:r>
        <w:rPr>
          <w:rFonts w:hint="cs"/>
          <w:rtl/>
        </w:rPr>
        <w:t>(ג)</w:t>
      </w:r>
      <w:r>
        <w:rPr>
          <w:rtl/>
        </w:rPr>
        <w:tab/>
      </w:r>
      <w:r>
        <w:rPr>
          <w:rFonts w:hint="cs"/>
          <w:rtl/>
        </w:rPr>
        <w:t>מאסר על תנאי למשך 6 חודשים, אותו לא יישא הנאשם אלא אם כן יעבור, תוך שלוש שנים מיום שחרורו מן המאסר, עבירה של גניבה, התפרצות מכל סוג שהוא או הסגת גבול.</w:t>
      </w:r>
    </w:p>
    <w:p w14:paraId="75CE3B2F" w14:textId="77777777" w:rsidR="00CF35FB" w:rsidRPr="000F4EB6" w:rsidRDefault="002973B0" w:rsidP="00CF35FB">
      <w:pPr>
        <w:spacing w:after="120" w:line="360" w:lineRule="auto"/>
        <w:ind w:left="1080" w:hanging="720"/>
        <w:jc w:val="both"/>
      </w:pPr>
      <w:r w:rsidRPr="002973B0">
        <w:rPr>
          <w:color w:val="FFFFFF"/>
          <w:sz w:val="2"/>
          <w:szCs w:val="2"/>
          <w:rtl/>
        </w:rPr>
        <w:t>5129371</w:t>
      </w:r>
      <w:r w:rsidR="00CF35FB">
        <w:rPr>
          <w:rFonts w:hint="cs"/>
          <w:rtl/>
        </w:rPr>
        <w:t>(ד)</w:t>
      </w:r>
      <w:r w:rsidR="00CF35FB">
        <w:rPr>
          <w:rtl/>
        </w:rPr>
        <w:tab/>
      </w:r>
      <w:r w:rsidR="00CF35FB">
        <w:rPr>
          <w:rFonts w:hint="cs"/>
          <w:rtl/>
        </w:rPr>
        <w:t>פסילה מלקבל או מלהחזיק רישיון נהיגה לתקופה של שנתיים מיום שחרורו של הנאשם מן המאסר.</w:t>
      </w:r>
    </w:p>
    <w:p w14:paraId="03C172B6" w14:textId="77777777" w:rsidR="00CF35FB" w:rsidRDefault="002973B0" w:rsidP="00CF35FB">
      <w:pPr>
        <w:spacing w:after="120" w:line="360" w:lineRule="auto"/>
        <w:jc w:val="both"/>
        <w:rPr>
          <w:rtl/>
        </w:rPr>
      </w:pPr>
      <w:r w:rsidRPr="002973B0">
        <w:rPr>
          <w:color w:val="FFFFFF"/>
          <w:sz w:val="2"/>
          <w:szCs w:val="2"/>
          <w:rtl/>
        </w:rPr>
        <w:t>54678313</w:t>
      </w:r>
      <w:r w:rsidR="00CF35FB">
        <w:rPr>
          <w:rFonts w:hint="cs"/>
          <w:rtl/>
        </w:rPr>
        <w:t xml:space="preserve">ניתן בזה צו כללי, לעניין מוצגים, לשיקול דעתו של קצין משטרה. </w:t>
      </w:r>
    </w:p>
    <w:p w14:paraId="2F5A74AE" w14:textId="77777777" w:rsidR="00CF35FB" w:rsidRDefault="00CF35FB" w:rsidP="00CF35FB">
      <w:pPr>
        <w:snapToGrid w:val="0"/>
        <w:spacing w:after="120" w:line="360" w:lineRule="auto"/>
        <w:jc w:val="both"/>
        <w:rPr>
          <w:rtl/>
        </w:rPr>
      </w:pPr>
      <w:r>
        <w:rPr>
          <w:rFonts w:hint="cs"/>
          <w:rtl/>
        </w:rPr>
        <w:t>זכות ערעור בתוך 45 יום מהיום.</w:t>
      </w:r>
    </w:p>
    <w:p w14:paraId="3C3AF268" w14:textId="77777777" w:rsidR="00CF35FB" w:rsidRPr="000F2247" w:rsidRDefault="002973B0" w:rsidP="00CF35FB">
      <w:pPr>
        <w:spacing w:line="360" w:lineRule="auto"/>
        <w:jc w:val="both"/>
        <w:rPr>
          <w:rFonts w:ascii="Arial" w:hAnsi="Arial"/>
          <w:b/>
          <w:bCs/>
          <w:sz w:val="26"/>
          <w:szCs w:val="26"/>
          <w:rtl/>
        </w:rPr>
      </w:pPr>
      <w:bookmarkStart w:id="8" w:name="Nitan"/>
      <w:r>
        <w:rPr>
          <w:rFonts w:ascii="Arial" w:hAnsi="Arial"/>
          <w:rtl/>
        </w:rPr>
        <w:t xml:space="preserve">ניתן היום, י"ט חשוון תשפ"ה, 20 נובמבר 2024, במעמד הצדדים. </w:t>
      </w:r>
      <w:bookmarkEnd w:id="8"/>
      <w:r w:rsidR="00CF35FB">
        <w:rPr>
          <w:rFonts w:ascii="Arial" w:hAnsi="Arial"/>
          <w:b/>
          <w:bCs/>
          <w:sz w:val="26"/>
          <w:szCs w:val="26"/>
          <w:rtl/>
        </w:rPr>
        <w:tab/>
      </w:r>
      <w:r w:rsidR="00CF35FB">
        <w:rPr>
          <w:rFonts w:ascii="Arial" w:hAnsi="Arial"/>
          <w:b/>
          <w:bCs/>
          <w:sz w:val="26"/>
          <w:szCs w:val="26"/>
          <w:rtl/>
        </w:rPr>
        <w:tab/>
      </w:r>
      <w:r w:rsidR="00CF35FB">
        <w:rPr>
          <w:rFonts w:ascii="Arial" w:hAnsi="Arial"/>
          <w:b/>
          <w:bCs/>
          <w:sz w:val="26"/>
          <w:szCs w:val="26"/>
          <w:rtl/>
        </w:rPr>
        <w:tab/>
      </w:r>
      <w:r w:rsidR="00CF35FB">
        <w:rPr>
          <w:rFonts w:ascii="Arial" w:hAnsi="Arial"/>
          <w:b/>
          <w:bCs/>
          <w:sz w:val="26"/>
          <w:szCs w:val="26"/>
          <w:rtl/>
        </w:rPr>
        <w:tab/>
      </w:r>
      <w:r w:rsidR="00CF35FB">
        <w:rPr>
          <w:rFonts w:ascii="Arial" w:hAnsi="Arial"/>
          <w:b/>
          <w:bCs/>
          <w:sz w:val="26"/>
          <w:szCs w:val="26"/>
          <w:rtl/>
        </w:rPr>
        <w:tab/>
      </w:r>
      <w:r w:rsidR="00CF35FB">
        <w:rPr>
          <w:rFonts w:ascii="Arial" w:hAnsi="Arial"/>
          <w:b/>
          <w:bCs/>
          <w:sz w:val="26"/>
          <w:szCs w:val="26"/>
          <w:rtl/>
        </w:rPr>
        <w:tab/>
      </w:r>
      <w:r w:rsidR="00CF35FB">
        <w:rPr>
          <w:rFonts w:ascii="Arial" w:hAnsi="Arial"/>
          <w:b/>
          <w:bCs/>
          <w:sz w:val="26"/>
          <w:szCs w:val="26"/>
          <w:rtl/>
        </w:rPr>
        <w:tab/>
      </w:r>
      <w:r w:rsidR="00CF35FB">
        <w:rPr>
          <w:rFonts w:ascii="Arial" w:hAnsi="Arial" w:hint="cs"/>
          <w:b/>
          <w:bCs/>
          <w:sz w:val="26"/>
          <w:szCs w:val="26"/>
          <w:rtl/>
        </w:rPr>
        <w:t xml:space="preserve">         </w:t>
      </w:r>
    </w:p>
    <w:p w14:paraId="3C72464A" w14:textId="77777777" w:rsidR="00CF35FB" w:rsidRPr="000F2247" w:rsidRDefault="00CF35FB" w:rsidP="002973B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6FF5BCE" w14:textId="77777777" w:rsidR="00CF35FB" w:rsidRPr="000F2247" w:rsidRDefault="00CF35FB" w:rsidP="00CF35FB">
      <w:pPr>
        <w:jc w:val="center"/>
        <w:rPr>
          <w:rFonts w:ascii="Arial" w:hAnsi="Arial"/>
          <w:b/>
          <w:bCs/>
          <w:sz w:val="26"/>
          <w:szCs w:val="26"/>
          <w:rtl/>
        </w:rPr>
      </w:pPr>
    </w:p>
    <w:p w14:paraId="0D7195ED" w14:textId="77777777" w:rsidR="00652C0B" w:rsidRPr="002973B0" w:rsidRDefault="00652C0B" w:rsidP="002973B0">
      <w:pPr>
        <w:keepNext/>
        <w:rPr>
          <w:rFonts w:ascii="David" w:hAnsi="David"/>
          <w:color w:val="000000"/>
          <w:sz w:val="22"/>
          <w:szCs w:val="22"/>
          <w:rtl/>
        </w:rPr>
      </w:pPr>
    </w:p>
    <w:p w14:paraId="59915F64" w14:textId="77777777" w:rsidR="002973B0" w:rsidRPr="002973B0" w:rsidRDefault="002973B0" w:rsidP="002973B0">
      <w:pPr>
        <w:keepNext/>
        <w:rPr>
          <w:rFonts w:ascii="David" w:hAnsi="David"/>
          <w:color w:val="000000"/>
          <w:sz w:val="22"/>
          <w:szCs w:val="22"/>
          <w:rtl/>
        </w:rPr>
      </w:pPr>
      <w:r w:rsidRPr="002973B0">
        <w:rPr>
          <w:rFonts w:ascii="David" w:hAnsi="David"/>
          <w:color w:val="000000"/>
          <w:sz w:val="22"/>
          <w:szCs w:val="22"/>
          <w:rtl/>
        </w:rPr>
        <w:t>שאול אבינור 54678313</w:t>
      </w:r>
    </w:p>
    <w:p w14:paraId="3905654E" w14:textId="77777777" w:rsidR="002973B0" w:rsidRDefault="002973B0" w:rsidP="002973B0">
      <w:r w:rsidRPr="002973B0">
        <w:rPr>
          <w:color w:val="000000"/>
          <w:rtl/>
        </w:rPr>
        <w:t>נוסח מסמך זה כפוף לשינויי ניסוח ועריכה</w:t>
      </w:r>
    </w:p>
    <w:p w14:paraId="1F0C4358" w14:textId="77777777" w:rsidR="002973B0" w:rsidRDefault="002973B0" w:rsidP="002973B0">
      <w:pPr>
        <w:rPr>
          <w:rtl/>
        </w:rPr>
      </w:pPr>
    </w:p>
    <w:p w14:paraId="348050ED" w14:textId="77777777" w:rsidR="002973B0" w:rsidRDefault="002973B0" w:rsidP="002973B0">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39AD524A" w14:textId="77777777" w:rsidR="002973B0" w:rsidRPr="002973B0" w:rsidRDefault="002973B0" w:rsidP="002973B0">
      <w:pPr>
        <w:jc w:val="center"/>
        <w:rPr>
          <w:color w:val="0000FF"/>
          <w:u w:val="single"/>
        </w:rPr>
      </w:pPr>
    </w:p>
    <w:sectPr w:rsidR="002973B0" w:rsidRPr="002973B0" w:rsidSect="002973B0">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33595" w14:textId="77777777" w:rsidR="007F0F19" w:rsidRDefault="007F0F19" w:rsidP="00BD77A3">
      <w:r>
        <w:separator/>
      </w:r>
    </w:p>
  </w:endnote>
  <w:endnote w:type="continuationSeparator" w:id="0">
    <w:p w14:paraId="3A0BE434" w14:textId="77777777" w:rsidR="007F0F19" w:rsidRDefault="007F0F19" w:rsidP="00BD7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C6A2F" w14:textId="77777777" w:rsidR="002973B0" w:rsidRDefault="002973B0" w:rsidP="002973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E277EC" w14:textId="77777777" w:rsidR="00504C95" w:rsidRPr="002973B0" w:rsidRDefault="002973B0" w:rsidP="002973B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801C9" w14:textId="77777777" w:rsidR="002973B0" w:rsidRDefault="002973B0" w:rsidP="002973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9278E">
      <w:rPr>
        <w:rFonts w:ascii="FrankRuehl" w:hAnsi="FrankRuehl" w:cs="FrankRuehl"/>
        <w:noProof/>
        <w:rtl/>
      </w:rPr>
      <w:t>1</w:t>
    </w:r>
    <w:r>
      <w:rPr>
        <w:rFonts w:ascii="FrankRuehl" w:hAnsi="FrankRuehl" w:cs="FrankRuehl"/>
        <w:rtl/>
      </w:rPr>
      <w:fldChar w:fldCharType="end"/>
    </w:r>
  </w:p>
  <w:p w14:paraId="1B892C33" w14:textId="77777777" w:rsidR="00504C95" w:rsidRPr="002973B0" w:rsidRDefault="002973B0" w:rsidP="002973B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5859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B6CA7" w14:textId="77777777" w:rsidR="007F0F19" w:rsidRDefault="007F0F19" w:rsidP="00BD77A3">
      <w:r>
        <w:separator/>
      </w:r>
    </w:p>
  </w:footnote>
  <w:footnote w:type="continuationSeparator" w:id="0">
    <w:p w14:paraId="2650308E" w14:textId="77777777" w:rsidR="007F0F19" w:rsidRDefault="007F0F19" w:rsidP="00BD7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DF75D" w14:textId="77777777" w:rsidR="002973B0" w:rsidRPr="002973B0" w:rsidRDefault="002973B0" w:rsidP="002973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5159-05-23</w:t>
    </w:r>
    <w:r>
      <w:rPr>
        <w:rFonts w:ascii="David" w:hAnsi="David"/>
        <w:color w:val="000000"/>
        <w:sz w:val="22"/>
        <w:szCs w:val="22"/>
        <w:rtl/>
      </w:rPr>
      <w:tab/>
      <w:t xml:space="preserve"> מדינת ישראל נ' ולדימיר קושנר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BA2E6" w14:textId="77777777" w:rsidR="002973B0" w:rsidRPr="002973B0" w:rsidRDefault="002973B0" w:rsidP="002973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5159-05-23</w:t>
    </w:r>
    <w:r>
      <w:rPr>
        <w:rFonts w:ascii="David" w:hAnsi="David"/>
        <w:color w:val="000000"/>
        <w:sz w:val="22"/>
        <w:szCs w:val="22"/>
        <w:rtl/>
      </w:rPr>
      <w:tab/>
      <w:t xml:space="preserve"> מדינת ישראל נ' ולדימיר קושנר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AE00C7D8"/>
    <w:lvl w:ilvl="0" w:tplc="565683B2">
      <w:start w:val="1"/>
      <w:numFmt w:val="decimal"/>
      <w:lvlText w:val="%1."/>
      <w:lvlJc w:val="left"/>
      <w:pPr>
        <w:ind w:left="720" w:hanging="360"/>
      </w:pPr>
      <w:rPr>
        <w:sz w:val="24"/>
        <w:szCs w:val="24"/>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16812017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67924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35FB"/>
    <w:rsid w:val="002973B0"/>
    <w:rsid w:val="00373934"/>
    <w:rsid w:val="00504C95"/>
    <w:rsid w:val="00652C0B"/>
    <w:rsid w:val="00655B1A"/>
    <w:rsid w:val="0069278E"/>
    <w:rsid w:val="007F0F19"/>
    <w:rsid w:val="009A4E4C"/>
    <w:rsid w:val="00BD77A3"/>
    <w:rsid w:val="00CF35FB"/>
    <w:rsid w:val="00F65A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31B97"/>
  <w15:chartTrackingRefBased/>
  <w15:docId w15:val="{1B05B7F2-F874-4A86-92FF-9FC46722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35F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35FB"/>
    <w:pPr>
      <w:tabs>
        <w:tab w:val="center" w:pos="4153"/>
        <w:tab w:val="right" w:pos="8306"/>
      </w:tabs>
    </w:pPr>
  </w:style>
  <w:style w:type="character" w:customStyle="1" w:styleId="a4">
    <w:name w:val="כותרת עליונה תו"/>
    <w:link w:val="a3"/>
    <w:rsid w:val="00CF35FB"/>
    <w:rPr>
      <w:rFonts w:ascii="Times New Roman" w:eastAsia="Times New Roman" w:hAnsi="Times New Roman" w:cs="David"/>
      <w:sz w:val="24"/>
      <w:szCs w:val="24"/>
    </w:rPr>
  </w:style>
  <w:style w:type="paragraph" w:styleId="a5">
    <w:name w:val="footer"/>
    <w:basedOn w:val="a"/>
    <w:link w:val="a6"/>
    <w:rsid w:val="00CF35FB"/>
    <w:pPr>
      <w:tabs>
        <w:tab w:val="center" w:pos="4153"/>
        <w:tab w:val="right" w:pos="8306"/>
      </w:tabs>
    </w:pPr>
  </w:style>
  <w:style w:type="character" w:customStyle="1" w:styleId="a6">
    <w:name w:val="כותרת תחתונה תו"/>
    <w:link w:val="a5"/>
    <w:rsid w:val="00CF35FB"/>
    <w:rPr>
      <w:rFonts w:ascii="Times New Roman" w:eastAsia="Times New Roman" w:hAnsi="Times New Roman" w:cs="David"/>
      <w:sz w:val="24"/>
      <w:szCs w:val="24"/>
    </w:rPr>
  </w:style>
  <w:style w:type="table" w:styleId="a7">
    <w:name w:val="Table Grid"/>
    <w:basedOn w:val="a1"/>
    <w:rsid w:val="00CF35F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35FB"/>
  </w:style>
  <w:style w:type="paragraph" w:styleId="a9">
    <w:name w:val="List Paragraph"/>
    <w:basedOn w:val="a"/>
    <w:qFormat/>
    <w:rsid w:val="00CF35FB"/>
    <w:pPr>
      <w:ind w:left="720"/>
      <w:contextualSpacing/>
    </w:pPr>
    <w:rPr>
      <w:rFonts w:ascii="Arial (W1)" w:hAnsi="Arial (W1)"/>
    </w:rPr>
  </w:style>
  <w:style w:type="character" w:styleId="Hyperlink">
    <w:name w:val="Hyperlink"/>
    <w:rsid w:val="002973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8758931" TargetMode="External"/><Relationship Id="rId21" Type="http://schemas.openxmlformats.org/officeDocument/2006/relationships/hyperlink" Target="http://www.nevo.co.il/law/74274/21.b.2" TargetMode="External"/><Relationship Id="rId34" Type="http://schemas.openxmlformats.org/officeDocument/2006/relationships/hyperlink" Target="http://www.nevo.co.il/law/70301/384" TargetMode="External"/><Relationship Id="rId42" Type="http://schemas.openxmlformats.org/officeDocument/2006/relationships/hyperlink" Target="http://www.nevo.co.il/law/5227" TargetMode="External"/><Relationship Id="rId47" Type="http://schemas.openxmlformats.org/officeDocument/2006/relationships/hyperlink" Target="http://www.nevo.co.il/law/5227/10.a" TargetMode="External"/><Relationship Id="rId50" Type="http://schemas.openxmlformats.org/officeDocument/2006/relationships/hyperlink" Target="http://www.nevo.co.il/law/70301/411" TargetMode="External"/><Relationship Id="rId55" Type="http://schemas.openxmlformats.org/officeDocument/2006/relationships/hyperlink" Target="http://www.nevo.co.il/case/2623303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47.a" TargetMode="External"/><Relationship Id="rId29" Type="http://schemas.openxmlformats.org/officeDocument/2006/relationships/hyperlink" Target="http://www.nevo.co.il/law/70301/384" TargetMode="External"/><Relationship Id="rId11" Type="http://schemas.openxmlformats.org/officeDocument/2006/relationships/hyperlink" Target="http://www.nevo.co.il/law/70301/409"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47.a" TargetMode="External"/><Relationship Id="rId37" Type="http://schemas.openxmlformats.org/officeDocument/2006/relationships/hyperlink" Target="http://www.nevo.co.il/law/70301/25" TargetMode="External"/><Relationship Id="rId40" Type="http://schemas.openxmlformats.org/officeDocument/2006/relationships/hyperlink" Target="http://www.nevo.co.il/case/30003958" TargetMode="External"/><Relationship Id="rId45" Type="http://schemas.openxmlformats.org/officeDocument/2006/relationships/hyperlink" Target="http://www.nevo.co.il/law/74274/21.b.2" TargetMode="External"/><Relationship Id="rId53" Type="http://schemas.openxmlformats.org/officeDocument/2006/relationships/hyperlink" Target="http://www.nevo.co.il/case/30699308" TargetMode="External"/><Relationship Id="rId58" Type="http://schemas.openxmlformats.org/officeDocument/2006/relationships/hyperlink" Target="http://www.nevo.co.il/law/70301/40ja"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7073103" TargetMode="External"/><Relationship Id="rId19" Type="http://schemas.openxmlformats.org/officeDocument/2006/relationships/hyperlink" Target="http://www.nevo.co.il/law/5227/62.3" TargetMode="External"/><Relationship Id="rId14" Type="http://schemas.openxmlformats.org/officeDocument/2006/relationships/hyperlink" Target="http://www.nevo.co.il/law/70301/413" TargetMode="External"/><Relationship Id="rId22" Type="http://schemas.openxmlformats.org/officeDocument/2006/relationships/hyperlink" Target="http://www.nevo.co.il/law/74274/144.a.2" TargetMode="External"/><Relationship Id="rId27" Type="http://schemas.openxmlformats.org/officeDocument/2006/relationships/hyperlink" Target="http://www.nevo.co.il/law/70301/447.a" TargetMode="External"/><Relationship Id="rId30" Type="http://schemas.openxmlformats.org/officeDocument/2006/relationships/hyperlink" Target="http://www.nevo.co.il/law/70301/413" TargetMode="External"/><Relationship Id="rId35" Type="http://schemas.openxmlformats.org/officeDocument/2006/relationships/hyperlink" Target="http://www.nevo.co.il/case/28815710" TargetMode="External"/><Relationship Id="rId43" Type="http://schemas.openxmlformats.org/officeDocument/2006/relationships/hyperlink" Target="http://www.nevo.co.il/law/70301/413j" TargetMode="External"/><Relationship Id="rId48" Type="http://schemas.openxmlformats.org/officeDocument/2006/relationships/hyperlink" Target="http://www.nevo.co.il/law/74274/144.a.2" TargetMode="External"/><Relationship Id="rId56" Type="http://schemas.openxmlformats.org/officeDocument/2006/relationships/hyperlink" Target="http://www.nevo.co.il/law/70301/40i" TargetMode="External"/><Relationship Id="rId64" Type="http://schemas.openxmlformats.org/officeDocument/2006/relationships/header" Target="header2.xml"/><Relationship Id="rId8" Type="http://schemas.openxmlformats.org/officeDocument/2006/relationships/hyperlink" Target="http://www.nevo.co.il/law/70301/25"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5227" TargetMode="External"/><Relationship Id="rId25" Type="http://schemas.openxmlformats.org/officeDocument/2006/relationships/hyperlink" Target="http://www.nevo.co.il/law/70301/409"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4274" TargetMode="External"/><Relationship Id="rId59" Type="http://schemas.openxmlformats.org/officeDocument/2006/relationships/hyperlink" Target="http://www.nevo.co.il/law/70301" TargetMode="External"/><Relationship Id="rId67" Type="http://schemas.openxmlformats.org/officeDocument/2006/relationships/fontTable" Target="fontTable.xml"/><Relationship Id="rId20" Type="http://schemas.openxmlformats.org/officeDocument/2006/relationships/hyperlink" Target="http://www.nevo.co.il/law/74274" TargetMode="External"/><Relationship Id="rId41" Type="http://schemas.openxmlformats.org/officeDocument/2006/relationships/hyperlink" Target="http://www.nevo.co.il/law/5227/62.3" TargetMode="External"/><Relationship Id="rId54" Type="http://schemas.openxmlformats.org/officeDocument/2006/relationships/hyperlink" Target="http://www.nevo.co.il/case/25593595"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3j" TargetMode="External"/><Relationship Id="rId23" Type="http://schemas.openxmlformats.org/officeDocument/2006/relationships/hyperlink" Target="http://www.nevo.co.il/law/70301/38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84" TargetMode="External"/><Relationship Id="rId49" Type="http://schemas.openxmlformats.org/officeDocument/2006/relationships/hyperlink" Target="http://www.nevo.co.il/case/30117053"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384" TargetMode="External"/><Relationship Id="rId31" Type="http://schemas.openxmlformats.org/officeDocument/2006/relationships/hyperlink" Target="http://www.nevo.co.il/case/28330106"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7073103" TargetMode="External"/><Relationship Id="rId60" Type="http://schemas.openxmlformats.org/officeDocument/2006/relationships/hyperlink" Target="http://www.nevo.co.il/case/28330106"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411" TargetMode="External"/><Relationship Id="rId18" Type="http://schemas.openxmlformats.org/officeDocument/2006/relationships/hyperlink" Target="http://www.nevo.co.il/law/5227/10.a" TargetMode="External"/><Relationship Id="rId39" Type="http://schemas.openxmlformats.org/officeDocument/2006/relationships/hyperlink" Target="http://www.nevo.co.il/law/70301/40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2852</Words>
  <Characters>14265</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17083</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3211381</vt:i4>
      </vt:variant>
      <vt:variant>
        <vt:i4>162</vt:i4>
      </vt:variant>
      <vt:variant>
        <vt:i4>0</vt:i4>
      </vt:variant>
      <vt:variant>
        <vt:i4>5</vt:i4>
      </vt:variant>
      <vt:variant>
        <vt:lpwstr>http://www.nevo.co.il/case/27073103</vt:lpwstr>
      </vt:variant>
      <vt:variant>
        <vt:lpwstr/>
      </vt:variant>
      <vt:variant>
        <vt:i4>3211390</vt:i4>
      </vt:variant>
      <vt:variant>
        <vt:i4>159</vt:i4>
      </vt:variant>
      <vt:variant>
        <vt:i4>0</vt:i4>
      </vt:variant>
      <vt:variant>
        <vt:i4>5</vt:i4>
      </vt:variant>
      <vt:variant>
        <vt:lpwstr>http://www.nevo.co.il/case/28330106</vt:lpwstr>
      </vt:variant>
      <vt:variant>
        <vt:lpwstr/>
      </vt:variant>
      <vt:variant>
        <vt:i4>7995492</vt:i4>
      </vt:variant>
      <vt:variant>
        <vt:i4>156</vt:i4>
      </vt:variant>
      <vt:variant>
        <vt:i4>0</vt:i4>
      </vt:variant>
      <vt:variant>
        <vt:i4>5</vt:i4>
      </vt:variant>
      <vt:variant>
        <vt:lpwstr>http://www.nevo.co.il/law/70301</vt:lpwstr>
      </vt:variant>
      <vt:variant>
        <vt:lpwstr/>
      </vt:variant>
      <vt:variant>
        <vt:i4>262155</vt:i4>
      </vt:variant>
      <vt:variant>
        <vt:i4>153</vt:i4>
      </vt:variant>
      <vt:variant>
        <vt:i4>0</vt:i4>
      </vt:variant>
      <vt:variant>
        <vt:i4>5</vt:i4>
      </vt:variant>
      <vt:variant>
        <vt:lpwstr>http://www.nevo.co.il/law/70301/40ja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http://www.nevo.co.il/law/70301/40i</vt:lpwstr>
      </vt:variant>
      <vt:variant>
        <vt:lpwstr/>
      </vt:variant>
      <vt:variant>
        <vt:i4>3145841</vt:i4>
      </vt:variant>
      <vt:variant>
        <vt:i4>144</vt:i4>
      </vt:variant>
      <vt:variant>
        <vt:i4>0</vt:i4>
      </vt:variant>
      <vt:variant>
        <vt:i4>5</vt:i4>
      </vt:variant>
      <vt:variant>
        <vt:lpwstr>http://www.nevo.co.il/case/26233031</vt:lpwstr>
      </vt:variant>
      <vt:variant>
        <vt:lpwstr/>
      </vt:variant>
      <vt:variant>
        <vt:i4>3997821</vt:i4>
      </vt:variant>
      <vt:variant>
        <vt:i4>141</vt:i4>
      </vt:variant>
      <vt:variant>
        <vt:i4>0</vt:i4>
      </vt:variant>
      <vt:variant>
        <vt:i4>5</vt:i4>
      </vt:variant>
      <vt:variant>
        <vt:lpwstr>http://www.nevo.co.il/case/25593595</vt:lpwstr>
      </vt:variant>
      <vt:variant>
        <vt:lpwstr/>
      </vt:variant>
      <vt:variant>
        <vt:i4>3932286</vt:i4>
      </vt:variant>
      <vt:variant>
        <vt:i4>138</vt:i4>
      </vt:variant>
      <vt:variant>
        <vt:i4>0</vt:i4>
      </vt:variant>
      <vt:variant>
        <vt:i4>5</vt:i4>
      </vt:variant>
      <vt:variant>
        <vt:lpwstr>http://www.nevo.co.il/case/30699308</vt:lpwstr>
      </vt:variant>
      <vt:variant>
        <vt:lpwstr/>
      </vt:variant>
      <vt:variant>
        <vt:i4>3211381</vt:i4>
      </vt:variant>
      <vt:variant>
        <vt:i4>135</vt:i4>
      </vt:variant>
      <vt:variant>
        <vt:i4>0</vt:i4>
      </vt:variant>
      <vt:variant>
        <vt:i4>5</vt:i4>
      </vt:variant>
      <vt:variant>
        <vt:lpwstr>http://www.nevo.co.il/case/27073103</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6553697</vt:i4>
      </vt:variant>
      <vt:variant>
        <vt:i4>129</vt:i4>
      </vt:variant>
      <vt:variant>
        <vt:i4>0</vt:i4>
      </vt:variant>
      <vt:variant>
        <vt:i4>5</vt:i4>
      </vt:variant>
      <vt:variant>
        <vt:lpwstr>http://www.nevo.co.il/law/70301/411</vt:lpwstr>
      </vt:variant>
      <vt:variant>
        <vt:lpwstr/>
      </vt:variant>
      <vt:variant>
        <vt:i4>3145845</vt:i4>
      </vt:variant>
      <vt:variant>
        <vt:i4>126</vt:i4>
      </vt:variant>
      <vt:variant>
        <vt:i4>0</vt:i4>
      </vt:variant>
      <vt:variant>
        <vt:i4>5</vt:i4>
      </vt:variant>
      <vt:variant>
        <vt:lpwstr>http://www.nevo.co.il/case/30117053</vt:lpwstr>
      </vt:variant>
      <vt:variant>
        <vt:lpwstr/>
      </vt:variant>
      <vt:variant>
        <vt:i4>6422581</vt:i4>
      </vt:variant>
      <vt:variant>
        <vt:i4>123</vt:i4>
      </vt:variant>
      <vt:variant>
        <vt:i4>0</vt:i4>
      </vt:variant>
      <vt:variant>
        <vt:i4>5</vt:i4>
      </vt:variant>
      <vt:variant>
        <vt:lpwstr>http://www.nevo.co.il/law/74274/144.a.2</vt:lpwstr>
      </vt:variant>
      <vt:variant>
        <vt:lpwstr/>
      </vt:variant>
      <vt:variant>
        <vt:i4>6291576</vt:i4>
      </vt:variant>
      <vt:variant>
        <vt:i4>120</vt:i4>
      </vt:variant>
      <vt:variant>
        <vt:i4>0</vt:i4>
      </vt:variant>
      <vt:variant>
        <vt:i4>5</vt:i4>
      </vt:variant>
      <vt:variant>
        <vt:lpwstr>http://www.nevo.co.il/law/5227/10.a</vt:lpwstr>
      </vt:variant>
      <vt:variant>
        <vt:lpwstr/>
      </vt:variant>
      <vt:variant>
        <vt:i4>7929957</vt:i4>
      </vt:variant>
      <vt:variant>
        <vt:i4>117</vt:i4>
      </vt:variant>
      <vt:variant>
        <vt:i4>0</vt:i4>
      </vt:variant>
      <vt:variant>
        <vt:i4>5</vt:i4>
      </vt:variant>
      <vt:variant>
        <vt:lpwstr>http://www.nevo.co.il/law/74274</vt:lpwstr>
      </vt:variant>
      <vt:variant>
        <vt:lpwstr/>
      </vt:variant>
      <vt:variant>
        <vt:i4>3604579</vt:i4>
      </vt:variant>
      <vt:variant>
        <vt:i4>114</vt:i4>
      </vt:variant>
      <vt:variant>
        <vt:i4>0</vt:i4>
      </vt:variant>
      <vt:variant>
        <vt:i4>5</vt:i4>
      </vt:variant>
      <vt:variant>
        <vt:lpwstr>http://www.nevo.co.il/law/74274/21.b.2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917586</vt:i4>
      </vt:variant>
      <vt:variant>
        <vt:i4>108</vt:i4>
      </vt:variant>
      <vt:variant>
        <vt:i4>0</vt:i4>
      </vt:variant>
      <vt:variant>
        <vt:i4>5</vt:i4>
      </vt:variant>
      <vt:variant>
        <vt:lpwstr>http://www.nevo.co.il/law/70301/413j</vt:lpwstr>
      </vt:variant>
      <vt:variant>
        <vt:lpwstr/>
      </vt:variant>
      <vt:variant>
        <vt:i4>8323175</vt:i4>
      </vt:variant>
      <vt:variant>
        <vt:i4>105</vt:i4>
      </vt:variant>
      <vt:variant>
        <vt:i4>0</vt:i4>
      </vt:variant>
      <vt:variant>
        <vt:i4>5</vt:i4>
      </vt:variant>
      <vt:variant>
        <vt:lpwstr>http://www.nevo.co.il/law/5227</vt:lpwstr>
      </vt:variant>
      <vt:variant>
        <vt:lpwstr/>
      </vt:variant>
      <vt:variant>
        <vt:i4>6750330</vt:i4>
      </vt:variant>
      <vt:variant>
        <vt:i4>102</vt:i4>
      </vt:variant>
      <vt:variant>
        <vt:i4>0</vt:i4>
      </vt:variant>
      <vt:variant>
        <vt:i4>5</vt:i4>
      </vt:variant>
      <vt:variant>
        <vt:lpwstr>http://www.nevo.co.il/law/5227/62.3</vt:lpwstr>
      </vt:variant>
      <vt:variant>
        <vt:lpwstr/>
      </vt:variant>
      <vt:variant>
        <vt:i4>3473533</vt:i4>
      </vt:variant>
      <vt:variant>
        <vt:i4>99</vt:i4>
      </vt:variant>
      <vt:variant>
        <vt:i4>0</vt:i4>
      </vt:variant>
      <vt:variant>
        <vt:i4>5</vt:i4>
      </vt:variant>
      <vt:variant>
        <vt:lpwstr>http://www.nevo.co.il/case/30003958</vt:lpwstr>
      </vt:variant>
      <vt:variant>
        <vt:lpwstr/>
      </vt:variant>
      <vt:variant>
        <vt:i4>6619233</vt:i4>
      </vt:variant>
      <vt:variant>
        <vt:i4>96</vt:i4>
      </vt:variant>
      <vt:variant>
        <vt:i4>0</vt:i4>
      </vt:variant>
      <vt:variant>
        <vt:i4>5</vt:i4>
      </vt:variant>
      <vt:variant>
        <vt:lpwstr>http://www.nevo.co.il/law/70301/409</vt:lpwstr>
      </vt:variant>
      <vt:variant>
        <vt:lpwstr/>
      </vt:variant>
      <vt:variant>
        <vt:i4>7995492</vt:i4>
      </vt:variant>
      <vt:variant>
        <vt:i4>93</vt:i4>
      </vt:variant>
      <vt:variant>
        <vt:i4>0</vt:i4>
      </vt:variant>
      <vt:variant>
        <vt:i4>5</vt:i4>
      </vt:variant>
      <vt:variant>
        <vt:lpwstr>http://www.nevo.co.il/law/70301</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7143526</vt:i4>
      </vt:variant>
      <vt:variant>
        <vt:i4>87</vt:i4>
      </vt:variant>
      <vt:variant>
        <vt:i4>0</vt:i4>
      </vt:variant>
      <vt:variant>
        <vt:i4>5</vt:i4>
      </vt:variant>
      <vt:variant>
        <vt:lpwstr>http://www.nevo.co.il/law/70301/384</vt:lpwstr>
      </vt:variant>
      <vt:variant>
        <vt:lpwstr/>
      </vt:variant>
      <vt:variant>
        <vt:i4>4063354</vt:i4>
      </vt:variant>
      <vt:variant>
        <vt:i4>84</vt:i4>
      </vt:variant>
      <vt:variant>
        <vt:i4>0</vt:i4>
      </vt:variant>
      <vt:variant>
        <vt:i4>5</vt:i4>
      </vt:variant>
      <vt:variant>
        <vt:lpwstr>http://www.nevo.co.il/case/28815710</vt:lpwstr>
      </vt:variant>
      <vt:variant>
        <vt:lpwstr/>
      </vt:variant>
      <vt:variant>
        <vt:i4>7143526</vt:i4>
      </vt:variant>
      <vt:variant>
        <vt:i4>81</vt:i4>
      </vt:variant>
      <vt:variant>
        <vt:i4>0</vt:i4>
      </vt:variant>
      <vt:variant>
        <vt:i4>5</vt:i4>
      </vt:variant>
      <vt:variant>
        <vt:lpwstr>http://www.nevo.co.il/law/70301/384</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5177430</vt:i4>
      </vt:variant>
      <vt:variant>
        <vt:i4>75</vt:i4>
      </vt:variant>
      <vt:variant>
        <vt:i4>0</vt:i4>
      </vt:variant>
      <vt:variant>
        <vt:i4>5</vt:i4>
      </vt:variant>
      <vt:variant>
        <vt:lpwstr>http://www.nevo.co.il/law/70301/447.a</vt:lpwstr>
      </vt:variant>
      <vt:variant>
        <vt:lpwstr/>
      </vt:variant>
      <vt:variant>
        <vt:i4>3211390</vt:i4>
      </vt:variant>
      <vt:variant>
        <vt:i4>72</vt:i4>
      </vt:variant>
      <vt:variant>
        <vt:i4>0</vt:i4>
      </vt:variant>
      <vt:variant>
        <vt:i4>5</vt:i4>
      </vt:variant>
      <vt:variant>
        <vt:lpwstr>http://www.nevo.co.il/case/28330106</vt:lpwstr>
      </vt:variant>
      <vt:variant>
        <vt:lpwstr/>
      </vt:variant>
      <vt:variant>
        <vt:i4>6553697</vt:i4>
      </vt:variant>
      <vt:variant>
        <vt:i4>69</vt:i4>
      </vt:variant>
      <vt:variant>
        <vt:i4>0</vt:i4>
      </vt:variant>
      <vt:variant>
        <vt:i4>5</vt:i4>
      </vt:variant>
      <vt:variant>
        <vt:lpwstr>http://www.nevo.co.il/law/70301/413</vt:lpwstr>
      </vt:variant>
      <vt:variant>
        <vt:lpwstr/>
      </vt:variant>
      <vt:variant>
        <vt:i4>7143526</vt:i4>
      </vt:variant>
      <vt:variant>
        <vt:i4>66</vt:i4>
      </vt:variant>
      <vt:variant>
        <vt:i4>0</vt:i4>
      </vt:variant>
      <vt:variant>
        <vt:i4>5</vt:i4>
      </vt:variant>
      <vt:variant>
        <vt:lpwstr>http://www.nevo.co.il/law/70301/384</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5177430</vt:i4>
      </vt:variant>
      <vt:variant>
        <vt:i4>60</vt:i4>
      </vt:variant>
      <vt:variant>
        <vt:i4>0</vt:i4>
      </vt:variant>
      <vt:variant>
        <vt:i4>5</vt:i4>
      </vt:variant>
      <vt:variant>
        <vt:lpwstr>http://www.nevo.co.il/law/70301/447.a</vt:lpwstr>
      </vt:variant>
      <vt:variant>
        <vt:lpwstr/>
      </vt:variant>
      <vt:variant>
        <vt:i4>4063344</vt:i4>
      </vt:variant>
      <vt:variant>
        <vt:i4>57</vt:i4>
      </vt:variant>
      <vt:variant>
        <vt:i4>0</vt:i4>
      </vt:variant>
      <vt:variant>
        <vt:i4>5</vt:i4>
      </vt:variant>
      <vt:variant>
        <vt:lpwstr>http://www.nevo.co.il/case/28758931</vt:lpwstr>
      </vt:variant>
      <vt:variant>
        <vt:lpwstr/>
      </vt:variant>
      <vt:variant>
        <vt:i4>6619233</vt:i4>
      </vt:variant>
      <vt:variant>
        <vt:i4>54</vt:i4>
      </vt:variant>
      <vt:variant>
        <vt:i4>0</vt:i4>
      </vt:variant>
      <vt:variant>
        <vt:i4>5</vt:i4>
      </vt:variant>
      <vt:variant>
        <vt:lpwstr>http://www.nevo.co.il/law/70301/409</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6422581</vt:i4>
      </vt:variant>
      <vt:variant>
        <vt:i4>45</vt:i4>
      </vt:variant>
      <vt:variant>
        <vt:i4>0</vt:i4>
      </vt:variant>
      <vt:variant>
        <vt:i4>5</vt:i4>
      </vt:variant>
      <vt:variant>
        <vt:lpwstr>http://www.nevo.co.il/law/74274/144.a.2</vt:lpwstr>
      </vt:variant>
      <vt:variant>
        <vt:lpwstr/>
      </vt:variant>
      <vt:variant>
        <vt:i4>3604579</vt:i4>
      </vt:variant>
      <vt:variant>
        <vt:i4>42</vt:i4>
      </vt:variant>
      <vt:variant>
        <vt:i4>0</vt:i4>
      </vt:variant>
      <vt:variant>
        <vt:i4>5</vt:i4>
      </vt:variant>
      <vt:variant>
        <vt:lpwstr>http://www.nevo.co.il/law/74274/21.b.2</vt:lpwstr>
      </vt:variant>
      <vt:variant>
        <vt:lpwstr/>
      </vt:variant>
      <vt:variant>
        <vt:i4>7929957</vt:i4>
      </vt:variant>
      <vt:variant>
        <vt:i4>39</vt:i4>
      </vt:variant>
      <vt:variant>
        <vt:i4>0</vt:i4>
      </vt:variant>
      <vt:variant>
        <vt:i4>5</vt:i4>
      </vt:variant>
      <vt:variant>
        <vt:lpwstr>http://www.nevo.co.il/law/74274</vt:lpwstr>
      </vt:variant>
      <vt:variant>
        <vt:lpwstr/>
      </vt:variant>
      <vt:variant>
        <vt:i4>6750330</vt:i4>
      </vt:variant>
      <vt:variant>
        <vt:i4>36</vt:i4>
      </vt:variant>
      <vt:variant>
        <vt:i4>0</vt:i4>
      </vt:variant>
      <vt:variant>
        <vt:i4>5</vt:i4>
      </vt:variant>
      <vt:variant>
        <vt:lpwstr>http://www.nevo.co.il/law/5227/62.3</vt:lpwstr>
      </vt:variant>
      <vt:variant>
        <vt:lpwstr/>
      </vt:variant>
      <vt:variant>
        <vt:i4>6291576</vt:i4>
      </vt:variant>
      <vt:variant>
        <vt:i4>33</vt:i4>
      </vt:variant>
      <vt:variant>
        <vt:i4>0</vt:i4>
      </vt:variant>
      <vt:variant>
        <vt:i4>5</vt:i4>
      </vt:variant>
      <vt:variant>
        <vt:lpwstr>http://www.nevo.co.il/law/5227/10.a</vt:lpwstr>
      </vt:variant>
      <vt:variant>
        <vt:lpwstr/>
      </vt:variant>
      <vt:variant>
        <vt:i4>8323175</vt:i4>
      </vt:variant>
      <vt:variant>
        <vt:i4>30</vt:i4>
      </vt:variant>
      <vt:variant>
        <vt:i4>0</vt:i4>
      </vt:variant>
      <vt:variant>
        <vt:i4>5</vt:i4>
      </vt:variant>
      <vt:variant>
        <vt:lpwstr>http://www.nevo.co.il/law/5227</vt:lpwstr>
      </vt:variant>
      <vt:variant>
        <vt:lpwstr/>
      </vt:variant>
      <vt:variant>
        <vt:i4>5177430</vt:i4>
      </vt:variant>
      <vt:variant>
        <vt:i4>27</vt:i4>
      </vt:variant>
      <vt:variant>
        <vt:i4>0</vt:i4>
      </vt:variant>
      <vt:variant>
        <vt:i4>5</vt:i4>
      </vt:variant>
      <vt:variant>
        <vt:lpwstr>http://www.nevo.co.il/law/70301/447.a</vt:lpwstr>
      </vt:variant>
      <vt:variant>
        <vt:lpwstr/>
      </vt:variant>
      <vt:variant>
        <vt:i4>917586</vt:i4>
      </vt:variant>
      <vt:variant>
        <vt:i4>24</vt:i4>
      </vt:variant>
      <vt:variant>
        <vt:i4>0</vt:i4>
      </vt:variant>
      <vt:variant>
        <vt:i4>5</vt:i4>
      </vt:variant>
      <vt:variant>
        <vt:lpwstr>http://www.nevo.co.il/law/70301/413j</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6553697</vt:i4>
      </vt:variant>
      <vt:variant>
        <vt:i4>18</vt:i4>
      </vt:variant>
      <vt:variant>
        <vt:i4>0</vt:i4>
      </vt:variant>
      <vt:variant>
        <vt:i4>5</vt:i4>
      </vt:variant>
      <vt:variant>
        <vt:lpwstr>http://www.nevo.co.il/law/70301/411</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http://www.nevo.co.il/law/70301/409</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2025-04-25T11:08:00Z</dcterms:created>
  <dcterms:modified xsi:type="dcterms:W3CDTF">2025-04-25T11:08:00Z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5159</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ולדימיר קושנר</vt:lpwstr>
  </property>
  <property fmtid="{D5CDD505-2E9C-101B-9397-08002B2CF9AE}" pid="10" name="LAWYER">
    <vt:lpwstr>שני מגדי;עדן פוליטקין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20241120</vt:lpwstr>
  </property>
  <property fmtid="{D5CDD505-2E9C-101B-9397-08002B2CF9AE}" pid="14" name="TYPE_N_DATE">
    <vt:lpwstr>38020241120</vt:lpwstr>
  </property>
  <property fmtid="{D5CDD505-2E9C-101B-9397-08002B2CF9AE}" pid="15" name="CASESLISTTMP1">
    <vt:lpwstr>28758931;28330106:2;28815710;30003958;30117053;27073103:2;30699308;25593595;26233031</vt:lpwstr>
  </property>
  <property fmtid="{D5CDD505-2E9C-101B-9397-08002B2CF9AE}" pid="16" name="CASENOTES1">
    <vt:lpwstr>ProcID=135&amp;PartA=57099&amp;PartB=04&amp;PartC=24</vt:lpwstr>
  </property>
  <property fmtid="{D5CDD505-2E9C-101B-9397-08002B2CF9AE}" pid="17" name="WORDNUMPAGES">
    <vt:lpwstr>9</vt:lpwstr>
  </property>
  <property fmtid="{D5CDD505-2E9C-101B-9397-08002B2CF9AE}" pid="18" name="TYPE_ABS_DATE">
    <vt:lpwstr>380020241120</vt:lpwstr>
  </property>
  <property fmtid="{D5CDD505-2E9C-101B-9397-08002B2CF9AE}" pid="19" name="ISABSTRACT">
    <vt:lpwstr>Y</vt:lpwstr>
  </property>
  <property fmtid="{D5CDD505-2E9C-101B-9397-08002B2CF9AE}" pid="20" name="LAWLISTTMP1">
    <vt:lpwstr>70301/384:4;409:2;447.a:2;413;025;413j;411;040i;40ja</vt:lpwstr>
  </property>
  <property fmtid="{D5CDD505-2E9C-101B-9397-08002B2CF9AE}" pid="21" name="LAWLISTTMP2">
    <vt:lpwstr>5227/062.3;010.a</vt:lpwstr>
  </property>
  <property fmtid="{D5CDD505-2E9C-101B-9397-08002B2CF9AE}" pid="22" name="LAWLISTTMP3">
    <vt:lpwstr>74274/021.b.2;144.a.2</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