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7D3587" w:rsidRPr="00A97C97" w14:paraId="026F7BE4" w14:textId="77777777" w:rsidTr="00CA78CA">
        <w:trPr>
          <w:gridAfter w:val="1"/>
          <w:wAfter w:w="99" w:type="dxa"/>
          <w:trHeight w:hRule="exact" w:val="418"/>
          <w:jc w:val="center"/>
        </w:trPr>
        <w:tc>
          <w:tcPr>
            <w:tcW w:w="8721" w:type="dxa"/>
            <w:gridSpan w:val="4"/>
          </w:tcPr>
          <w:p w14:paraId="45C06F02" w14:textId="77777777" w:rsidR="007D3587" w:rsidRPr="00A97C97" w:rsidRDefault="007D3587" w:rsidP="000A79CB">
            <w:pPr>
              <w:pStyle w:val="a3"/>
              <w:jc w:val="center"/>
              <w:rPr>
                <w:rFonts w:ascii="Tahoma" w:hAnsi="Tahoma" w:cs="Tahoma"/>
                <w:color w:val="000080"/>
                <w:rtl/>
              </w:rPr>
            </w:pPr>
            <w:bookmarkStart w:id="0" w:name="LastJudge"/>
            <w:r w:rsidRPr="00A97C97">
              <w:rPr>
                <w:rFonts w:ascii="Tahoma" w:hAnsi="Tahoma" w:cs="Tahoma"/>
                <w:b/>
                <w:bCs/>
                <w:color w:val="000080"/>
                <w:rtl/>
              </w:rPr>
              <w:t>בית משפט השלום בחדרה</w:t>
            </w:r>
          </w:p>
        </w:tc>
      </w:tr>
      <w:tr w:rsidR="007D3587" w:rsidRPr="00A97C97" w14:paraId="5ACC15F3" w14:textId="77777777" w:rsidTr="00CA78CA">
        <w:trPr>
          <w:gridAfter w:val="1"/>
          <w:wAfter w:w="99" w:type="dxa"/>
          <w:trHeight w:val="337"/>
          <w:jc w:val="center"/>
        </w:trPr>
        <w:tc>
          <w:tcPr>
            <w:tcW w:w="5055" w:type="dxa"/>
            <w:gridSpan w:val="3"/>
          </w:tcPr>
          <w:p w14:paraId="09F09D58" w14:textId="77777777" w:rsidR="007D3587" w:rsidRPr="00A97C97" w:rsidRDefault="007D3587" w:rsidP="000A79CB">
            <w:pPr>
              <w:rPr>
                <w:rFonts w:cs="FrankRuehl"/>
                <w:sz w:val="28"/>
                <w:szCs w:val="28"/>
                <w:rtl/>
              </w:rPr>
            </w:pPr>
            <w:r w:rsidRPr="00A97C97">
              <w:rPr>
                <w:rFonts w:cs="FrankRuehl"/>
                <w:sz w:val="28"/>
                <w:szCs w:val="28"/>
                <w:rtl/>
              </w:rPr>
              <w:t>ת"פ</w:t>
            </w:r>
            <w:r w:rsidRPr="00A97C97">
              <w:rPr>
                <w:rFonts w:cs="FrankRuehl" w:hint="cs"/>
                <w:sz w:val="28"/>
                <w:szCs w:val="28"/>
                <w:rtl/>
              </w:rPr>
              <w:t xml:space="preserve"> </w:t>
            </w:r>
            <w:r w:rsidRPr="00A97C97">
              <w:rPr>
                <w:rFonts w:cs="FrankRuehl"/>
                <w:sz w:val="28"/>
                <w:szCs w:val="28"/>
                <w:rtl/>
              </w:rPr>
              <w:t>65412-06-23</w:t>
            </w:r>
            <w:r w:rsidRPr="00A97C97">
              <w:rPr>
                <w:rFonts w:cs="FrankRuehl" w:hint="cs"/>
                <w:sz w:val="28"/>
                <w:szCs w:val="28"/>
                <w:rtl/>
              </w:rPr>
              <w:t xml:space="preserve"> </w:t>
            </w:r>
            <w:r w:rsidRPr="00A97C97">
              <w:rPr>
                <w:rFonts w:cs="FrankRuehl"/>
                <w:sz w:val="28"/>
                <w:szCs w:val="28"/>
                <w:rtl/>
              </w:rPr>
              <w:t>מדינת ישראל נ' מחאמיד</w:t>
            </w:r>
          </w:p>
          <w:p w14:paraId="6ED0DF55" w14:textId="77777777" w:rsidR="007D3587" w:rsidRPr="00A97C97" w:rsidRDefault="007D3587" w:rsidP="000A79CB">
            <w:pPr>
              <w:pStyle w:val="a3"/>
              <w:rPr>
                <w:rFonts w:cs="FrankRuehl"/>
                <w:sz w:val="28"/>
                <w:szCs w:val="28"/>
                <w:rtl/>
              </w:rPr>
            </w:pPr>
          </w:p>
        </w:tc>
        <w:tc>
          <w:tcPr>
            <w:tcW w:w="3666" w:type="dxa"/>
          </w:tcPr>
          <w:p w14:paraId="5E14B0B6" w14:textId="77777777" w:rsidR="007D3587" w:rsidRPr="00A97C97" w:rsidRDefault="007D3587" w:rsidP="000A79CB">
            <w:pPr>
              <w:pStyle w:val="a3"/>
              <w:jc w:val="right"/>
              <w:rPr>
                <w:rFonts w:cs="FrankRuehl"/>
                <w:sz w:val="28"/>
                <w:szCs w:val="28"/>
                <w:rtl/>
              </w:rPr>
            </w:pPr>
          </w:p>
        </w:tc>
      </w:tr>
      <w:tr w:rsidR="007D3587" w:rsidRPr="00A97C97" w14:paraId="75798F55" w14:textId="77777777" w:rsidTr="00CA7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272F154" w14:textId="77777777" w:rsidR="007D3587" w:rsidRPr="00A97C97" w:rsidRDefault="007D3587" w:rsidP="007D3587">
            <w:pPr>
              <w:jc w:val="both"/>
              <w:rPr>
                <w:rFonts w:ascii="David" w:hAnsi="David"/>
                <w:sz w:val="26"/>
                <w:szCs w:val="26"/>
              </w:rPr>
            </w:pPr>
            <w:r w:rsidRPr="00A97C97">
              <w:rPr>
                <w:rFonts w:hint="cs"/>
                <w:rtl/>
              </w:rPr>
              <w:t xml:space="preserve"> </w:t>
            </w:r>
            <w:r w:rsidRPr="00A97C97">
              <w:rPr>
                <w:rFonts w:ascii="David" w:hAnsi="David" w:hint="cs"/>
                <w:sz w:val="26"/>
                <w:szCs w:val="26"/>
                <w:rtl/>
              </w:rPr>
              <w:t>ל</w:t>
            </w:r>
            <w:r w:rsidRPr="00A97C9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EA10C7D" w14:textId="77777777" w:rsidR="007D3587" w:rsidRPr="00A97C97" w:rsidRDefault="007D3587" w:rsidP="000A79CB">
            <w:pPr>
              <w:rPr>
                <w:rFonts w:ascii="David" w:hAnsi="David"/>
                <w:b/>
                <w:bCs/>
                <w:sz w:val="26"/>
                <w:szCs w:val="26"/>
                <w:rtl/>
              </w:rPr>
            </w:pPr>
            <w:r w:rsidRPr="00A97C97">
              <w:rPr>
                <w:rFonts w:ascii="David" w:hAnsi="David"/>
                <w:b/>
                <w:bCs/>
                <w:sz w:val="26"/>
                <w:szCs w:val="26"/>
                <w:rtl/>
              </w:rPr>
              <w:t>כבוד השופט  אלכס אחטר</w:t>
            </w:r>
          </w:p>
          <w:p w14:paraId="3369039C" w14:textId="77777777" w:rsidR="007D3587" w:rsidRPr="00A97C97" w:rsidRDefault="007D3587" w:rsidP="000A79CB">
            <w:pPr>
              <w:rPr>
                <w:rFonts w:ascii="David" w:hAnsi="David"/>
                <w:sz w:val="26"/>
                <w:szCs w:val="26"/>
                <w:rtl/>
              </w:rPr>
            </w:pPr>
          </w:p>
          <w:p w14:paraId="5EBC363C" w14:textId="77777777" w:rsidR="007D3587" w:rsidRPr="00A97C97" w:rsidRDefault="007D3587" w:rsidP="007D3587">
            <w:pPr>
              <w:jc w:val="both"/>
              <w:rPr>
                <w:rFonts w:ascii="David" w:hAnsi="David"/>
                <w:sz w:val="26"/>
                <w:szCs w:val="26"/>
              </w:rPr>
            </w:pPr>
          </w:p>
        </w:tc>
      </w:tr>
      <w:tr w:rsidR="007D3587" w:rsidRPr="00A97C97" w14:paraId="3F1B144F" w14:textId="77777777" w:rsidTr="00CA7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7CB387" w14:textId="77777777" w:rsidR="007D3587" w:rsidRPr="00A97C97" w:rsidRDefault="007D3587" w:rsidP="007D3587">
            <w:pPr>
              <w:jc w:val="both"/>
              <w:rPr>
                <w:rFonts w:ascii="David" w:hAnsi="David"/>
                <w:sz w:val="26"/>
                <w:szCs w:val="26"/>
              </w:rPr>
            </w:pPr>
            <w:bookmarkStart w:id="1" w:name="FirstAppellant"/>
            <w:bookmarkStart w:id="2" w:name="FirstLawyer"/>
            <w:r w:rsidRPr="00A97C97">
              <w:rPr>
                <w:rFonts w:ascii="David" w:hAnsi="David"/>
                <w:sz w:val="26"/>
                <w:szCs w:val="26"/>
                <w:rtl/>
              </w:rPr>
              <w:t>בעניין:</w:t>
            </w:r>
          </w:p>
        </w:tc>
        <w:tc>
          <w:tcPr>
            <w:tcW w:w="3219" w:type="dxa"/>
            <w:tcBorders>
              <w:top w:val="nil"/>
              <w:left w:val="nil"/>
              <w:bottom w:val="nil"/>
              <w:right w:val="nil"/>
            </w:tcBorders>
            <w:shd w:val="clear" w:color="auto" w:fill="auto"/>
          </w:tcPr>
          <w:p w14:paraId="7200216D" w14:textId="77777777" w:rsidR="007D3587" w:rsidRPr="00A97C97" w:rsidRDefault="007D3587" w:rsidP="007D3587">
            <w:pPr>
              <w:suppressLineNumbers/>
            </w:pPr>
            <w:r w:rsidRPr="00A97C97">
              <w:rPr>
                <w:rFonts w:ascii="Arial" w:hAnsi="Arial" w:hint="cs"/>
                <w:b/>
                <w:bCs/>
                <w:sz w:val="26"/>
                <w:szCs w:val="26"/>
                <w:rtl/>
              </w:rPr>
              <w:t>ה</w:t>
            </w:r>
            <w:r w:rsidRPr="00A97C97">
              <w:rPr>
                <w:rFonts w:ascii="Arial" w:hAnsi="Arial"/>
                <w:b/>
                <w:bCs/>
                <w:sz w:val="26"/>
                <w:szCs w:val="26"/>
                <w:rtl/>
              </w:rPr>
              <w:t>מאשימה</w:t>
            </w:r>
          </w:p>
          <w:p w14:paraId="0A0F3535" w14:textId="77777777" w:rsidR="007D3587" w:rsidRPr="00A97C97" w:rsidRDefault="007D3587" w:rsidP="000A79C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478E73B" w14:textId="77777777" w:rsidR="007D3587" w:rsidRPr="00A97C97" w:rsidRDefault="007D3587" w:rsidP="007D3587">
            <w:pPr>
              <w:suppressLineNumbers/>
              <w:rPr>
                <w:rFonts w:ascii="Arial" w:hAnsi="Arial"/>
                <w:b/>
                <w:bCs/>
                <w:sz w:val="26"/>
                <w:szCs w:val="26"/>
                <w:rtl/>
              </w:rPr>
            </w:pPr>
            <w:r w:rsidRPr="00A97C97">
              <w:rPr>
                <w:rFonts w:ascii="Arial" w:hAnsi="Arial"/>
                <w:b/>
                <w:bCs/>
                <w:sz w:val="26"/>
                <w:szCs w:val="26"/>
                <w:rtl/>
              </w:rPr>
              <w:t>מדינת ישראל</w:t>
            </w:r>
            <w:r w:rsidRPr="00A97C97">
              <w:rPr>
                <w:rFonts w:ascii="Arial" w:hAnsi="Arial" w:hint="cs"/>
                <w:b/>
                <w:bCs/>
                <w:sz w:val="26"/>
                <w:szCs w:val="26"/>
                <w:rtl/>
              </w:rPr>
              <w:t xml:space="preserve"> </w:t>
            </w:r>
          </w:p>
          <w:p w14:paraId="2D4B8605" w14:textId="77777777" w:rsidR="007D3587" w:rsidRPr="00A97C97" w:rsidRDefault="007D3587" w:rsidP="007D3587">
            <w:pPr>
              <w:suppressLineNumbers/>
            </w:pPr>
            <w:r w:rsidRPr="00A97C97">
              <w:rPr>
                <w:rFonts w:ascii="Arial" w:hAnsi="Arial"/>
                <w:b/>
                <w:bCs/>
                <w:sz w:val="26"/>
                <w:szCs w:val="26"/>
                <w:rtl/>
              </w:rPr>
              <w:t>ע"י ב"כ עוה"ד</w:t>
            </w:r>
            <w:r w:rsidRPr="00A97C97">
              <w:rPr>
                <w:rFonts w:hint="cs"/>
                <w:b/>
                <w:bCs/>
                <w:rtl/>
              </w:rPr>
              <w:t xml:space="preserve"> מידד אזרזר</w:t>
            </w:r>
          </w:p>
          <w:p w14:paraId="45614183" w14:textId="77777777" w:rsidR="007D3587" w:rsidRPr="00A97C97" w:rsidRDefault="007D3587" w:rsidP="000A79CB">
            <w:pPr>
              <w:rPr>
                <w:rFonts w:ascii="David" w:hAnsi="David"/>
                <w:sz w:val="26"/>
                <w:szCs w:val="26"/>
              </w:rPr>
            </w:pPr>
          </w:p>
        </w:tc>
      </w:tr>
      <w:bookmarkEnd w:id="1"/>
      <w:bookmarkEnd w:id="2"/>
      <w:tr w:rsidR="007D3587" w:rsidRPr="00A97C97" w14:paraId="2A2DFAFD" w14:textId="77777777" w:rsidTr="00CA7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E6ECC0" w14:textId="77777777" w:rsidR="007D3587" w:rsidRPr="00A97C97" w:rsidRDefault="007D3587" w:rsidP="007D358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2153142" w14:textId="77777777" w:rsidR="007D3587" w:rsidRPr="00A97C97" w:rsidRDefault="007D3587" w:rsidP="007D3587">
            <w:pPr>
              <w:jc w:val="center"/>
              <w:rPr>
                <w:rFonts w:ascii="David" w:hAnsi="David"/>
                <w:b/>
                <w:bCs/>
                <w:sz w:val="26"/>
                <w:szCs w:val="26"/>
                <w:rtl/>
              </w:rPr>
            </w:pPr>
          </w:p>
          <w:p w14:paraId="520F6A98" w14:textId="77777777" w:rsidR="007D3587" w:rsidRPr="00A97C97" w:rsidRDefault="007D3587" w:rsidP="007D3587">
            <w:pPr>
              <w:jc w:val="center"/>
              <w:rPr>
                <w:rFonts w:ascii="David" w:hAnsi="David"/>
                <w:b/>
                <w:bCs/>
                <w:sz w:val="26"/>
                <w:szCs w:val="26"/>
                <w:rtl/>
              </w:rPr>
            </w:pPr>
            <w:r w:rsidRPr="00A97C97">
              <w:rPr>
                <w:rFonts w:ascii="David" w:hAnsi="David"/>
                <w:b/>
                <w:bCs/>
                <w:sz w:val="26"/>
                <w:szCs w:val="26"/>
                <w:rtl/>
              </w:rPr>
              <w:t>נגד</w:t>
            </w:r>
          </w:p>
          <w:p w14:paraId="34793D35" w14:textId="77777777" w:rsidR="007D3587" w:rsidRPr="00A97C97" w:rsidRDefault="007D3587" w:rsidP="007D3587">
            <w:pPr>
              <w:jc w:val="both"/>
              <w:rPr>
                <w:rFonts w:ascii="David" w:hAnsi="David"/>
                <w:sz w:val="26"/>
                <w:szCs w:val="26"/>
              </w:rPr>
            </w:pPr>
          </w:p>
        </w:tc>
      </w:tr>
      <w:tr w:rsidR="007D3587" w:rsidRPr="00A97C97" w14:paraId="4C906CCD" w14:textId="77777777" w:rsidTr="00CA78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02827E" w14:textId="77777777" w:rsidR="007D3587" w:rsidRPr="00A97C97" w:rsidRDefault="007D3587" w:rsidP="000A79CB">
            <w:pPr>
              <w:rPr>
                <w:rFonts w:ascii="David" w:hAnsi="David"/>
                <w:sz w:val="26"/>
                <w:szCs w:val="26"/>
                <w:rtl/>
              </w:rPr>
            </w:pPr>
          </w:p>
        </w:tc>
        <w:tc>
          <w:tcPr>
            <w:tcW w:w="3219" w:type="dxa"/>
            <w:tcBorders>
              <w:top w:val="nil"/>
              <w:left w:val="nil"/>
              <w:bottom w:val="nil"/>
              <w:right w:val="nil"/>
            </w:tcBorders>
            <w:shd w:val="clear" w:color="auto" w:fill="auto"/>
          </w:tcPr>
          <w:p w14:paraId="1854F9A9" w14:textId="77777777" w:rsidR="007D3587" w:rsidRPr="00A97C97" w:rsidRDefault="007D3587" w:rsidP="000A79CB">
            <w:pPr>
              <w:rPr>
                <w:rFonts w:ascii="Arial" w:hAnsi="Arial"/>
                <w:b/>
                <w:bCs/>
                <w:sz w:val="26"/>
                <w:szCs w:val="26"/>
                <w:rtl/>
              </w:rPr>
            </w:pPr>
            <w:r w:rsidRPr="00A97C97">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EFA92BA" w14:textId="77777777" w:rsidR="007D3587" w:rsidRPr="00A97C97" w:rsidRDefault="007D3587" w:rsidP="007D3587">
            <w:pPr>
              <w:suppressLineNumbers/>
              <w:rPr>
                <w:rFonts w:ascii="Arial" w:hAnsi="Arial"/>
                <w:b/>
                <w:bCs/>
                <w:sz w:val="26"/>
                <w:szCs w:val="26"/>
                <w:rtl/>
              </w:rPr>
            </w:pPr>
            <w:r w:rsidRPr="00A97C97">
              <w:rPr>
                <w:rFonts w:ascii="Arial" w:hAnsi="Arial"/>
                <w:b/>
                <w:bCs/>
                <w:sz w:val="26"/>
                <w:szCs w:val="26"/>
                <w:rtl/>
              </w:rPr>
              <w:t>איאד מחאמיד</w:t>
            </w:r>
            <w:r w:rsidRPr="00A97C97">
              <w:rPr>
                <w:rFonts w:ascii="Arial" w:hAnsi="Arial" w:hint="cs"/>
                <w:b/>
                <w:bCs/>
                <w:sz w:val="26"/>
                <w:szCs w:val="26"/>
                <w:rtl/>
              </w:rPr>
              <w:t xml:space="preserve"> </w:t>
            </w:r>
          </w:p>
          <w:p w14:paraId="3DDBA43D" w14:textId="77777777" w:rsidR="007D3587" w:rsidRPr="00A97C97" w:rsidRDefault="007D3587" w:rsidP="007D3587">
            <w:pPr>
              <w:suppressLineNumbers/>
            </w:pPr>
            <w:r w:rsidRPr="00A97C97">
              <w:rPr>
                <w:rFonts w:ascii="Arial" w:hAnsi="Arial"/>
                <w:b/>
                <w:bCs/>
                <w:sz w:val="26"/>
                <w:szCs w:val="26"/>
                <w:rtl/>
              </w:rPr>
              <w:t>ע"י ב"כ עוה"ד</w:t>
            </w:r>
            <w:r w:rsidRPr="00A97C97">
              <w:rPr>
                <w:rFonts w:hint="cs"/>
                <w:b/>
                <w:bCs/>
                <w:rtl/>
              </w:rPr>
              <w:t xml:space="preserve"> עאדל בויארת</w:t>
            </w:r>
          </w:p>
          <w:p w14:paraId="2E389A9E" w14:textId="77777777" w:rsidR="007D3587" w:rsidRPr="00A97C97" w:rsidRDefault="007D3587" w:rsidP="000A79CB">
            <w:pPr>
              <w:rPr>
                <w:rFonts w:ascii="David" w:hAnsi="David"/>
                <w:sz w:val="26"/>
                <w:szCs w:val="26"/>
              </w:rPr>
            </w:pPr>
          </w:p>
        </w:tc>
      </w:tr>
    </w:tbl>
    <w:p w14:paraId="5BAAC04C" w14:textId="77777777" w:rsidR="00A97C97" w:rsidRPr="00A97C97" w:rsidRDefault="00A97C97" w:rsidP="00A97C97">
      <w:pPr>
        <w:spacing w:before="120" w:after="120" w:line="240" w:lineRule="exact"/>
        <w:ind w:left="283" w:hanging="283"/>
        <w:jc w:val="both"/>
        <w:rPr>
          <w:rFonts w:ascii="FrankRuehl" w:hAnsi="FrankRuehl" w:cs="FrankRuehl"/>
          <w:rtl/>
        </w:rPr>
      </w:pPr>
    </w:p>
    <w:p w14:paraId="40A01CEB" w14:textId="77777777" w:rsidR="00A97C97" w:rsidRPr="00A97C97" w:rsidRDefault="00A97C97" w:rsidP="00A97C97">
      <w:pPr>
        <w:rPr>
          <w:sz w:val="26"/>
          <w:szCs w:val="26"/>
          <w:rtl/>
        </w:rPr>
      </w:pPr>
    </w:p>
    <w:p w14:paraId="59824022" w14:textId="77777777" w:rsidR="00CA78CA" w:rsidRPr="00CA78CA" w:rsidRDefault="00CA78CA" w:rsidP="00CA78CA">
      <w:pPr>
        <w:spacing w:before="120" w:after="120" w:line="240" w:lineRule="exact"/>
        <w:ind w:left="283" w:hanging="283"/>
        <w:jc w:val="both"/>
        <w:rPr>
          <w:rFonts w:ascii="FrankRuehl" w:hAnsi="FrankRuehl" w:cs="FrankRuehl"/>
          <w:rtl/>
        </w:rPr>
      </w:pPr>
    </w:p>
    <w:p w14:paraId="74E32D3E" w14:textId="77777777" w:rsidR="00441820" w:rsidRPr="00441820" w:rsidRDefault="00441820" w:rsidP="00441820">
      <w:pPr>
        <w:spacing w:before="120" w:after="120" w:line="240" w:lineRule="exact"/>
        <w:ind w:left="283" w:hanging="283"/>
        <w:jc w:val="both"/>
        <w:rPr>
          <w:rFonts w:ascii="FrankRuehl" w:hAnsi="FrankRuehl" w:cs="FrankRuehl"/>
          <w:rtl/>
        </w:rPr>
      </w:pPr>
    </w:p>
    <w:p w14:paraId="4A4B9C02" w14:textId="77777777" w:rsidR="00A021CD" w:rsidRDefault="00A021CD" w:rsidP="00A021CD">
      <w:pPr>
        <w:rPr>
          <w:sz w:val="26"/>
          <w:szCs w:val="26"/>
          <w:rtl/>
        </w:rPr>
      </w:pPr>
      <w:bookmarkStart w:id="3" w:name="LawTable"/>
      <w:bookmarkEnd w:id="3"/>
    </w:p>
    <w:p w14:paraId="51ACD590" w14:textId="77777777" w:rsidR="00A021CD" w:rsidRPr="00A021CD" w:rsidRDefault="00A021CD" w:rsidP="00A021CD">
      <w:pPr>
        <w:spacing w:before="120" w:after="120" w:line="240" w:lineRule="exact"/>
        <w:ind w:left="283" w:hanging="283"/>
        <w:jc w:val="both"/>
        <w:rPr>
          <w:rFonts w:ascii="FrankRuehl" w:hAnsi="FrankRuehl" w:cs="FrankRuehl"/>
          <w:rtl/>
        </w:rPr>
      </w:pPr>
    </w:p>
    <w:p w14:paraId="6E89D12C" w14:textId="77777777" w:rsidR="00A021CD" w:rsidRPr="00A021CD" w:rsidRDefault="00A021CD" w:rsidP="00A021CD">
      <w:pPr>
        <w:spacing w:before="120" w:after="120" w:line="240" w:lineRule="exact"/>
        <w:ind w:left="283" w:hanging="283"/>
        <w:jc w:val="both"/>
        <w:rPr>
          <w:rFonts w:ascii="FrankRuehl" w:hAnsi="FrankRuehl" w:cs="FrankRuehl"/>
          <w:rtl/>
        </w:rPr>
      </w:pPr>
    </w:p>
    <w:p w14:paraId="382A7959" w14:textId="77777777" w:rsidR="00A021CD" w:rsidRPr="00A021CD" w:rsidRDefault="00A021CD" w:rsidP="00A021CD">
      <w:pPr>
        <w:spacing w:before="120" w:after="120" w:line="240" w:lineRule="exact"/>
        <w:ind w:left="283" w:hanging="283"/>
        <w:jc w:val="both"/>
        <w:rPr>
          <w:rFonts w:ascii="FrankRuehl" w:hAnsi="FrankRuehl" w:cs="FrankRuehl"/>
          <w:rtl/>
        </w:rPr>
      </w:pPr>
      <w:r w:rsidRPr="00A021CD">
        <w:rPr>
          <w:rFonts w:ascii="FrankRuehl" w:hAnsi="FrankRuehl" w:cs="FrankRuehl"/>
          <w:rtl/>
        </w:rPr>
        <w:t xml:space="preserve">חקיקה שאוזכרה: </w:t>
      </w:r>
    </w:p>
    <w:p w14:paraId="507E289E" w14:textId="77777777" w:rsidR="00A021CD" w:rsidRPr="00A021CD" w:rsidRDefault="00A021CD" w:rsidP="00A021CD">
      <w:pPr>
        <w:spacing w:before="120" w:after="120" w:line="240" w:lineRule="exact"/>
        <w:ind w:left="283" w:hanging="283"/>
        <w:jc w:val="both"/>
        <w:rPr>
          <w:rFonts w:ascii="FrankRuehl" w:hAnsi="FrankRuehl" w:cs="FrankRuehl"/>
          <w:rtl/>
        </w:rPr>
      </w:pPr>
      <w:hyperlink r:id="rId7" w:history="1">
        <w:r w:rsidRPr="00A021CD">
          <w:rPr>
            <w:rFonts w:ascii="FrankRuehl" w:hAnsi="FrankRuehl" w:cs="FrankRuehl"/>
            <w:color w:val="0000FF"/>
            <w:rtl/>
          </w:rPr>
          <w:t>חוק העונשין, תשל"ז-1977</w:t>
        </w:r>
      </w:hyperlink>
      <w:r w:rsidRPr="00A021CD">
        <w:rPr>
          <w:rFonts w:ascii="FrankRuehl" w:hAnsi="FrankRuehl" w:cs="FrankRuehl"/>
          <w:rtl/>
        </w:rPr>
        <w:t xml:space="preserve">: סע'  </w:t>
      </w:r>
      <w:hyperlink r:id="rId8" w:history="1">
        <w:r w:rsidRPr="00A021CD">
          <w:rPr>
            <w:rFonts w:ascii="FrankRuehl" w:hAnsi="FrankRuehl" w:cs="FrankRuehl"/>
            <w:color w:val="0000FF"/>
            <w:rtl/>
          </w:rPr>
          <w:t>40ד'</w:t>
        </w:r>
      </w:hyperlink>
      <w:r w:rsidRPr="00A021CD">
        <w:rPr>
          <w:rFonts w:ascii="FrankRuehl" w:hAnsi="FrankRuehl" w:cs="FrankRuehl"/>
          <w:rtl/>
        </w:rPr>
        <w:t xml:space="preserve">, </w:t>
      </w:r>
      <w:hyperlink r:id="rId9" w:history="1">
        <w:r w:rsidRPr="00A021CD">
          <w:rPr>
            <w:rFonts w:ascii="FrankRuehl" w:hAnsi="FrankRuehl" w:cs="FrankRuehl"/>
            <w:color w:val="0000FF"/>
            <w:rtl/>
          </w:rPr>
          <w:t>40 ה'</w:t>
        </w:r>
      </w:hyperlink>
      <w:r w:rsidRPr="00A021CD">
        <w:rPr>
          <w:rFonts w:ascii="FrankRuehl" w:hAnsi="FrankRuehl" w:cs="FrankRuehl"/>
          <w:rtl/>
        </w:rPr>
        <w:t xml:space="preserve">, </w:t>
      </w:r>
      <w:hyperlink r:id="rId10" w:history="1">
        <w:r w:rsidRPr="00A021CD">
          <w:rPr>
            <w:rFonts w:ascii="FrankRuehl" w:hAnsi="FrankRuehl" w:cs="FrankRuehl"/>
            <w:color w:val="0000FF"/>
            <w:rtl/>
          </w:rPr>
          <w:t>40ט'</w:t>
        </w:r>
      </w:hyperlink>
      <w:r w:rsidRPr="00A021CD">
        <w:rPr>
          <w:rFonts w:ascii="FrankRuehl" w:hAnsi="FrankRuehl" w:cs="FrankRuehl"/>
          <w:rtl/>
        </w:rPr>
        <w:t xml:space="preserve">, </w:t>
      </w:r>
      <w:hyperlink r:id="rId11" w:history="1">
        <w:r w:rsidRPr="00A021CD">
          <w:rPr>
            <w:rFonts w:ascii="FrankRuehl" w:hAnsi="FrankRuehl" w:cs="FrankRuehl"/>
            <w:color w:val="0000FF"/>
            <w:rtl/>
          </w:rPr>
          <w:t>144(א)</w:t>
        </w:r>
      </w:hyperlink>
      <w:r w:rsidRPr="00A021CD">
        <w:rPr>
          <w:rFonts w:ascii="FrankRuehl" w:hAnsi="FrankRuehl" w:cs="FrankRuehl"/>
          <w:rtl/>
        </w:rPr>
        <w:t xml:space="preserve">, </w:t>
      </w:r>
      <w:hyperlink r:id="rId12" w:history="1">
        <w:r w:rsidRPr="00A021CD">
          <w:rPr>
            <w:rFonts w:ascii="FrankRuehl" w:hAnsi="FrankRuehl" w:cs="FrankRuehl"/>
            <w:color w:val="0000FF"/>
            <w:rtl/>
          </w:rPr>
          <w:t>40יא'</w:t>
        </w:r>
      </w:hyperlink>
    </w:p>
    <w:p w14:paraId="12E914B6" w14:textId="77777777" w:rsidR="00A021CD" w:rsidRPr="00A021CD" w:rsidRDefault="00A021CD" w:rsidP="00A021CD">
      <w:pPr>
        <w:rPr>
          <w:sz w:val="26"/>
          <w:szCs w:val="26"/>
          <w:rtl/>
        </w:rPr>
      </w:pPr>
      <w:bookmarkStart w:id="4" w:name="LawTable_End"/>
      <w:bookmarkEnd w:id="4"/>
    </w:p>
    <w:p w14:paraId="12CC3F65" w14:textId="77777777" w:rsidR="00CA78CA" w:rsidRPr="00441820" w:rsidRDefault="00CA78CA" w:rsidP="00441820">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3587" w14:paraId="77B8B46F" w14:textId="77777777" w:rsidTr="007D3587">
        <w:trPr>
          <w:trHeight w:val="355"/>
          <w:jc w:val="center"/>
        </w:trPr>
        <w:tc>
          <w:tcPr>
            <w:tcW w:w="8820" w:type="dxa"/>
            <w:tcBorders>
              <w:top w:val="nil"/>
              <w:left w:val="nil"/>
              <w:bottom w:val="nil"/>
              <w:right w:val="nil"/>
            </w:tcBorders>
            <w:shd w:val="clear" w:color="auto" w:fill="auto"/>
          </w:tcPr>
          <w:p w14:paraId="40A8BEC9" w14:textId="77777777" w:rsidR="00A97C97" w:rsidRPr="00A97C97" w:rsidRDefault="00A97C97" w:rsidP="00A97C97">
            <w:pPr>
              <w:jc w:val="center"/>
              <w:rPr>
                <w:rFonts w:ascii="David" w:hAnsi="David"/>
                <w:b/>
                <w:bCs/>
                <w:sz w:val="32"/>
                <w:szCs w:val="32"/>
                <w:u w:val="single"/>
                <w:rtl/>
              </w:rPr>
            </w:pPr>
            <w:bookmarkStart w:id="5" w:name="PsakDin" w:colFirst="0" w:colLast="0"/>
            <w:bookmarkEnd w:id="0"/>
            <w:r w:rsidRPr="00A97C97">
              <w:rPr>
                <w:rFonts w:ascii="David" w:hAnsi="David"/>
                <w:b/>
                <w:bCs/>
                <w:sz w:val="32"/>
                <w:szCs w:val="32"/>
                <w:u w:val="single"/>
                <w:rtl/>
              </w:rPr>
              <w:t>גזר דין</w:t>
            </w:r>
          </w:p>
          <w:p w14:paraId="24AC0E98" w14:textId="77777777" w:rsidR="007D3587" w:rsidRPr="00A97C97" w:rsidRDefault="007D3587" w:rsidP="00A97C97">
            <w:pPr>
              <w:jc w:val="center"/>
              <w:rPr>
                <w:rFonts w:ascii="David" w:hAnsi="David"/>
                <w:bCs/>
                <w:sz w:val="32"/>
                <w:szCs w:val="32"/>
                <w:u w:val="single"/>
                <w:rtl/>
              </w:rPr>
            </w:pPr>
          </w:p>
        </w:tc>
      </w:tr>
      <w:bookmarkEnd w:id="5"/>
    </w:tbl>
    <w:p w14:paraId="03EEF0A7" w14:textId="77777777" w:rsidR="007D3587" w:rsidRPr="000F2247" w:rsidRDefault="007D3587" w:rsidP="007D3587">
      <w:pPr>
        <w:rPr>
          <w:rFonts w:ascii="Arial" w:hAnsi="Arial"/>
          <w:b/>
          <w:bCs/>
          <w:sz w:val="26"/>
          <w:szCs w:val="26"/>
          <w:rtl/>
        </w:rPr>
      </w:pPr>
    </w:p>
    <w:p w14:paraId="0092E08F" w14:textId="77777777" w:rsidR="007D3587" w:rsidRPr="000F2247" w:rsidRDefault="007D3587" w:rsidP="007D3587">
      <w:pPr>
        <w:rPr>
          <w:rFonts w:ascii="Arial" w:hAnsi="Arial"/>
          <w:b/>
          <w:bCs/>
          <w:sz w:val="26"/>
          <w:szCs w:val="26"/>
          <w:rtl/>
        </w:rPr>
      </w:pPr>
      <w:bookmarkStart w:id="6" w:name="ABSTRACT_START"/>
      <w:bookmarkEnd w:id="6"/>
    </w:p>
    <w:p w14:paraId="1DBD6FAB"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הנאשם הורשע על פי הודאתו בעבירות המיוחסות לו בכתב האישום בהחזקת חלק אבזר או תחמושת שאינם חלק מהותי בנשק </w:t>
      </w:r>
      <w:r w:rsidRPr="00D20708">
        <w:rPr>
          <w:rFonts w:ascii="Arial" w:hAnsi="Arial"/>
          <w:rtl/>
        </w:rPr>
        <w:t>–</w:t>
      </w:r>
      <w:r w:rsidRPr="00D20708">
        <w:rPr>
          <w:rFonts w:ascii="Arial" w:hAnsi="Arial" w:hint="cs"/>
          <w:rtl/>
        </w:rPr>
        <w:t xml:space="preserve"> עבירה לפי </w:t>
      </w:r>
      <w:hyperlink r:id="rId13" w:history="1">
        <w:r w:rsidR="00CA78CA" w:rsidRPr="00CA78CA">
          <w:rPr>
            <w:rStyle w:val="Hyperlink"/>
            <w:rFonts w:ascii="Arial" w:hAnsi="Arial" w:hint="eastAsia"/>
            <w:rtl/>
          </w:rPr>
          <w:t>סעיף</w:t>
        </w:r>
        <w:r w:rsidR="00CA78CA" w:rsidRPr="00CA78CA">
          <w:rPr>
            <w:rStyle w:val="Hyperlink"/>
            <w:rFonts w:ascii="Arial" w:hAnsi="Arial"/>
            <w:rtl/>
          </w:rPr>
          <w:t xml:space="preserve"> 144(א)</w:t>
        </w:r>
      </w:hyperlink>
      <w:r w:rsidRPr="00D20708">
        <w:rPr>
          <w:rFonts w:ascii="Arial" w:hAnsi="Arial" w:hint="cs"/>
          <w:rtl/>
        </w:rPr>
        <w:t xml:space="preserve"> </w:t>
      </w:r>
      <w:r w:rsidRPr="00D20708">
        <w:rPr>
          <w:rFonts w:ascii="Arial" w:hAnsi="Arial"/>
          <w:rtl/>
        </w:rPr>
        <w:t>–</w:t>
      </w:r>
      <w:r w:rsidRPr="00D20708">
        <w:rPr>
          <w:rFonts w:ascii="Arial" w:hAnsi="Arial" w:hint="cs"/>
          <w:rtl/>
        </w:rPr>
        <w:t xml:space="preserve"> סיפא ל</w:t>
      </w:r>
      <w:hyperlink r:id="rId14" w:history="1">
        <w:r w:rsidR="00A97C97" w:rsidRPr="00A97C97">
          <w:rPr>
            <w:rFonts w:ascii="Arial" w:hAnsi="Arial"/>
            <w:color w:val="0000FF"/>
            <w:u w:val="single"/>
            <w:rtl/>
          </w:rPr>
          <w:t>חוק העונשין</w:t>
        </w:r>
      </w:hyperlink>
      <w:r w:rsidRPr="00D20708">
        <w:rPr>
          <w:rFonts w:ascii="Arial" w:hAnsi="Arial" w:hint="cs"/>
          <w:rtl/>
        </w:rPr>
        <w:t xml:space="preserve">, תשל"ז </w:t>
      </w:r>
      <w:r w:rsidRPr="00D20708">
        <w:rPr>
          <w:rFonts w:ascii="Arial" w:hAnsi="Arial"/>
          <w:rtl/>
        </w:rPr>
        <w:t>–</w:t>
      </w:r>
      <w:r w:rsidRPr="00D20708">
        <w:rPr>
          <w:rFonts w:ascii="Arial" w:hAnsi="Arial" w:hint="cs"/>
          <w:rtl/>
        </w:rPr>
        <w:t xml:space="preserve"> 1977. </w:t>
      </w:r>
    </w:p>
    <w:p w14:paraId="0771C2ED" w14:textId="77777777" w:rsidR="007D3587" w:rsidRPr="00D20708" w:rsidRDefault="007D3587" w:rsidP="007D3587">
      <w:pPr>
        <w:spacing w:line="360" w:lineRule="auto"/>
        <w:jc w:val="both"/>
        <w:rPr>
          <w:rFonts w:ascii="Arial" w:hAnsi="Arial"/>
          <w:rtl/>
        </w:rPr>
      </w:pPr>
      <w:bookmarkStart w:id="7" w:name="ABSTRACT_END"/>
      <w:bookmarkEnd w:id="7"/>
    </w:p>
    <w:p w14:paraId="324FA7DF"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בהתאם למפורט בכתב האישום בתאריך 25/6/23 בשעה 09:10 או בסמוך לכך, במהלך חיפוש שנערך כדין בביתו של הנאשם שבאום אל פאחם (להלן: "הבית") מתחת לגרם מדרגות פנימי בבית, נמצא ברוס שהכיל קופסאות של תחמושת עטופות בניילון נצמד ועוד מספר קופסאות כמפורט לעיל: </w:t>
      </w:r>
    </w:p>
    <w:p w14:paraId="34E7E6D3"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א. 24 כדורי צייד בצבע שחור בתפזורת. </w:t>
      </w:r>
    </w:p>
    <w:p w14:paraId="3F8EEF74" w14:textId="77777777" w:rsidR="007D3587" w:rsidRPr="00D20708" w:rsidRDefault="007D3587" w:rsidP="007D3587">
      <w:pPr>
        <w:spacing w:line="360" w:lineRule="auto"/>
        <w:jc w:val="both"/>
        <w:rPr>
          <w:rFonts w:ascii="Arial" w:hAnsi="Arial"/>
          <w:rtl/>
        </w:rPr>
      </w:pPr>
      <w:r w:rsidRPr="00D20708">
        <w:rPr>
          <w:rFonts w:ascii="Arial" w:hAnsi="Arial" w:hint="cs"/>
          <w:rtl/>
        </w:rPr>
        <w:t>ב. 50 כדורי תחמושת מסוג 0.22 מ"מ</w:t>
      </w:r>
    </w:p>
    <w:p w14:paraId="6984F936"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ג. 39 כדורי תחמושת מסוג 9 מ"מ בתפזורת. </w:t>
      </w:r>
    </w:p>
    <w:p w14:paraId="2D597A77" w14:textId="77777777" w:rsidR="007D3587" w:rsidRPr="00D20708" w:rsidRDefault="007D3587" w:rsidP="007D3587">
      <w:pPr>
        <w:spacing w:line="360" w:lineRule="auto"/>
        <w:jc w:val="both"/>
        <w:rPr>
          <w:rFonts w:ascii="Arial" w:hAnsi="Arial"/>
          <w:rtl/>
        </w:rPr>
      </w:pPr>
      <w:r w:rsidRPr="00D20708">
        <w:rPr>
          <w:rFonts w:ascii="Arial" w:hAnsi="Arial" w:hint="cs"/>
          <w:rtl/>
        </w:rPr>
        <w:lastRenderedPageBreak/>
        <w:t xml:space="preserve">ד. 14 כדורי תחמושת מסוגים שונים בתפזורת. </w:t>
      </w:r>
    </w:p>
    <w:p w14:paraId="5CBBE5A5"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ה. 4 כדורי תחמושת מסוג 5.56 מ"מ בתפזורת. </w:t>
      </w:r>
    </w:p>
    <w:p w14:paraId="2F65D08C"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ו. 9 קופסאות של כדורי תחמושת מסוג 5.56 מ"מ, כשכל קופסא מכילה 30 כדורי תחמושת מסוג 5.56 מ"מ </w:t>
      </w:r>
      <w:r w:rsidRPr="00D20708">
        <w:rPr>
          <w:rFonts w:ascii="Arial" w:hAnsi="Arial"/>
          <w:rtl/>
        </w:rPr>
        <w:t>–</w:t>
      </w:r>
      <w:r w:rsidRPr="00D20708">
        <w:rPr>
          <w:rFonts w:ascii="Arial" w:hAnsi="Arial" w:hint="cs"/>
          <w:rtl/>
        </w:rPr>
        <w:t xml:space="preserve"> בסה"כ 270 כדורי תחמושת 5.56 מ"מ. </w:t>
      </w:r>
    </w:p>
    <w:p w14:paraId="6FFE4A05" w14:textId="77777777" w:rsidR="007D3587" w:rsidRPr="00D20708" w:rsidRDefault="007D3587" w:rsidP="007D3587">
      <w:pPr>
        <w:spacing w:line="360" w:lineRule="auto"/>
        <w:jc w:val="both"/>
        <w:rPr>
          <w:rFonts w:ascii="Arial" w:hAnsi="Arial"/>
          <w:rtl/>
        </w:rPr>
      </w:pPr>
      <w:r w:rsidRPr="00D20708">
        <w:rPr>
          <w:rFonts w:ascii="Arial" w:hAnsi="Arial" w:hint="cs"/>
          <w:rtl/>
        </w:rPr>
        <w:t>ז. 4 קופסאות של</w:t>
      </w:r>
      <w:r>
        <w:rPr>
          <w:rFonts w:ascii="Arial" w:hAnsi="Arial" w:hint="cs"/>
          <w:rtl/>
        </w:rPr>
        <w:t xml:space="preserve"> </w:t>
      </w:r>
      <w:r w:rsidRPr="00D20708">
        <w:rPr>
          <w:rFonts w:ascii="Arial" w:hAnsi="Arial" w:hint="cs"/>
          <w:rtl/>
        </w:rPr>
        <w:t>כדורי תחמושת מסוג 9 מ"מ כשכל קופסא מכילה 50 כדורי תחמושת מסוג 9 מ"מ</w:t>
      </w:r>
      <w:r>
        <w:rPr>
          <w:rFonts w:ascii="Arial" w:hAnsi="Arial" w:hint="cs"/>
          <w:rtl/>
        </w:rPr>
        <w:t xml:space="preserve"> </w:t>
      </w:r>
      <w:r>
        <w:rPr>
          <w:rFonts w:ascii="Arial" w:hAnsi="Arial"/>
          <w:rtl/>
        </w:rPr>
        <w:t>–</w:t>
      </w:r>
      <w:r>
        <w:rPr>
          <w:rFonts w:ascii="Arial" w:hAnsi="Arial" w:hint="cs"/>
          <w:rtl/>
        </w:rPr>
        <w:t xml:space="preserve"> בסה"כ 200 כדורי תחמושת מסוג 9 מ"מ</w:t>
      </w:r>
      <w:r w:rsidRPr="00D20708">
        <w:rPr>
          <w:rFonts w:ascii="Arial" w:hAnsi="Arial" w:hint="cs"/>
          <w:rtl/>
        </w:rPr>
        <w:t xml:space="preserve">. </w:t>
      </w:r>
    </w:p>
    <w:p w14:paraId="096AA6BE" w14:textId="77777777" w:rsidR="007D3587" w:rsidRPr="00D20708" w:rsidRDefault="007D3587" w:rsidP="007D3587">
      <w:pPr>
        <w:spacing w:line="360" w:lineRule="auto"/>
        <w:jc w:val="both"/>
        <w:rPr>
          <w:rFonts w:ascii="Arial" w:hAnsi="Arial"/>
          <w:rtl/>
        </w:rPr>
      </w:pPr>
      <w:r w:rsidRPr="00D20708">
        <w:rPr>
          <w:rFonts w:ascii="Arial" w:hAnsi="Arial" w:hint="cs"/>
          <w:rtl/>
        </w:rPr>
        <w:t xml:space="preserve">במעשיו של הנאשם כמתואר לעיל, החזיק בתחמושת בלא רשות על פי דין להחזקתו. </w:t>
      </w:r>
    </w:p>
    <w:p w14:paraId="5B8B837D" w14:textId="77777777" w:rsidR="007D3587" w:rsidRPr="006D393A" w:rsidRDefault="007D3587" w:rsidP="007D3587">
      <w:pPr>
        <w:rPr>
          <w:rFonts w:ascii="Arial" w:hAnsi="Arial"/>
          <w:sz w:val="26"/>
          <w:szCs w:val="26"/>
          <w:rtl/>
        </w:rPr>
      </w:pPr>
    </w:p>
    <w:p w14:paraId="124042A8" w14:textId="77777777" w:rsidR="007D3587" w:rsidRPr="008A75DF" w:rsidRDefault="007D3587" w:rsidP="007D3587">
      <w:pPr>
        <w:spacing w:line="360" w:lineRule="auto"/>
        <w:jc w:val="both"/>
        <w:rPr>
          <w:rFonts w:ascii="David" w:eastAsia="Calibri" w:hAnsi="David"/>
        </w:rPr>
      </w:pPr>
      <w:r>
        <w:rPr>
          <w:rFonts w:ascii="David" w:eastAsia="Calibri" w:hAnsi="David" w:hint="cs"/>
          <w:rtl/>
        </w:rPr>
        <w:t xml:space="preserve">בתאריך 21.09.23 </w:t>
      </w:r>
      <w:r w:rsidRPr="008A75DF">
        <w:rPr>
          <w:rFonts w:ascii="David" w:eastAsia="Calibri" w:hAnsi="David"/>
          <w:rtl/>
        </w:rPr>
        <w:t>הנ</w:t>
      </w:r>
      <w:r>
        <w:rPr>
          <w:rFonts w:ascii="David" w:eastAsia="Calibri" w:hAnsi="David"/>
          <w:rtl/>
        </w:rPr>
        <w:t>אשם הודה והורשע</w:t>
      </w:r>
      <w:r w:rsidRPr="008A75DF">
        <w:rPr>
          <w:rFonts w:ascii="David" w:eastAsia="Calibri" w:hAnsi="David"/>
          <w:rtl/>
        </w:rPr>
        <w:t xml:space="preserve"> ובא כוחו ביקש הפנייתו לקבלת חוות דעת מאת הממונה על עבודות השירות שתבחן את שאלת כשירות הנאשם לבצע עבודות שירות ככל שכך יוחלט. בתאריך 01.11.23 התקבלה חוות הדעת לפיה הנאשם נמצא כשיר לבצע עבודות שירות במגבלות בעיריית עפולה.</w:t>
      </w:r>
    </w:p>
    <w:p w14:paraId="4649DE41" w14:textId="77777777" w:rsidR="007D3587" w:rsidRPr="008A75DF" w:rsidRDefault="007D3587" w:rsidP="007D3587">
      <w:pPr>
        <w:spacing w:line="360" w:lineRule="auto"/>
        <w:jc w:val="both"/>
        <w:rPr>
          <w:rFonts w:ascii="David" w:eastAsia="Calibri" w:hAnsi="David"/>
          <w:rtl/>
        </w:rPr>
      </w:pPr>
    </w:p>
    <w:p w14:paraId="1AE0386F" w14:textId="77777777" w:rsidR="007D3587" w:rsidRPr="008A75DF" w:rsidRDefault="007D3587" w:rsidP="007D3587">
      <w:pPr>
        <w:spacing w:line="360" w:lineRule="auto"/>
        <w:jc w:val="both"/>
        <w:rPr>
          <w:rFonts w:ascii="David" w:eastAsia="Calibri" w:hAnsi="David"/>
          <w:u w:val="single"/>
          <w:rtl/>
        </w:rPr>
      </w:pPr>
      <w:r w:rsidRPr="008A75DF">
        <w:rPr>
          <w:rFonts w:ascii="David" w:eastAsia="Calibri" w:hAnsi="David"/>
          <w:u w:val="single"/>
          <w:rtl/>
        </w:rPr>
        <w:t>טיעוני הצדדים לעונש</w:t>
      </w:r>
    </w:p>
    <w:p w14:paraId="26E1C57B" w14:textId="77777777" w:rsidR="007D3587" w:rsidRPr="008A75DF" w:rsidRDefault="007D3587" w:rsidP="007D3587">
      <w:pPr>
        <w:spacing w:line="360" w:lineRule="auto"/>
        <w:jc w:val="both"/>
        <w:rPr>
          <w:rFonts w:ascii="David" w:eastAsia="Calibri" w:hAnsi="David"/>
          <w:rtl/>
        </w:rPr>
      </w:pPr>
      <w:r w:rsidRPr="008A75DF">
        <w:rPr>
          <w:rFonts w:ascii="David" w:eastAsia="Calibri" w:hAnsi="David"/>
          <w:rtl/>
        </w:rPr>
        <w:t>ב"כ המאשימה עמד על חומרת מעשיו של הנאשם ועל הערכים החברתיים שנפגעו, שלום הציבור ובטחונו. ב"כ המאשימה הדגיש שהפגיעה בערכים אלה קיימת למרות שהנאשם לא החזיק בנשק אלא רק בתחמושת מאחר והנאשם החזיק כמות גדולה מאוד (601) ומגוונת של כדורים המעידים על כוונה להפצה או לשימוש עברייני מסיבי.</w:t>
      </w:r>
    </w:p>
    <w:p w14:paraId="3E61BA47" w14:textId="77777777" w:rsidR="007D3587" w:rsidRPr="008A75DF" w:rsidRDefault="007D3587" w:rsidP="007D3587">
      <w:pPr>
        <w:spacing w:line="360" w:lineRule="auto"/>
        <w:jc w:val="both"/>
        <w:rPr>
          <w:rFonts w:ascii="David" w:eastAsia="Calibri" w:hAnsi="David"/>
          <w:rtl/>
        </w:rPr>
      </w:pPr>
      <w:r w:rsidRPr="008A75DF">
        <w:rPr>
          <w:rFonts w:ascii="David" w:eastAsia="Calibri" w:hAnsi="David"/>
          <w:rtl/>
        </w:rPr>
        <w:t>עוד הדגיש שמיגור הנגע של החזקת נשק בלתי חוקי והשימוש בו, במיוחד במגזר הערבי, הפך למטרת על בקרב גורמי אכיפת החוק, ובתי המשפט ראו בעבירות הנשק כעבירות שיש להחמיר עם מבצעיהם על ידי הטלת מאסרים ממושכים.</w:t>
      </w:r>
    </w:p>
    <w:p w14:paraId="46341148" w14:textId="77777777" w:rsidR="007D3587" w:rsidRPr="008A75DF" w:rsidRDefault="007D3587" w:rsidP="007D3587">
      <w:pPr>
        <w:spacing w:line="360" w:lineRule="auto"/>
        <w:jc w:val="both"/>
        <w:rPr>
          <w:rFonts w:ascii="David" w:eastAsia="Calibri" w:hAnsi="David"/>
          <w:rtl/>
        </w:rPr>
      </w:pPr>
    </w:p>
    <w:p w14:paraId="5687C8AD" w14:textId="77777777" w:rsidR="007D3587" w:rsidRPr="008A75DF" w:rsidRDefault="007D3587" w:rsidP="007D3587">
      <w:pPr>
        <w:spacing w:line="360" w:lineRule="auto"/>
        <w:jc w:val="both"/>
        <w:rPr>
          <w:rFonts w:ascii="David" w:eastAsia="Calibri" w:hAnsi="David"/>
          <w:rtl/>
        </w:rPr>
      </w:pPr>
      <w:r w:rsidRPr="008A75DF">
        <w:rPr>
          <w:rFonts w:ascii="David" w:eastAsia="Calibri" w:hAnsi="David"/>
          <w:rtl/>
        </w:rPr>
        <w:t xml:space="preserve">בקביעת מתחם העונש ההולם את מעשיו של הנאשם, עמד ב"כ המאשימה על מדיניות הענישה הנהוגה בעבירות דומות והפנה לפסיקה רלוונטית. </w:t>
      </w:r>
    </w:p>
    <w:p w14:paraId="322A86AA" w14:textId="77777777" w:rsidR="007D3587" w:rsidRPr="008A75DF" w:rsidRDefault="007D3587" w:rsidP="007D3587">
      <w:pPr>
        <w:spacing w:line="360" w:lineRule="auto"/>
        <w:jc w:val="both"/>
        <w:rPr>
          <w:rFonts w:ascii="David" w:eastAsia="Calibri" w:hAnsi="David"/>
          <w:rtl/>
        </w:rPr>
      </w:pPr>
    </w:p>
    <w:p w14:paraId="247CFE3A" w14:textId="77777777" w:rsidR="007D3587" w:rsidRPr="008A75DF" w:rsidRDefault="007D3587" w:rsidP="007D3587">
      <w:pPr>
        <w:spacing w:line="360" w:lineRule="auto"/>
        <w:jc w:val="both"/>
        <w:rPr>
          <w:rFonts w:ascii="David" w:eastAsia="Calibri" w:hAnsi="David"/>
          <w:rtl/>
        </w:rPr>
      </w:pPr>
      <w:r w:rsidRPr="008A75DF">
        <w:rPr>
          <w:rFonts w:ascii="David" w:eastAsia="Calibri" w:hAnsi="David"/>
          <w:rtl/>
        </w:rPr>
        <w:t>ב"כ המאשימה סבר שמתחם העונש ההולם את מעשיו של הנאשם נע בין 8 לבין 15 חודשי מאסר וביקש בהתחשב בנסיבות שאינן קשורות בביצוע העבירה, בעיקר העדר עבר פלילי של הנאשם, לגזור על הנאשם מאסר בפועל למשך 10 חודשים וכן מאסר על תנאי משמעותי וקנס.</w:t>
      </w:r>
    </w:p>
    <w:p w14:paraId="6A31C212" w14:textId="77777777" w:rsidR="007D3587" w:rsidRPr="008A75DF" w:rsidRDefault="007D3587" w:rsidP="007D3587">
      <w:pPr>
        <w:spacing w:line="360" w:lineRule="auto"/>
        <w:ind w:firstLine="720"/>
        <w:jc w:val="both"/>
        <w:rPr>
          <w:rFonts w:ascii="David" w:eastAsia="Calibri" w:hAnsi="David"/>
          <w:rtl/>
        </w:rPr>
      </w:pPr>
    </w:p>
    <w:p w14:paraId="11EF25ED" w14:textId="77777777" w:rsidR="007D3587" w:rsidRPr="008A75DF" w:rsidRDefault="007D3587" w:rsidP="007D3587">
      <w:pPr>
        <w:spacing w:line="360" w:lineRule="auto"/>
        <w:jc w:val="both"/>
        <w:rPr>
          <w:rFonts w:ascii="Calibri" w:eastAsia="Calibri" w:hAnsi="Calibri" w:cs="Arial"/>
          <w:sz w:val="22"/>
          <w:szCs w:val="22"/>
          <w:rtl/>
        </w:rPr>
      </w:pPr>
      <w:r w:rsidRPr="008A75DF">
        <w:rPr>
          <w:rFonts w:ascii="David" w:eastAsia="Calibri" w:hAnsi="David"/>
          <w:rtl/>
        </w:rPr>
        <w:t xml:space="preserve">מנגד, הסנגור הפנה לפסקי דין מטעמו בהם ביקשה המאשימה לקבוע מתחם ענישה בין 6 לבין 12 חודשים תוך שסבר שמתחם העונש ההולם את מעשיו של הנאשם מתחיל ממספר מועט של חודשי מאסר, שניתן לשאת בעבודות שירות. </w:t>
      </w:r>
    </w:p>
    <w:p w14:paraId="1E8EB277" w14:textId="77777777" w:rsidR="007D3587" w:rsidRPr="008A75DF" w:rsidRDefault="007D3587" w:rsidP="007D3587">
      <w:pPr>
        <w:spacing w:line="360" w:lineRule="auto"/>
        <w:jc w:val="both"/>
        <w:rPr>
          <w:rFonts w:ascii="David" w:eastAsia="Calibri" w:hAnsi="David"/>
          <w:rtl/>
        </w:rPr>
      </w:pPr>
    </w:p>
    <w:p w14:paraId="63615000" w14:textId="77777777" w:rsidR="007D3587" w:rsidRPr="008A75DF" w:rsidRDefault="007D3587" w:rsidP="007D3587">
      <w:pPr>
        <w:spacing w:line="360" w:lineRule="auto"/>
        <w:jc w:val="both"/>
        <w:rPr>
          <w:rFonts w:ascii="David" w:eastAsia="Calibri" w:hAnsi="David"/>
          <w:rtl/>
        </w:rPr>
      </w:pPr>
      <w:r w:rsidRPr="008A75DF">
        <w:rPr>
          <w:rFonts w:ascii="David" w:eastAsia="Calibri" w:hAnsi="David"/>
          <w:rtl/>
        </w:rPr>
        <w:t xml:space="preserve">בקביעת עונשו של הנאשם בתוך המתחם, עמד הסנגור על הנסיבות שאינן קשורות בביצוע העבירה וביקש להתחשב בהודאת הנאשם בהזדמנות הראשונה, בהיותו של הנאשם אב לשני ילדים שאחד </w:t>
      </w:r>
      <w:r w:rsidRPr="008A75DF">
        <w:rPr>
          <w:rFonts w:ascii="David" w:eastAsia="Calibri" w:hAnsi="David"/>
          <w:rtl/>
        </w:rPr>
        <w:lastRenderedPageBreak/>
        <w:t>מהם חולה ונזקק לנסוע פעמיים בשבוע לבית החולים על מנת לקבל עירוי דם מהנאשם. לאור האמור, ביקש בא כוח הנאשם למקם את הנאשם בתחתית המתחם.</w:t>
      </w:r>
    </w:p>
    <w:p w14:paraId="274708DC" w14:textId="77777777" w:rsidR="007D3587" w:rsidRPr="008A75DF" w:rsidRDefault="007D3587" w:rsidP="007D3587">
      <w:pPr>
        <w:spacing w:line="360" w:lineRule="auto"/>
        <w:jc w:val="both"/>
        <w:rPr>
          <w:rFonts w:ascii="David" w:eastAsia="Calibri" w:hAnsi="David"/>
          <w:rtl/>
        </w:rPr>
      </w:pPr>
    </w:p>
    <w:p w14:paraId="6B2BB93C" w14:textId="77777777" w:rsidR="007D3587" w:rsidRPr="008A75DF" w:rsidRDefault="007D3587" w:rsidP="007D3587">
      <w:pPr>
        <w:spacing w:line="360" w:lineRule="auto"/>
        <w:jc w:val="both"/>
        <w:rPr>
          <w:rFonts w:ascii="David" w:eastAsia="Calibri" w:hAnsi="David"/>
          <w:rtl/>
        </w:rPr>
      </w:pPr>
      <w:r w:rsidRPr="008A75DF">
        <w:rPr>
          <w:rFonts w:ascii="David" w:eastAsia="Calibri" w:hAnsi="David"/>
          <w:rtl/>
        </w:rPr>
        <w:t>הנאשם בדבריו ציין שעשה טעות, שלא יחזור עליה ושהוא לא עבריין. עוד אמר שיש לו ילד נכה הזקוק לו בזמן זה.</w:t>
      </w:r>
    </w:p>
    <w:p w14:paraId="076E206C" w14:textId="77777777" w:rsidR="007D3587" w:rsidRPr="008A75DF" w:rsidRDefault="007D3587" w:rsidP="007D3587">
      <w:pPr>
        <w:spacing w:line="360" w:lineRule="auto"/>
        <w:jc w:val="both"/>
        <w:rPr>
          <w:rFonts w:ascii="David" w:eastAsia="David" w:hAnsi="David"/>
          <w:b/>
          <w:bCs/>
          <w:u w:val="single"/>
          <w:rtl/>
        </w:rPr>
      </w:pPr>
    </w:p>
    <w:p w14:paraId="26DE78D2"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b/>
          <w:bCs/>
          <w:u w:val="single"/>
          <w:rtl/>
        </w:rPr>
        <w:t>דיון והכרעה</w:t>
      </w:r>
    </w:p>
    <w:p w14:paraId="3FCDE2DC" w14:textId="77777777" w:rsidR="007D3587" w:rsidRPr="008A75DF" w:rsidRDefault="007D3587" w:rsidP="007D3587">
      <w:pPr>
        <w:spacing w:line="360" w:lineRule="auto"/>
        <w:jc w:val="both"/>
        <w:rPr>
          <w:rtl/>
        </w:rPr>
      </w:pPr>
      <w:r w:rsidRPr="008A75DF">
        <w:rPr>
          <w:rFonts w:hint="cs"/>
          <w:rtl/>
        </w:rPr>
        <w:t>תיקון 113 ל</w:t>
      </w:r>
      <w:hyperlink r:id="rId15" w:history="1">
        <w:r w:rsidR="00A97C97" w:rsidRPr="00A97C97">
          <w:rPr>
            <w:color w:val="0000FF"/>
            <w:u w:val="single"/>
            <w:rtl/>
          </w:rPr>
          <w:t>חוק העונשין</w:t>
        </w:r>
      </w:hyperlink>
      <w:r w:rsidRPr="008A75DF">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16" w:history="1">
        <w:r w:rsidR="00CA78CA" w:rsidRPr="00CA78CA">
          <w:rPr>
            <w:rStyle w:val="Hyperlink"/>
            <w:rFonts w:hint="eastAsia"/>
            <w:rtl/>
          </w:rPr>
          <w:t>בסעיף</w:t>
        </w:r>
        <w:r w:rsidR="00CA78CA" w:rsidRPr="00CA78CA">
          <w:rPr>
            <w:rStyle w:val="Hyperlink"/>
            <w:rtl/>
          </w:rPr>
          <w:t xml:space="preserve"> 40ט'</w:t>
        </w:r>
      </w:hyperlink>
      <w:r w:rsidRPr="008A75DF">
        <w:rPr>
          <w:rFonts w:hint="cs"/>
          <w:rtl/>
        </w:rPr>
        <w:t xml:space="preserve"> ל</w:t>
      </w:r>
      <w:hyperlink r:id="rId17" w:history="1">
        <w:r w:rsidR="00A97C97" w:rsidRPr="00A97C97">
          <w:rPr>
            <w:color w:val="0000FF"/>
            <w:u w:val="single"/>
            <w:rtl/>
          </w:rPr>
          <w:t>חוק העונשין</w:t>
        </w:r>
      </w:hyperlink>
      <w:r w:rsidRPr="008A75DF">
        <w:rPr>
          <w:rFonts w:hint="cs"/>
          <w:rtl/>
        </w:rPr>
        <w:t xml:space="preserve">. </w:t>
      </w:r>
    </w:p>
    <w:p w14:paraId="5884F234" w14:textId="77777777" w:rsidR="007D3587" w:rsidRPr="008A75DF" w:rsidRDefault="007D3587" w:rsidP="007D3587">
      <w:pPr>
        <w:spacing w:line="360" w:lineRule="auto"/>
        <w:rPr>
          <w:rtl/>
        </w:rPr>
      </w:pPr>
    </w:p>
    <w:p w14:paraId="7F4C9E63" w14:textId="77777777" w:rsidR="007D3587" w:rsidRPr="008A75DF" w:rsidRDefault="007D3587" w:rsidP="007D3587">
      <w:pPr>
        <w:spacing w:line="360" w:lineRule="auto"/>
        <w:jc w:val="both"/>
        <w:rPr>
          <w:rtl/>
        </w:rPr>
      </w:pPr>
      <w:r w:rsidRPr="008A75DF">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18" w:history="1">
        <w:r w:rsidR="00CA78CA" w:rsidRPr="00CA78CA">
          <w:rPr>
            <w:rStyle w:val="Hyperlink"/>
            <w:rFonts w:hint="eastAsia"/>
            <w:rtl/>
          </w:rPr>
          <w:t>בסעיף</w:t>
        </w:r>
        <w:r w:rsidR="00CA78CA" w:rsidRPr="00CA78CA">
          <w:rPr>
            <w:rStyle w:val="Hyperlink"/>
            <w:rtl/>
          </w:rPr>
          <w:t xml:space="preserve"> 40יא'</w:t>
        </w:r>
      </w:hyperlink>
      <w:r w:rsidRPr="008A75DF">
        <w:rPr>
          <w:rFonts w:hint="cs"/>
          <w:rtl/>
        </w:rPr>
        <w:t xml:space="preserve"> לחוק. </w:t>
      </w:r>
    </w:p>
    <w:p w14:paraId="39653294" w14:textId="77777777" w:rsidR="007D3587" w:rsidRPr="008A75DF" w:rsidRDefault="007D3587" w:rsidP="007D3587">
      <w:pPr>
        <w:spacing w:line="360" w:lineRule="auto"/>
        <w:rPr>
          <w:rtl/>
        </w:rPr>
      </w:pPr>
    </w:p>
    <w:p w14:paraId="7A521FEB" w14:textId="77777777" w:rsidR="007D3587" w:rsidRPr="008A75DF" w:rsidRDefault="007D3587" w:rsidP="007D3587">
      <w:pPr>
        <w:spacing w:line="360" w:lineRule="auto"/>
        <w:jc w:val="both"/>
        <w:rPr>
          <w:rtl/>
        </w:rPr>
      </w:pPr>
      <w:r w:rsidRPr="008A75DF">
        <w:rPr>
          <w:rFonts w:hint="cs"/>
          <w:rtl/>
        </w:rPr>
        <w:t xml:space="preserve">בית המשפט רשאי לחרוג ממתחם העונש ההולם בשל שיקולי שיקום או הגנה על שלום הציבור לפי </w:t>
      </w:r>
      <w:hyperlink r:id="rId19" w:history="1">
        <w:r w:rsidR="00CA78CA" w:rsidRPr="00CA78CA">
          <w:rPr>
            <w:rStyle w:val="Hyperlink"/>
            <w:rFonts w:hint="eastAsia"/>
            <w:rtl/>
          </w:rPr>
          <w:t>סעיפים</w:t>
        </w:r>
        <w:r w:rsidR="00CA78CA" w:rsidRPr="00CA78CA">
          <w:rPr>
            <w:rStyle w:val="Hyperlink"/>
            <w:rtl/>
          </w:rPr>
          <w:t xml:space="preserve"> 40ד'</w:t>
        </w:r>
      </w:hyperlink>
      <w:r w:rsidRPr="008A75DF">
        <w:rPr>
          <w:rFonts w:hint="cs"/>
          <w:rtl/>
        </w:rPr>
        <w:t xml:space="preserve"> ו</w:t>
      </w:r>
      <w:hyperlink r:id="rId20" w:history="1">
        <w:r w:rsidR="00CA78CA" w:rsidRPr="00CA78CA">
          <w:rPr>
            <w:rStyle w:val="Hyperlink"/>
            <w:rtl/>
          </w:rPr>
          <w:t>40 ה'</w:t>
        </w:r>
      </w:hyperlink>
      <w:r w:rsidRPr="008A75DF">
        <w:rPr>
          <w:rFonts w:hint="cs"/>
          <w:rtl/>
        </w:rPr>
        <w:t xml:space="preserve"> לחוק. </w:t>
      </w:r>
    </w:p>
    <w:p w14:paraId="3B9F7780" w14:textId="77777777" w:rsidR="007D3587" w:rsidRPr="008A75DF" w:rsidRDefault="007D3587" w:rsidP="007D3587">
      <w:pPr>
        <w:spacing w:line="360" w:lineRule="auto"/>
        <w:jc w:val="both"/>
        <w:rPr>
          <w:rFonts w:ascii="David" w:eastAsia="David" w:hAnsi="David"/>
          <w:b/>
          <w:bCs/>
          <w:u w:val="single"/>
          <w:rtl/>
        </w:rPr>
      </w:pPr>
    </w:p>
    <w:p w14:paraId="6FB85086" w14:textId="77777777" w:rsidR="007D3587" w:rsidRPr="008A75DF" w:rsidRDefault="007D3587" w:rsidP="007D3587">
      <w:pPr>
        <w:spacing w:line="360" w:lineRule="auto"/>
        <w:jc w:val="both"/>
        <w:rPr>
          <w:rFonts w:ascii="Miriam" w:eastAsia="David" w:hAnsi="Miriam" w:cs="Miriam"/>
          <w:rtl/>
        </w:rPr>
      </w:pPr>
      <w:r w:rsidRPr="008A75DF">
        <w:rPr>
          <w:rFonts w:ascii="David" w:eastAsia="David" w:hAnsi="David" w:hint="cs"/>
          <w:u w:val="single"/>
          <w:rtl/>
        </w:rPr>
        <w:t>קביעת מתחם העונש ההולם – נסיבות הקשורות בביצוע העבירה</w:t>
      </w:r>
    </w:p>
    <w:p w14:paraId="0CF61B85" w14:textId="77777777" w:rsidR="007D3587" w:rsidRPr="008A75DF" w:rsidRDefault="007D3587" w:rsidP="007D3587">
      <w:pPr>
        <w:spacing w:line="360" w:lineRule="auto"/>
        <w:jc w:val="both"/>
        <w:rPr>
          <w:rFonts w:ascii="Arial" w:eastAsia="David" w:hAnsi="Arial"/>
        </w:rPr>
      </w:pPr>
      <w:r w:rsidRPr="008A75DF">
        <w:rPr>
          <w:rFonts w:ascii="David" w:eastAsia="David" w:hAnsi="David" w:hint="cs"/>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sidRPr="008A75DF">
        <w:rPr>
          <w:rFonts w:ascii="Arial" w:eastAsia="David" w:hAnsi="Arial" w:hint="cs"/>
          <w:rtl/>
        </w:rPr>
        <w:t xml:space="preserve"> הואיל ותחמושת המוחזקת שלא כדין עלולה לשמש לירי המבוצע על ידי עבריינים ולהביא לפגיעה בשלטון החוק ובנושאי שלטון החוק המבצעים את תפקידם.</w:t>
      </w:r>
    </w:p>
    <w:p w14:paraId="588A7416" w14:textId="77777777" w:rsidR="007D3587" w:rsidRPr="008A75DF" w:rsidRDefault="007D3587" w:rsidP="007D3587">
      <w:pPr>
        <w:spacing w:line="360" w:lineRule="auto"/>
        <w:jc w:val="both"/>
        <w:rPr>
          <w:rFonts w:ascii="Arial" w:eastAsia="David" w:hAnsi="Arial"/>
          <w:rtl/>
        </w:rPr>
      </w:pPr>
    </w:p>
    <w:p w14:paraId="529467BA" w14:textId="77777777" w:rsidR="007D3587" w:rsidRPr="008A75DF" w:rsidRDefault="007D3587" w:rsidP="007D3587">
      <w:pPr>
        <w:spacing w:line="360" w:lineRule="auto"/>
        <w:jc w:val="both"/>
        <w:rPr>
          <w:rFonts w:ascii="David" w:hAnsi="David"/>
          <w:rtl/>
        </w:rPr>
      </w:pPr>
      <w:r w:rsidRPr="008A75DF">
        <w:rPr>
          <w:rFonts w:ascii="David" w:hAnsi="David" w:hint="cs"/>
          <w:rtl/>
        </w:rPr>
        <w:t>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משום שהנשק מגיע לידיים עברייניות, או משום שהנשק מגיע לידי מי שמנסים לפגוע בביטחונם ובשלומם של תושבי המדינה או משום תאונות שנגרמות כתוצאה מהשימוש בנשק. ביהמ"ש העליון חזר והזכיר רק לאחרונה:</w:t>
      </w:r>
    </w:p>
    <w:p w14:paraId="225C2E74" w14:textId="77777777" w:rsidR="007D3587" w:rsidRPr="008A75DF" w:rsidRDefault="007D3587" w:rsidP="007D3587">
      <w:pPr>
        <w:spacing w:line="360" w:lineRule="auto"/>
        <w:ind w:left="567" w:right="567"/>
        <w:contextualSpacing/>
        <w:jc w:val="both"/>
        <w:rPr>
          <w:rFonts w:ascii="David" w:hAnsi="David"/>
          <w:b/>
          <w:bCs/>
        </w:rPr>
      </w:pPr>
      <w:r w:rsidRPr="008A75DF">
        <w:rPr>
          <w:rFonts w:ascii="David" w:hAnsi="David" w:hint="cs"/>
          <w:rtl/>
        </w:rPr>
        <w:t>"</w:t>
      </w:r>
      <w:r w:rsidRPr="008A75DF">
        <w:rPr>
          <w:rFonts w:ascii="David" w:hAnsi="David" w:hint="cs"/>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w:t>
      </w:r>
    </w:p>
    <w:p w14:paraId="456ED07D" w14:textId="77777777" w:rsidR="007D3587" w:rsidRPr="008A75DF" w:rsidRDefault="007D3587" w:rsidP="007D3587">
      <w:pPr>
        <w:spacing w:line="360" w:lineRule="auto"/>
        <w:ind w:left="567" w:right="567"/>
        <w:contextualSpacing/>
        <w:jc w:val="both"/>
        <w:rPr>
          <w:rFonts w:ascii="David" w:hAnsi="David"/>
          <w:b/>
          <w:bCs/>
        </w:rPr>
      </w:pPr>
      <w:r w:rsidRPr="008A75DF">
        <w:rPr>
          <w:rFonts w:ascii="David" w:hAnsi="David" w:hint="cs"/>
          <w:b/>
          <w:bCs/>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1" w:history="1">
        <w:r w:rsidR="00A97C97" w:rsidRPr="00A97C97">
          <w:rPr>
            <w:rFonts w:ascii="David" w:hAnsi="David"/>
            <w:b/>
            <w:bCs/>
            <w:color w:val="0000FF"/>
            <w:u w:val="single"/>
            <w:rtl/>
          </w:rPr>
          <w:t>חוק העונשין</w:t>
        </w:r>
      </w:hyperlink>
      <w:r w:rsidRPr="008A75DF">
        <w:rPr>
          <w:rFonts w:ascii="David" w:hAnsi="David" w:hint="cs"/>
          <w:b/>
          <w:bCs/>
          <w:rtl/>
        </w:rPr>
        <w:t>, וראו חוק העונשין (תיקון מס' 140 - הוראת שעה), התשפ"ב-2021, ס"ח 472;"</w:t>
      </w:r>
      <w:r w:rsidRPr="008A75DF">
        <w:rPr>
          <w:rFonts w:ascii="David" w:hAnsi="David" w:hint="cs"/>
          <w:rtl/>
        </w:rPr>
        <w:t xml:space="preserve"> (</w:t>
      </w:r>
      <w:hyperlink r:id="rId22" w:history="1">
        <w:r w:rsidR="00A97C97" w:rsidRPr="00A97C97">
          <w:rPr>
            <w:rFonts w:ascii="David" w:hAnsi="David"/>
            <w:color w:val="0000FF"/>
            <w:u w:val="single"/>
            <w:rtl/>
          </w:rPr>
          <w:t>ע"פ 2482/22</w:t>
        </w:r>
      </w:hyperlink>
      <w:r w:rsidRPr="008A75DF">
        <w:rPr>
          <w:rFonts w:ascii="David" w:hAnsi="David" w:hint="cs"/>
          <w:rtl/>
        </w:rPr>
        <w:t xml:space="preserve"> </w:t>
      </w:r>
      <w:r w:rsidRPr="008A75DF">
        <w:rPr>
          <w:rFonts w:ascii="David" w:hAnsi="David" w:hint="cs"/>
          <w:b/>
          <w:bCs/>
          <w:rtl/>
        </w:rPr>
        <w:t>מדינת ישראל נ' אחמד קדורה</w:t>
      </w:r>
      <w:r w:rsidRPr="008A75DF">
        <w:rPr>
          <w:rFonts w:ascii="David" w:hAnsi="David" w:hint="cs"/>
          <w:rtl/>
        </w:rPr>
        <w:t xml:space="preserve"> (14.04.22)).</w:t>
      </w:r>
    </w:p>
    <w:p w14:paraId="474115AA" w14:textId="77777777" w:rsidR="007D3587" w:rsidRPr="008A75DF" w:rsidRDefault="007D3587" w:rsidP="007D3587">
      <w:pPr>
        <w:spacing w:line="360" w:lineRule="auto"/>
        <w:ind w:left="567" w:right="567"/>
        <w:jc w:val="both"/>
        <w:rPr>
          <w:rFonts w:ascii="David" w:hAnsi="David"/>
          <w:rtl/>
        </w:rPr>
      </w:pPr>
    </w:p>
    <w:p w14:paraId="26E8F4D3" w14:textId="77777777" w:rsidR="007D3587" w:rsidRPr="008A75DF" w:rsidRDefault="007D3587" w:rsidP="007D3587">
      <w:pPr>
        <w:spacing w:line="360" w:lineRule="auto"/>
        <w:jc w:val="both"/>
        <w:rPr>
          <w:rFonts w:ascii="David" w:hAnsi="David"/>
        </w:rPr>
      </w:pPr>
      <w:r w:rsidRPr="008A75DF">
        <w:rPr>
          <w:rFonts w:ascii="David" w:hAnsi="David" w:hint="cs"/>
          <w:rtl/>
        </w:rPr>
        <w:t>עמדת בית המשפט העליון היא שעל בתי המשפט לתרום את חלקם במיגור תופעה מסוכנת זו על דרך של החמרת הענישה עם מי שמחזיק בנשק שלא כדין. עם זאת, יש לזכור שבעניינו, הנאשם לא הורשע בהחזקת נשק כי אם בהחזקת תחמושת בלבד. החזקת תחמושת הינה עבירה חמורה מאוד אך פחותה בחומרתה מהחזקת נשק, בהיותה עבירת עוון ולא עבירת פשע ובהתאם לכך, העונש הקבוע בצידה נמוך יותר והיא איננה נכללת בתיקון 140 ל</w:t>
      </w:r>
      <w:hyperlink r:id="rId23" w:history="1">
        <w:r w:rsidR="00A97C97" w:rsidRPr="00A97C97">
          <w:rPr>
            <w:rFonts w:ascii="David" w:hAnsi="David"/>
            <w:color w:val="0000FF"/>
            <w:u w:val="single"/>
            <w:rtl/>
          </w:rPr>
          <w:t>חוק העונשין</w:t>
        </w:r>
      </w:hyperlink>
      <w:r w:rsidRPr="008A75DF">
        <w:rPr>
          <w:rFonts w:ascii="David" w:hAnsi="David" w:hint="cs"/>
          <w:rtl/>
        </w:rPr>
        <w:t>.</w:t>
      </w:r>
    </w:p>
    <w:p w14:paraId="520502DD" w14:textId="77777777" w:rsidR="007D3587" w:rsidRPr="008A75DF" w:rsidRDefault="007D3587" w:rsidP="007D3587">
      <w:pPr>
        <w:overflowPunct w:val="0"/>
        <w:autoSpaceDE w:val="0"/>
        <w:autoSpaceDN w:val="0"/>
        <w:ind w:left="1642" w:right="1282"/>
        <w:jc w:val="both"/>
        <w:rPr>
          <w:rFonts w:ascii="Arial TUR" w:hAnsi="Arial TUR" w:cs="Arial TUR"/>
          <w:spacing w:val="10"/>
          <w:rtl/>
        </w:rPr>
      </w:pPr>
    </w:p>
    <w:p w14:paraId="254BCBAD" w14:textId="77777777" w:rsidR="007D3587" w:rsidRPr="008A75DF" w:rsidRDefault="007D3587" w:rsidP="007D3587">
      <w:pPr>
        <w:overflowPunct w:val="0"/>
        <w:autoSpaceDE w:val="0"/>
        <w:autoSpaceDN w:val="0"/>
        <w:spacing w:line="360" w:lineRule="auto"/>
        <w:jc w:val="both"/>
        <w:rPr>
          <w:rFonts w:ascii="David" w:eastAsia="David" w:hAnsi="David"/>
          <w:b/>
          <w:bCs/>
          <w:rtl/>
        </w:rPr>
      </w:pPr>
      <w:r w:rsidRPr="008A75DF">
        <w:rPr>
          <w:rFonts w:ascii="David" w:hAnsi="David" w:hint="cs"/>
          <w:rtl/>
        </w:rPr>
        <w:t xml:space="preserve">סקירת מדיניות הענישה הנהוגה בעבירת החזקת תחמושת מלמדת שלרוב, הן המאשימה ביקשה קביעת מתחם ענישה נמוך יותר מהמתחם אותו ביקשה בפניי, אפילו במקרים חמורים יותר והן בתי המשפט קבעו מתחם המתחיל ממספר חודשי מאסר שניתן לשאת בעבודות שירות ועד 12 חודשי מאסר בפועל. אמנם הצדדים הפנו לפסיקת בתי משפט השלום שכידוע איננה מחייבת ואולם, ניתן להתייחס אליה בהיותה הנפוצה ביותר (ר' </w:t>
      </w:r>
      <w:hyperlink r:id="rId24" w:history="1">
        <w:r w:rsidR="00A97C97" w:rsidRPr="00A97C97">
          <w:rPr>
            <w:rFonts w:ascii="David" w:hAnsi="David"/>
            <w:color w:val="0000FF"/>
            <w:u w:val="single"/>
            <w:rtl/>
          </w:rPr>
          <w:t>ת"פ 18273-01-19</w:t>
        </w:r>
      </w:hyperlink>
      <w:r w:rsidRPr="008A75DF">
        <w:rPr>
          <w:rFonts w:ascii="David" w:hAnsi="David" w:hint="cs"/>
          <w:rtl/>
        </w:rPr>
        <w:t xml:space="preserve">, </w:t>
      </w:r>
      <w:hyperlink r:id="rId25" w:history="1">
        <w:r w:rsidR="00A97C97" w:rsidRPr="00A97C97">
          <w:rPr>
            <w:rFonts w:ascii="David" w:hAnsi="David"/>
            <w:color w:val="0000FF"/>
            <w:u w:val="single"/>
            <w:rtl/>
          </w:rPr>
          <w:t>ת"פ 47044-02-20</w:t>
        </w:r>
      </w:hyperlink>
      <w:r w:rsidRPr="008A75DF">
        <w:rPr>
          <w:rFonts w:ascii="David" w:hAnsi="David" w:hint="cs"/>
          <w:rtl/>
        </w:rPr>
        <w:t xml:space="preserve"> וכן </w:t>
      </w:r>
      <w:hyperlink r:id="rId26" w:history="1">
        <w:r w:rsidR="00A97C97" w:rsidRPr="00A97C97">
          <w:rPr>
            <w:rFonts w:ascii="David" w:hAnsi="David"/>
            <w:color w:val="0000FF"/>
            <w:u w:val="single"/>
            <w:rtl/>
          </w:rPr>
          <w:t>ת"פ 67410-12-21</w:t>
        </w:r>
      </w:hyperlink>
      <w:r w:rsidRPr="008A75DF">
        <w:rPr>
          <w:rFonts w:ascii="David" w:hAnsi="David" w:hint="cs"/>
          <w:rtl/>
        </w:rPr>
        <w:t>).</w:t>
      </w:r>
      <w:r w:rsidRPr="008A75DF">
        <w:rPr>
          <w:rFonts w:ascii="David" w:eastAsia="David" w:hAnsi="David" w:hint="cs"/>
          <w:b/>
          <w:bCs/>
          <w:rtl/>
        </w:rPr>
        <w:t xml:space="preserve"> </w:t>
      </w:r>
    </w:p>
    <w:p w14:paraId="67D17B32"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ab/>
      </w:r>
    </w:p>
    <w:p w14:paraId="6A7014B6" w14:textId="77777777" w:rsidR="007D3587" w:rsidRPr="008A75DF" w:rsidRDefault="007D3587" w:rsidP="007D3587">
      <w:pPr>
        <w:spacing w:line="360" w:lineRule="auto"/>
        <w:jc w:val="both"/>
        <w:rPr>
          <w:rFonts w:ascii="David" w:eastAsia="David" w:hAnsi="David"/>
          <w:b/>
          <w:bCs/>
          <w:rtl/>
        </w:rPr>
      </w:pPr>
      <w:r w:rsidRPr="008A75DF">
        <w:rPr>
          <w:rFonts w:ascii="David" w:eastAsia="David" w:hAnsi="David" w:hint="cs"/>
          <w:rtl/>
        </w:rPr>
        <w:t>בענייננו, הנאשם החזיק בכמות רבה מאוד של תחמושת (כ-600 כדורים) באופן המעיד על השימוש שיעשה בה. ההגנה לא הסבירה מדוע הנאשם החזיק בתחמושת שלא כדין בכלל וכמות כה רבה בפרט. בנסיבות אלה ובהתחשב במגמת ההחמרה ההדרגתית של בית המשפט העליון בעבירות נשק למיניהן מצאתי שמתחם העונש ההולם בעניינו של הנאשם נע בין 6 חודשי מאסר שניתן לבצע בעבודות שירות  לבין 12 חודשי מאסר בפועל.</w:t>
      </w:r>
      <w:r w:rsidRPr="008A75DF">
        <w:rPr>
          <w:rFonts w:ascii="David" w:eastAsia="David" w:hAnsi="David" w:hint="cs"/>
          <w:b/>
          <w:bCs/>
          <w:rtl/>
        </w:rPr>
        <w:t xml:space="preserve"> </w:t>
      </w:r>
    </w:p>
    <w:p w14:paraId="68D78B5E" w14:textId="77777777" w:rsidR="007D3587" w:rsidRPr="008A75DF" w:rsidRDefault="007D3587" w:rsidP="007D3587">
      <w:pPr>
        <w:spacing w:line="360" w:lineRule="auto"/>
        <w:jc w:val="both"/>
        <w:rPr>
          <w:rFonts w:ascii="Miriam" w:eastAsia="David" w:hAnsi="Miriam" w:cs="Miriam"/>
          <w:sz w:val="22"/>
          <w:szCs w:val="22"/>
          <w:rtl/>
        </w:rPr>
      </w:pPr>
    </w:p>
    <w:p w14:paraId="300A7BA7" w14:textId="77777777" w:rsidR="007D3587" w:rsidRPr="008A75DF" w:rsidRDefault="007D3587" w:rsidP="007D3587">
      <w:pPr>
        <w:spacing w:line="360" w:lineRule="auto"/>
        <w:jc w:val="both"/>
        <w:rPr>
          <w:rFonts w:ascii="David" w:eastAsia="David" w:hAnsi="David"/>
          <w:u w:val="single"/>
          <w:rtl/>
        </w:rPr>
      </w:pPr>
      <w:r w:rsidRPr="008A75DF">
        <w:rPr>
          <w:rFonts w:ascii="David" w:eastAsia="David" w:hAnsi="David" w:hint="cs"/>
          <w:u w:val="single"/>
          <w:rtl/>
        </w:rPr>
        <w:t>קביעת העונש ההולם – נסיבות שאינן קשורות בביצוע העבירה</w:t>
      </w:r>
    </w:p>
    <w:p w14:paraId="1D367BBA"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הנאשם, כבן 36, אב לשני ילדים קטנים, מהם אחד נכה ונזקק לשירותיו של הנאשם פעמיים בשבוע.</w:t>
      </w:r>
    </w:p>
    <w:p w14:paraId="4E35620A" w14:textId="77777777" w:rsidR="007D3587" w:rsidRPr="008A75DF" w:rsidRDefault="007D3587" w:rsidP="007D3587">
      <w:pPr>
        <w:spacing w:line="360" w:lineRule="auto"/>
        <w:jc w:val="both"/>
        <w:rPr>
          <w:rFonts w:ascii="David" w:eastAsia="David" w:hAnsi="David"/>
          <w:rtl/>
        </w:rPr>
      </w:pPr>
    </w:p>
    <w:p w14:paraId="70FF00CE"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לחובת הנאשם הרשעה אחת בעבירות איכות הסביבה שהתיישנה (ת/1) כך שלמעשה, הנאשם נעדר עבר פלילי ויש לזקוף זאת לזכותו.</w:t>
      </w:r>
    </w:p>
    <w:p w14:paraId="01CEE39D" w14:textId="77777777" w:rsidR="007D3587" w:rsidRPr="008A75DF" w:rsidRDefault="007D3587" w:rsidP="007D3587">
      <w:pPr>
        <w:spacing w:line="360" w:lineRule="auto"/>
        <w:jc w:val="both"/>
        <w:rPr>
          <w:rFonts w:ascii="David" w:eastAsia="David" w:hAnsi="David"/>
          <w:rtl/>
        </w:rPr>
      </w:pPr>
    </w:p>
    <w:p w14:paraId="78FEAC6A"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הנאשם לקח אחריות על מעשיו, הודה בהזדמנות הראשונה וחסך זמן שיפוטי יקר.</w:t>
      </w:r>
    </w:p>
    <w:p w14:paraId="5D29490F" w14:textId="77777777" w:rsidR="007D3587" w:rsidRPr="008A75DF" w:rsidRDefault="007D3587" w:rsidP="007D3587">
      <w:pPr>
        <w:spacing w:line="360" w:lineRule="auto"/>
        <w:jc w:val="both"/>
        <w:rPr>
          <w:rFonts w:ascii="Arial" w:hAnsi="Arial"/>
          <w:rtl/>
        </w:rPr>
      </w:pPr>
    </w:p>
    <w:p w14:paraId="13E49A3F" w14:textId="77777777" w:rsidR="007D3587" w:rsidRPr="008A75DF" w:rsidRDefault="007D3587" w:rsidP="007D3587">
      <w:pPr>
        <w:spacing w:line="360" w:lineRule="auto"/>
        <w:jc w:val="both"/>
        <w:rPr>
          <w:rFonts w:ascii="Arial" w:hAnsi="Arial"/>
          <w:rtl/>
        </w:rPr>
      </w:pPr>
      <w:r w:rsidRPr="008A75DF">
        <w:rPr>
          <w:rFonts w:ascii="Arial" w:hAnsi="Arial" w:hint="cs"/>
          <w:rtl/>
        </w:rPr>
        <w:t>בעת קביעת העונש המתאים, בתוך מתחם הענישה, בהתאם לתיקון 113 ל</w:t>
      </w:r>
      <w:hyperlink r:id="rId27" w:history="1">
        <w:r w:rsidR="00A97C97" w:rsidRPr="00A97C97">
          <w:rPr>
            <w:rFonts w:ascii="Arial" w:hAnsi="Arial"/>
            <w:color w:val="0000FF"/>
            <w:u w:val="single"/>
            <w:rtl/>
          </w:rPr>
          <w:t>חוק העונשין</w:t>
        </w:r>
      </w:hyperlink>
      <w:r w:rsidRPr="008A75DF">
        <w:rPr>
          <w:rFonts w:ascii="Arial" w:hAnsi="Arial" w:hint="cs"/>
          <w:rtl/>
        </w:rPr>
        <w:t xml:space="preserve"> אשר ביקש להבנות את שיקול הדעת השיפוטי, יש לקחת בחשבון ולבדוק האם במקרה הקונקרטי הטלת מאסר בפועל מאחורי סורג ובריח, גם אם מדובר בתקופה קצרה, יהיה בה כדי לקבוע שהנזק עולה על התועלת.</w:t>
      </w:r>
    </w:p>
    <w:p w14:paraId="43FE158A" w14:textId="77777777" w:rsidR="007D3587" w:rsidRPr="008A75DF" w:rsidRDefault="007D3587" w:rsidP="007D3587">
      <w:pPr>
        <w:spacing w:line="360" w:lineRule="auto"/>
        <w:jc w:val="both"/>
        <w:rPr>
          <w:rFonts w:ascii="Arial" w:hAnsi="Arial"/>
          <w:rtl/>
        </w:rPr>
      </w:pPr>
      <w:r w:rsidRPr="008A75DF">
        <w:rPr>
          <w:rFonts w:ascii="Calibri" w:hAnsi="Calibri" w:hint="cs"/>
          <w:rtl/>
        </w:rPr>
        <w:t xml:space="preserve">דו"ח הוועדה הציבורית לבחינת מדיניות הענישה והטיפול בעבריינים ("ועדת דורנר"), התייחס לעניין זה ומסקנתו מצדיקה בחינה מחודשת של שיקולי הענישה. </w:t>
      </w:r>
    </w:p>
    <w:p w14:paraId="058D20E2" w14:textId="77777777" w:rsidR="007D3587" w:rsidRPr="008A75DF" w:rsidRDefault="007D3587" w:rsidP="007D3587">
      <w:pPr>
        <w:spacing w:line="360" w:lineRule="auto"/>
        <w:jc w:val="both"/>
        <w:rPr>
          <w:rFonts w:ascii="David" w:eastAsia="David" w:hAnsi="David"/>
          <w:rtl/>
        </w:rPr>
      </w:pPr>
    </w:p>
    <w:p w14:paraId="12333819"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הנאשם מעולם לא נשא בעונש מאסר בפועל ושליחתו בעת הזאת למאסר מאחורי סורג ובריח, תוך חשיפתו לגורמים עבריינים, תשפיע ודאי עליו ועל בני משפחתו באופן שאיננו עולה בקנה אחד עם האינטרס הציבורי.</w:t>
      </w:r>
    </w:p>
    <w:p w14:paraId="51FBE12F" w14:textId="77777777" w:rsidR="007D3587" w:rsidRPr="008A75DF" w:rsidRDefault="007D3587" w:rsidP="007D3587">
      <w:pPr>
        <w:spacing w:line="360" w:lineRule="auto"/>
        <w:jc w:val="both"/>
        <w:rPr>
          <w:rFonts w:ascii="David" w:eastAsia="David" w:hAnsi="David"/>
          <w:rtl/>
        </w:rPr>
      </w:pPr>
    </w:p>
    <w:p w14:paraId="46FABA91"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מנגד, נשיאת עונש המאסר בעבודות שירות, כאשר מתחם הענישה שקבעתי מאפשר זאת ובהתאם לעמדת המאשימה למקם את הנאשם בתחתית המתחם, סבורני שיש בה כדי למלא את תכלית ההרתעה ואינטרס הציבור מחד, ואת הנסיבות שאינן קשורות לביצוע העבירה מאידך.</w:t>
      </w:r>
    </w:p>
    <w:p w14:paraId="1BD41522" w14:textId="77777777" w:rsidR="007D3587" w:rsidRPr="008A75DF" w:rsidRDefault="007D3587" w:rsidP="007D3587">
      <w:pPr>
        <w:spacing w:line="360" w:lineRule="auto"/>
        <w:jc w:val="both"/>
        <w:rPr>
          <w:rFonts w:ascii="David" w:eastAsia="David" w:hAnsi="David"/>
          <w:rtl/>
        </w:rPr>
      </w:pPr>
    </w:p>
    <w:p w14:paraId="323B85A1" w14:textId="77777777" w:rsidR="007D3587" w:rsidRPr="008A75DF" w:rsidRDefault="007D3587" w:rsidP="007D3587">
      <w:pPr>
        <w:spacing w:line="360" w:lineRule="auto"/>
        <w:jc w:val="both"/>
        <w:rPr>
          <w:rFonts w:ascii="David" w:eastAsia="David" w:hAnsi="David"/>
          <w:rtl/>
        </w:rPr>
      </w:pPr>
      <w:r w:rsidRPr="008A75DF">
        <w:rPr>
          <w:rFonts w:ascii="David" w:eastAsia="David" w:hAnsi="David" w:hint="cs"/>
          <w:rtl/>
        </w:rPr>
        <w:t>לאור עובדות אלה, מצאתי למקם את הנאשם בתחתית מתחם הענישה שקבעתי.</w:t>
      </w:r>
    </w:p>
    <w:p w14:paraId="308247E2" w14:textId="77777777" w:rsidR="007D3587" w:rsidRPr="008A75DF" w:rsidRDefault="007D3587" w:rsidP="007D3587">
      <w:pPr>
        <w:spacing w:line="360" w:lineRule="auto"/>
        <w:jc w:val="both"/>
        <w:rPr>
          <w:rFonts w:ascii="David" w:eastAsia="David" w:hAnsi="David"/>
          <w:rtl/>
        </w:rPr>
      </w:pPr>
    </w:p>
    <w:p w14:paraId="110C6D24" w14:textId="77777777" w:rsidR="007D3587" w:rsidRPr="008A75DF" w:rsidRDefault="007D3587" w:rsidP="007D3587">
      <w:pPr>
        <w:spacing w:line="360" w:lineRule="auto"/>
        <w:jc w:val="both"/>
        <w:rPr>
          <w:noProof/>
          <w:rtl/>
        </w:rPr>
      </w:pPr>
      <w:r w:rsidRPr="008A75DF">
        <w:rPr>
          <w:rFonts w:ascii="Arial" w:hAnsi="Arial" w:hint="cs"/>
          <w:rtl/>
        </w:rPr>
        <w:t xml:space="preserve">משנאמר כל זאת, בהתחשב בחומרת המעשים, בנסיבותיהם, במידת הפגיעה בערך החברתי ובמדיניות הענישה הנוהגת, בהודאתו של הנאשם ובנסיבות חייו, תוך עריכת איזון בין רכיבי הענישה השונים, אני מטיל על הנאשם את העונשים הבאים: </w:t>
      </w:r>
    </w:p>
    <w:p w14:paraId="24C3AEDC" w14:textId="77777777" w:rsidR="007D3587" w:rsidRPr="008A75DF" w:rsidRDefault="007D3587" w:rsidP="007D3587">
      <w:pPr>
        <w:spacing w:line="360" w:lineRule="auto"/>
        <w:jc w:val="both"/>
        <w:rPr>
          <w:noProof/>
          <w:rtl/>
        </w:rPr>
      </w:pPr>
      <w:r w:rsidRPr="008A75DF">
        <w:rPr>
          <w:rFonts w:ascii="Arial" w:hAnsi="Arial" w:hint="cs"/>
          <w:rtl/>
        </w:rPr>
        <w:t xml:space="preserve"> </w:t>
      </w:r>
    </w:p>
    <w:p w14:paraId="0217EAEB" w14:textId="77777777" w:rsidR="007D3587" w:rsidRPr="008A75DF" w:rsidRDefault="007D3587" w:rsidP="007D3587">
      <w:pPr>
        <w:numPr>
          <w:ilvl w:val="0"/>
          <w:numId w:val="1"/>
        </w:numPr>
        <w:spacing w:line="360" w:lineRule="auto"/>
        <w:contextualSpacing/>
        <w:jc w:val="both"/>
        <w:rPr>
          <w:noProof/>
          <w:rtl/>
        </w:rPr>
      </w:pPr>
      <w:r w:rsidRPr="008A75DF">
        <w:rPr>
          <w:rFonts w:ascii="David" w:hAnsi="David" w:hint="cs"/>
          <w:rtl/>
        </w:rPr>
        <w:t xml:space="preserve">מאסר בפועל למשך 6 חודשים אשר יבוצע בעבודות שירות, בעיריית עפולה. הנאשם יתייצב לתחילת ביצוע עבודות השירות בתאריך 10.03.24 בשעה 08:00 במשרדי יחידת ברקאי – עבודות שירות – שלוחת צפון – סמוך לבית סוהר מגידו וזאת לצורך קליטתו. </w:t>
      </w:r>
    </w:p>
    <w:p w14:paraId="6A9BE74D" w14:textId="77777777" w:rsidR="007D3587" w:rsidRPr="008A75DF" w:rsidRDefault="007D3587" w:rsidP="007D3587">
      <w:pPr>
        <w:spacing w:line="360" w:lineRule="auto"/>
        <w:ind w:left="1080"/>
        <w:contextualSpacing/>
        <w:jc w:val="both"/>
        <w:rPr>
          <w:noProof/>
        </w:rPr>
      </w:pPr>
    </w:p>
    <w:p w14:paraId="7A055C13" w14:textId="77777777" w:rsidR="007D3587" w:rsidRPr="008A75DF" w:rsidRDefault="007D3587" w:rsidP="007D3587">
      <w:pPr>
        <w:numPr>
          <w:ilvl w:val="0"/>
          <w:numId w:val="1"/>
        </w:numPr>
        <w:spacing w:line="360" w:lineRule="auto"/>
        <w:contextualSpacing/>
        <w:jc w:val="both"/>
        <w:rPr>
          <w:noProof/>
        </w:rPr>
      </w:pPr>
      <w:r w:rsidRPr="008A75DF">
        <w:rPr>
          <w:rFonts w:ascii="David" w:hAnsi="David" w:hint="cs"/>
          <w:rtl/>
        </w:rPr>
        <w:t xml:space="preserve">מאסר על תנאי לתקופה </w:t>
      </w:r>
      <w:r w:rsidRPr="008A75DF">
        <w:rPr>
          <w:rFonts w:ascii="David" w:eastAsia="David" w:hAnsi="David" w:hint="cs"/>
          <w:rtl/>
        </w:rPr>
        <w:t>של 4 חודשים למשך 3 שנים שלא יעבור</w:t>
      </w:r>
      <w:r>
        <w:rPr>
          <w:rFonts w:ascii="David" w:eastAsia="David" w:hAnsi="David" w:hint="cs"/>
          <w:rtl/>
        </w:rPr>
        <w:t xml:space="preserve"> בפרק זמן זה </w:t>
      </w:r>
      <w:r w:rsidRPr="008A75DF">
        <w:rPr>
          <w:rFonts w:ascii="David" w:eastAsia="David" w:hAnsi="David" w:hint="cs"/>
          <w:rtl/>
        </w:rPr>
        <w:t xml:space="preserve"> על העבירה בה הורשע</w:t>
      </w:r>
      <w:r>
        <w:rPr>
          <w:rFonts w:ascii="David" w:eastAsia="David" w:hAnsi="David" w:hint="cs"/>
          <w:rtl/>
        </w:rPr>
        <w:t xml:space="preserve"> בהליך זה שבפני</w:t>
      </w:r>
      <w:r w:rsidRPr="008A75DF">
        <w:rPr>
          <w:rFonts w:ascii="David" w:eastAsia="David" w:hAnsi="David" w:hint="cs"/>
          <w:rtl/>
        </w:rPr>
        <w:t xml:space="preserve"> או כל עבירת נשק מסוג פשע</w:t>
      </w:r>
      <w:r w:rsidRPr="008A75DF">
        <w:rPr>
          <w:rFonts w:ascii="David" w:hAnsi="David" w:hint="cs"/>
          <w:rtl/>
        </w:rPr>
        <w:t xml:space="preserve">. </w:t>
      </w:r>
    </w:p>
    <w:p w14:paraId="3AAA3359" w14:textId="77777777" w:rsidR="007D3587" w:rsidRPr="00DF23A7" w:rsidRDefault="007D3587" w:rsidP="007D3587">
      <w:pPr>
        <w:ind w:left="720"/>
        <w:contextualSpacing/>
        <w:rPr>
          <w:rFonts w:ascii="David" w:hAnsi="David"/>
        </w:rPr>
      </w:pPr>
    </w:p>
    <w:p w14:paraId="2E80AD48" w14:textId="77777777" w:rsidR="007D3587" w:rsidRPr="00DF23A7" w:rsidRDefault="007D3587" w:rsidP="007D3587">
      <w:pPr>
        <w:numPr>
          <w:ilvl w:val="0"/>
          <w:numId w:val="1"/>
        </w:numPr>
        <w:spacing w:line="360" w:lineRule="auto"/>
        <w:contextualSpacing/>
        <w:jc w:val="both"/>
        <w:rPr>
          <w:noProof/>
        </w:rPr>
      </w:pPr>
      <w:r w:rsidRPr="008A75DF">
        <w:rPr>
          <w:rFonts w:ascii="David" w:hAnsi="David" w:hint="cs"/>
          <w:rtl/>
        </w:rPr>
        <w:t xml:space="preserve">קנס בסך של </w:t>
      </w:r>
      <w:r>
        <w:rPr>
          <w:rFonts w:ascii="David" w:hAnsi="David" w:hint="cs"/>
          <w:rtl/>
        </w:rPr>
        <w:t>3</w:t>
      </w:r>
      <w:r w:rsidRPr="008A75DF">
        <w:rPr>
          <w:rFonts w:ascii="David" w:hAnsi="David" w:hint="cs"/>
          <w:rtl/>
        </w:rPr>
        <w:t xml:space="preserve">,000 ₪. </w:t>
      </w:r>
    </w:p>
    <w:p w14:paraId="198475BB" w14:textId="77777777" w:rsidR="007D3587" w:rsidRDefault="007D3587" w:rsidP="007D3587">
      <w:pPr>
        <w:pStyle w:val="a9"/>
        <w:spacing w:line="360" w:lineRule="auto"/>
        <w:rPr>
          <w:rFonts w:ascii="David" w:hAnsi="David" w:cs="David"/>
        </w:rPr>
      </w:pPr>
      <w:r>
        <w:rPr>
          <w:rFonts w:ascii="David" w:hAnsi="David" w:cs="David"/>
          <w:rtl/>
        </w:rPr>
        <w:t xml:space="preserve">יש לשלם את הקנס לחשבון המרכז לגביית קנסות, אגרות והוצאות ברשות האכיפה והגבייה, החל מחלוף 3 ימים מרגע מתן גזר הדין ועד ליום </w:t>
      </w:r>
      <w:r>
        <w:rPr>
          <w:rFonts w:ascii="David" w:hAnsi="David" w:cs="David" w:hint="cs"/>
          <w:rtl/>
        </w:rPr>
        <w:t>20/5/24</w:t>
      </w:r>
      <w:r>
        <w:rPr>
          <w:rFonts w:ascii="David" w:hAnsi="David" w:cs="David"/>
          <w:rtl/>
        </w:rPr>
        <w:t xml:space="preserve"> וזאת באחת מהדרכים הבאות:</w:t>
      </w:r>
    </w:p>
    <w:p w14:paraId="09A540DB" w14:textId="77777777" w:rsidR="007D3587" w:rsidRDefault="007D3587" w:rsidP="007D3587">
      <w:pPr>
        <w:pStyle w:val="a9"/>
        <w:numPr>
          <w:ilvl w:val="0"/>
          <w:numId w:val="2"/>
        </w:numPr>
        <w:spacing w:line="360" w:lineRule="auto"/>
        <w:contextualSpacing w:val="0"/>
        <w:rPr>
          <w:rFonts w:ascii="David" w:hAnsi="David" w:cs="David"/>
        </w:rPr>
      </w:pPr>
      <w:r>
        <w:rPr>
          <w:rFonts w:ascii="David" w:hAnsi="David" w:cs="David"/>
          <w:b/>
          <w:bCs/>
          <w:rtl/>
        </w:rPr>
        <w:t>בכרטיס אשראי</w:t>
      </w:r>
      <w:r>
        <w:rPr>
          <w:rFonts w:ascii="David" w:hAnsi="David" w:cs="David"/>
          <w:rtl/>
        </w:rPr>
        <w:t xml:space="preserve"> – באתר המקוון של רשות האכיפה והגבייה, </w:t>
      </w:r>
      <w:hyperlink r:id="rId28" w:history="1">
        <w:r>
          <w:rPr>
            <w:rStyle w:val="Hyperlink"/>
            <w:rFonts w:ascii="Arial" w:hAnsi="Arial" w:cs="Arial"/>
          </w:rPr>
          <w:t>www.eca.gov.il</w:t>
        </w:r>
      </w:hyperlink>
      <w:r>
        <w:rPr>
          <w:rFonts w:ascii="Arial" w:hAnsi="Arial" w:cs="Arial"/>
        </w:rPr>
        <w:t xml:space="preserve"> </w:t>
      </w:r>
      <w:r w:rsidR="00A97C97">
        <w:rPr>
          <w:rFonts w:ascii="David" w:hAnsi="David" w:cs="David"/>
          <w:rtl/>
        </w:rPr>
        <w:t xml:space="preserve"> </w:t>
      </w:r>
      <w:r>
        <w:rPr>
          <w:rFonts w:ascii="David" w:hAnsi="David" w:cs="David"/>
          <w:rtl/>
        </w:rPr>
        <w:t>(ניתן לשלם בפריסה של עד 18 תשלומים בהסדר קרדיט) או חפש בגוגל " תשלום גביית קנסות".</w:t>
      </w:r>
    </w:p>
    <w:p w14:paraId="23B5D4B2" w14:textId="77777777" w:rsidR="007D3587" w:rsidRDefault="007D3587" w:rsidP="007D3587">
      <w:pPr>
        <w:pStyle w:val="a9"/>
        <w:numPr>
          <w:ilvl w:val="0"/>
          <w:numId w:val="2"/>
        </w:numPr>
        <w:spacing w:line="360" w:lineRule="auto"/>
        <w:contextualSpacing w:val="0"/>
        <w:rPr>
          <w:rFonts w:ascii="Arial" w:hAnsi="Arial" w:cs="Arial"/>
          <w:b/>
          <w:bCs/>
          <w:rtl/>
        </w:rPr>
      </w:pPr>
      <w:r>
        <w:rPr>
          <w:rFonts w:ascii="David" w:hAnsi="David" w:cs="David"/>
          <w:b/>
          <w:bCs/>
          <w:rtl/>
        </w:rPr>
        <w:t>מוקד שירות טלפוני בשרות עצמי (מרכז גבייה)</w:t>
      </w:r>
      <w:r w:rsidR="00A97C97">
        <w:rPr>
          <w:rFonts w:ascii="David" w:hAnsi="David" w:cs="David"/>
          <w:b/>
          <w:bCs/>
          <w:rtl/>
        </w:rPr>
        <w:t xml:space="preserve"> </w:t>
      </w:r>
      <w:r>
        <w:rPr>
          <w:rFonts w:ascii="David" w:hAnsi="David" w:cs="David"/>
          <w:b/>
          <w:bCs/>
          <w:rtl/>
        </w:rPr>
        <w:t xml:space="preserve"> – בטלפון 35592* או בטלפון 073-2055000 (ניתן לפנות לנציגים לקבלת מידע במספרים הללו).</w:t>
      </w:r>
    </w:p>
    <w:p w14:paraId="11AD80EA" w14:textId="77777777" w:rsidR="007D3587" w:rsidRDefault="007D3587" w:rsidP="007D3587">
      <w:pPr>
        <w:pStyle w:val="a9"/>
        <w:numPr>
          <w:ilvl w:val="0"/>
          <w:numId w:val="2"/>
        </w:numPr>
        <w:spacing w:line="360" w:lineRule="auto"/>
        <w:contextualSpacing w:val="0"/>
        <w:rPr>
          <w:rFonts w:ascii="David" w:hAnsi="David" w:cs="David"/>
          <w:b/>
          <w:bCs/>
          <w:rtl/>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48375917" w14:textId="77777777" w:rsidR="007D3587" w:rsidRDefault="007D3587" w:rsidP="007D3587">
      <w:pPr>
        <w:rPr>
          <w:b/>
          <w:bCs/>
          <w:rtl/>
        </w:rPr>
      </w:pPr>
    </w:p>
    <w:p w14:paraId="0E619728" w14:textId="77777777" w:rsidR="007D3587" w:rsidRPr="008A75DF" w:rsidRDefault="007D3587" w:rsidP="007D3587">
      <w:pPr>
        <w:rPr>
          <w:b/>
          <w:bCs/>
          <w:rtl/>
        </w:rPr>
      </w:pPr>
      <w:r w:rsidRPr="008A75DF">
        <w:rPr>
          <w:rFonts w:hint="cs"/>
          <w:b/>
          <w:bCs/>
          <w:rtl/>
        </w:rPr>
        <w:t>ניתן בזאת צו להשמדת המוצגים בתיק.</w:t>
      </w:r>
    </w:p>
    <w:p w14:paraId="50F09E2A" w14:textId="77777777" w:rsidR="007D3587" w:rsidRDefault="007D3587" w:rsidP="007D3587">
      <w:pPr>
        <w:rPr>
          <w:b/>
          <w:bCs/>
          <w:rtl/>
        </w:rPr>
      </w:pPr>
    </w:p>
    <w:p w14:paraId="39F099C9" w14:textId="77777777" w:rsidR="007D3587" w:rsidRPr="008A75DF" w:rsidRDefault="007D3587" w:rsidP="007D3587">
      <w:pPr>
        <w:rPr>
          <w:b/>
          <w:bCs/>
          <w:rtl/>
        </w:rPr>
      </w:pPr>
      <w:r w:rsidRPr="008A75DF">
        <w:rPr>
          <w:rFonts w:hint="cs"/>
          <w:b/>
          <w:bCs/>
          <w:rtl/>
        </w:rPr>
        <w:t>המזכירות תמציא העתק גזר הדין לממונה על עבודות השירות.</w:t>
      </w:r>
    </w:p>
    <w:p w14:paraId="5E487668" w14:textId="77777777" w:rsidR="007D3587" w:rsidRDefault="007D3587" w:rsidP="007D3587">
      <w:pPr>
        <w:rPr>
          <w:b/>
          <w:bCs/>
          <w:rtl/>
        </w:rPr>
      </w:pPr>
    </w:p>
    <w:p w14:paraId="1CF34B13" w14:textId="77777777" w:rsidR="007D3587" w:rsidRPr="008A75DF" w:rsidRDefault="00A97C97" w:rsidP="007D3587">
      <w:pPr>
        <w:rPr>
          <w:rFonts w:ascii="Calibri" w:hAnsi="Calibri" w:cs="Arial"/>
          <w:rtl/>
        </w:rPr>
      </w:pPr>
      <w:r w:rsidRPr="00A97C97">
        <w:rPr>
          <w:b/>
          <w:bCs/>
          <w:color w:val="FFFFFF"/>
          <w:sz w:val="2"/>
          <w:szCs w:val="2"/>
          <w:rtl/>
        </w:rPr>
        <w:t>5129371</w:t>
      </w:r>
      <w:r w:rsidR="007D3587" w:rsidRPr="008A75DF">
        <w:rPr>
          <w:rFonts w:hint="cs"/>
          <w:b/>
          <w:bCs/>
          <w:rtl/>
        </w:rPr>
        <w:t>זכות ערעור לבית המשפט המחוזי בחיפה תוך 45 ימים מהיום.</w:t>
      </w:r>
      <w:r w:rsidR="007D3587" w:rsidRPr="008A75DF">
        <w:rPr>
          <w:rFonts w:hint="cs"/>
          <w:rtl/>
        </w:rPr>
        <w:t xml:space="preserve">  </w:t>
      </w:r>
    </w:p>
    <w:p w14:paraId="3C93E2D5" w14:textId="77777777" w:rsidR="007D3587" w:rsidRPr="00A97C97" w:rsidRDefault="00A97C97" w:rsidP="007D3587">
      <w:pPr>
        <w:rPr>
          <w:rFonts w:ascii="Arial" w:hAnsi="Arial"/>
          <w:b/>
          <w:bCs/>
          <w:color w:val="FFFFFF"/>
          <w:sz w:val="2"/>
          <w:szCs w:val="2"/>
          <w:rtl/>
        </w:rPr>
      </w:pPr>
      <w:r w:rsidRPr="00A97C97">
        <w:rPr>
          <w:rFonts w:ascii="Arial" w:hAnsi="Arial"/>
          <w:b/>
          <w:bCs/>
          <w:color w:val="FFFFFF"/>
          <w:sz w:val="2"/>
          <w:szCs w:val="2"/>
          <w:rtl/>
        </w:rPr>
        <w:t>54678313</w:t>
      </w:r>
    </w:p>
    <w:p w14:paraId="1071D16F" w14:textId="77777777" w:rsidR="007D3587" w:rsidRPr="000F2247" w:rsidRDefault="007D3587" w:rsidP="007D3587">
      <w:pPr>
        <w:rPr>
          <w:rFonts w:ascii="Arial" w:hAnsi="Arial"/>
          <w:b/>
          <w:bCs/>
          <w:sz w:val="26"/>
          <w:szCs w:val="26"/>
          <w:rtl/>
        </w:rPr>
      </w:pPr>
    </w:p>
    <w:p w14:paraId="797C50CF" w14:textId="77777777" w:rsidR="007D3587" w:rsidRPr="000F2247" w:rsidRDefault="00A97C97" w:rsidP="007D358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שבט תשפ"ד, 05 פברואר 2024, במעמד הצדדים. </w:t>
      </w:r>
      <w:bookmarkEnd w:id="8"/>
      <w:r w:rsidR="007D3587">
        <w:rPr>
          <w:rFonts w:ascii="Arial" w:hAnsi="Arial"/>
          <w:b/>
          <w:bCs/>
          <w:sz w:val="26"/>
          <w:szCs w:val="26"/>
          <w:rtl/>
        </w:rPr>
        <w:tab/>
      </w:r>
      <w:r w:rsidR="007D3587">
        <w:rPr>
          <w:rFonts w:ascii="Arial" w:hAnsi="Arial"/>
          <w:b/>
          <w:bCs/>
          <w:sz w:val="26"/>
          <w:szCs w:val="26"/>
          <w:rtl/>
        </w:rPr>
        <w:tab/>
      </w:r>
      <w:r w:rsidR="007D3587">
        <w:rPr>
          <w:rFonts w:ascii="Arial" w:hAnsi="Arial"/>
          <w:b/>
          <w:bCs/>
          <w:sz w:val="26"/>
          <w:szCs w:val="26"/>
          <w:rtl/>
        </w:rPr>
        <w:tab/>
      </w:r>
      <w:r w:rsidR="007D3587">
        <w:rPr>
          <w:rFonts w:ascii="Arial" w:hAnsi="Arial"/>
          <w:b/>
          <w:bCs/>
          <w:sz w:val="26"/>
          <w:szCs w:val="26"/>
          <w:rtl/>
        </w:rPr>
        <w:tab/>
      </w:r>
      <w:r w:rsidR="007D3587">
        <w:rPr>
          <w:rFonts w:ascii="Arial" w:hAnsi="Arial"/>
          <w:b/>
          <w:bCs/>
          <w:sz w:val="26"/>
          <w:szCs w:val="26"/>
          <w:rtl/>
        </w:rPr>
        <w:tab/>
      </w:r>
      <w:r w:rsidR="007D3587">
        <w:rPr>
          <w:rFonts w:ascii="Arial" w:hAnsi="Arial"/>
          <w:b/>
          <w:bCs/>
          <w:sz w:val="26"/>
          <w:szCs w:val="26"/>
          <w:rtl/>
        </w:rPr>
        <w:tab/>
      </w:r>
      <w:r w:rsidR="007D3587">
        <w:rPr>
          <w:rFonts w:ascii="Arial" w:hAnsi="Arial"/>
          <w:b/>
          <w:bCs/>
          <w:sz w:val="26"/>
          <w:szCs w:val="26"/>
          <w:rtl/>
        </w:rPr>
        <w:tab/>
      </w:r>
      <w:r w:rsidR="007D3587">
        <w:rPr>
          <w:rFonts w:ascii="Arial" w:hAnsi="Arial" w:hint="cs"/>
          <w:b/>
          <w:bCs/>
          <w:sz w:val="26"/>
          <w:szCs w:val="26"/>
          <w:rtl/>
        </w:rPr>
        <w:t xml:space="preserve">         </w:t>
      </w:r>
    </w:p>
    <w:p w14:paraId="31350BF6" w14:textId="77777777" w:rsidR="007D3587" w:rsidRPr="000F2247" w:rsidRDefault="007D3587" w:rsidP="00A97C9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B18B275" w14:textId="77777777" w:rsidR="007D3587" w:rsidRPr="000F2247" w:rsidRDefault="007D3587" w:rsidP="007D3587">
      <w:pPr>
        <w:jc w:val="center"/>
        <w:rPr>
          <w:rFonts w:ascii="Arial" w:hAnsi="Arial"/>
          <w:b/>
          <w:bCs/>
          <w:sz w:val="26"/>
          <w:szCs w:val="26"/>
          <w:rtl/>
        </w:rPr>
      </w:pPr>
    </w:p>
    <w:p w14:paraId="5D832764" w14:textId="77777777" w:rsidR="00152572" w:rsidRPr="00A97C97" w:rsidRDefault="00152572" w:rsidP="00A97C97">
      <w:pPr>
        <w:keepNext/>
        <w:rPr>
          <w:rFonts w:ascii="David" w:hAnsi="David"/>
          <w:color w:val="000000"/>
          <w:sz w:val="22"/>
          <w:szCs w:val="22"/>
          <w:rtl/>
        </w:rPr>
      </w:pPr>
    </w:p>
    <w:p w14:paraId="0B8B0EF5" w14:textId="77777777" w:rsidR="00A97C97" w:rsidRPr="00A97C97" w:rsidRDefault="00A97C97" w:rsidP="00A97C97">
      <w:pPr>
        <w:keepNext/>
        <w:rPr>
          <w:rFonts w:ascii="David" w:hAnsi="David"/>
          <w:color w:val="000000"/>
          <w:sz w:val="22"/>
          <w:szCs w:val="22"/>
          <w:rtl/>
        </w:rPr>
      </w:pPr>
      <w:r w:rsidRPr="00A97C97">
        <w:rPr>
          <w:rFonts w:ascii="David" w:hAnsi="David"/>
          <w:color w:val="000000"/>
          <w:sz w:val="22"/>
          <w:szCs w:val="22"/>
          <w:rtl/>
        </w:rPr>
        <w:t>אלכס אחטר 54678313</w:t>
      </w:r>
    </w:p>
    <w:p w14:paraId="70C9887F" w14:textId="77777777" w:rsidR="00A97C97" w:rsidRDefault="00A97C97" w:rsidP="00A97C97">
      <w:r w:rsidRPr="00A97C97">
        <w:rPr>
          <w:color w:val="000000"/>
          <w:rtl/>
        </w:rPr>
        <w:t>נוסח מסמך זה כפוף לשינויי ניסוח ועריכה</w:t>
      </w:r>
    </w:p>
    <w:p w14:paraId="7E865284" w14:textId="77777777" w:rsidR="00A97C97" w:rsidRDefault="00A97C97" w:rsidP="00A97C97">
      <w:pPr>
        <w:rPr>
          <w:rtl/>
        </w:rPr>
      </w:pPr>
    </w:p>
    <w:p w14:paraId="02187ED4" w14:textId="77777777" w:rsidR="00A97C97" w:rsidRDefault="00A97C97" w:rsidP="00A97C97">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00C63BA6" w14:textId="77777777" w:rsidR="00A97C97" w:rsidRPr="00A97C97" w:rsidRDefault="00A97C97" w:rsidP="00A97C97">
      <w:pPr>
        <w:jc w:val="center"/>
        <w:rPr>
          <w:color w:val="0000FF"/>
          <w:u w:val="single"/>
        </w:rPr>
      </w:pPr>
    </w:p>
    <w:sectPr w:rsidR="00A97C97" w:rsidRPr="00A97C97" w:rsidSect="00A97C9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4F770" w14:textId="77777777" w:rsidR="002E0F7B" w:rsidRDefault="002E0F7B" w:rsidP="00AC4BB8">
      <w:r>
        <w:separator/>
      </w:r>
    </w:p>
  </w:endnote>
  <w:endnote w:type="continuationSeparator" w:id="0">
    <w:p w14:paraId="3CF91F79" w14:textId="77777777" w:rsidR="002E0F7B" w:rsidRDefault="002E0F7B" w:rsidP="00AC4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9F656" w14:textId="77777777" w:rsidR="00A97C97" w:rsidRDefault="00A97C97" w:rsidP="00A97C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9C2E57" w14:textId="77777777" w:rsidR="000A79CB" w:rsidRPr="00A97C97" w:rsidRDefault="00A97C97" w:rsidP="00A97C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F9F43" w14:textId="77777777" w:rsidR="00A97C97" w:rsidRDefault="00A97C97" w:rsidP="00A97C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78FD">
      <w:rPr>
        <w:rFonts w:ascii="FrankRuehl" w:hAnsi="FrankRuehl" w:cs="FrankRuehl"/>
        <w:noProof/>
        <w:rtl/>
      </w:rPr>
      <w:t>1</w:t>
    </w:r>
    <w:r>
      <w:rPr>
        <w:rFonts w:ascii="FrankRuehl" w:hAnsi="FrankRuehl" w:cs="FrankRuehl"/>
        <w:rtl/>
      </w:rPr>
      <w:fldChar w:fldCharType="end"/>
    </w:r>
  </w:p>
  <w:p w14:paraId="134DAF46" w14:textId="77777777" w:rsidR="000A79CB" w:rsidRPr="00A97C97" w:rsidRDefault="00A97C97" w:rsidP="00A97C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694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D02F6" w14:textId="77777777" w:rsidR="002E0F7B" w:rsidRDefault="002E0F7B" w:rsidP="00AC4BB8">
      <w:r>
        <w:separator/>
      </w:r>
    </w:p>
  </w:footnote>
  <w:footnote w:type="continuationSeparator" w:id="0">
    <w:p w14:paraId="1E064D2C" w14:textId="77777777" w:rsidR="002E0F7B" w:rsidRDefault="002E0F7B" w:rsidP="00AC4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88649" w14:textId="77777777" w:rsidR="00A97C97" w:rsidRPr="00A97C97" w:rsidRDefault="00A97C97" w:rsidP="00A97C9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65412-06-23</w:t>
    </w:r>
    <w:r>
      <w:rPr>
        <w:rFonts w:ascii="David" w:hAnsi="David"/>
        <w:color w:val="000000"/>
        <w:sz w:val="22"/>
        <w:szCs w:val="22"/>
        <w:rtl/>
      </w:rPr>
      <w:tab/>
      <w:t xml:space="preserve"> מדינת ישראל נ' איאד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4B0F" w14:textId="77777777" w:rsidR="00A97C97" w:rsidRPr="00A97C97" w:rsidRDefault="00A97C97" w:rsidP="00A97C9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65412-06-23</w:t>
    </w:r>
    <w:r>
      <w:rPr>
        <w:rFonts w:ascii="David" w:hAnsi="David"/>
        <w:color w:val="000000"/>
        <w:sz w:val="22"/>
        <w:szCs w:val="22"/>
        <w:rtl/>
      </w:rPr>
      <w:tab/>
      <w:t xml:space="preserve"> מדינת ישראל נ' איאד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2099061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979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3587"/>
    <w:rsid w:val="000A79CB"/>
    <w:rsid w:val="00152572"/>
    <w:rsid w:val="001578FD"/>
    <w:rsid w:val="001B5A3B"/>
    <w:rsid w:val="002A539C"/>
    <w:rsid w:val="002E0F7B"/>
    <w:rsid w:val="00441820"/>
    <w:rsid w:val="005978BD"/>
    <w:rsid w:val="007D3587"/>
    <w:rsid w:val="00831F79"/>
    <w:rsid w:val="00A021CD"/>
    <w:rsid w:val="00A97C97"/>
    <w:rsid w:val="00AC4BB8"/>
    <w:rsid w:val="00CA78CA"/>
    <w:rsid w:val="00CE7991"/>
    <w:rsid w:val="00F25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6DBC7D"/>
  <w15:chartTrackingRefBased/>
  <w15:docId w15:val="{F8323212-1F27-481B-98CE-4420F780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35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3587"/>
    <w:pPr>
      <w:tabs>
        <w:tab w:val="center" w:pos="4153"/>
        <w:tab w:val="right" w:pos="8306"/>
      </w:tabs>
    </w:pPr>
  </w:style>
  <w:style w:type="character" w:customStyle="1" w:styleId="a4">
    <w:name w:val="כותרת עליונה תו"/>
    <w:link w:val="a3"/>
    <w:rsid w:val="007D3587"/>
    <w:rPr>
      <w:rFonts w:ascii="Times New Roman" w:eastAsia="Times New Roman" w:hAnsi="Times New Roman" w:cs="David"/>
      <w:sz w:val="24"/>
      <w:szCs w:val="24"/>
    </w:rPr>
  </w:style>
  <w:style w:type="paragraph" w:styleId="a5">
    <w:name w:val="footer"/>
    <w:basedOn w:val="a"/>
    <w:link w:val="a6"/>
    <w:rsid w:val="007D3587"/>
    <w:pPr>
      <w:tabs>
        <w:tab w:val="center" w:pos="4153"/>
        <w:tab w:val="right" w:pos="8306"/>
      </w:tabs>
    </w:pPr>
  </w:style>
  <w:style w:type="character" w:customStyle="1" w:styleId="a6">
    <w:name w:val="כותרת תחתונה תו"/>
    <w:link w:val="a5"/>
    <w:rsid w:val="007D3587"/>
    <w:rPr>
      <w:rFonts w:ascii="Times New Roman" w:eastAsia="Times New Roman" w:hAnsi="Times New Roman" w:cs="David"/>
      <w:sz w:val="24"/>
      <w:szCs w:val="24"/>
    </w:rPr>
  </w:style>
  <w:style w:type="table" w:styleId="a7">
    <w:name w:val="Table Grid"/>
    <w:basedOn w:val="a1"/>
    <w:rsid w:val="007D35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D3587"/>
  </w:style>
  <w:style w:type="paragraph" w:styleId="a9">
    <w:name w:val="List Paragraph"/>
    <w:basedOn w:val="a"/>
    <w:qFormat/>
    <w:rsid w:val="007D3587"/>
    <w:pPr>
      <w:ind w:left="720"/>
      <w:contextualSpacing/>
    </w:pPr>
    <w:rPr>
      <w:rFonts w:cs="Times New Roman"/>
    </w:rPr>
  </w:style>
  <w:style w:type="character" w:styleId="Hyperlink">
    <w:name w:val="Hyperlink"/>
    <w:rsid w:val="007D3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case/28211721"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472962"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70301/40e"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530012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eca.gov.il"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40d"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1761</Words>
  <Characters>8805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10545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7864368</vt:i4>
      </vt:variant>
      <vt:variant>
        <vt:i4>63</vt:i4>
      </vt:variant>
      <vt:variant>
        <vt:i4>0</vt:i4>
      </vt:variant>
      <vt:variant>
        <vt:i4>5</vt:i4>
      </vt:variant>
      <vt:variant>
        <vt:lpwstr>http://www.eca.gov.il/</vt:lpwstr>
      </vt:variant>
      <vt:variant>
        <vt:lpwstr/>
      </vt:variant>
      <vt:variant>
        <vt:i4>7995492</vt:i4>
      </vt:variant>
      <vt:variant>
        <vt:i4>60</vt:i4>
      </vt:variant>
      <vt:variant>
        <vt:i4>0</vt:i4>
      </vt:variant>
      <vt:variant>
        <vt:i4>5</vt:i4>
      </vt:variant>
      <vt:variant>
        <vt:lpwstr>http://www.nevo.co.il/law/70301</vt:lpwstr>
      </vt:variant>
      <vt:variant>
        <vt:lpwstr/>
      </vt:variant>
      <vt:variant>
        <vt:i4>3342458</vt:i4>
      </vt:variant>
      <vt:variant>
        <vt:i4>57</vt:i4>
      </vt:variant>
      <vt:variant>
        <vt:i4>0</vt:i4>
      </vt:variant>
      <vt:variant>
        <vt:i4>5</vt:i4>
      </vt:variant>
      <vt:variant>
        <vt:lpwstr>http://www.nevo.co.il/case/28211721</vt:lpwstr>
      </vt:variant>
      <vt:variant>
        <vt:lpwstr/>
      </vt:variant>
      <vt:variant>
        <vt:i4>3276924</vt:i4>
      </vt:variant>
      <vt:variant>
        <vt:i4>54</vt:i4>
      </vt:variant>
      <vt:variant>
        <vt:i4>0</vt:i4>
      </vt:variant>
      <vt:variant>
        <vt:i4>5</vt:i4>
      </vt:variant>
      <vt:variant>
        <vt:lpwstr>http://www.nevo.co.il/case/26472962</vt:lpwstr>
      </vt:variant>
      <vt:variant>
        <vt:lpwstr/>
      </vt:variant>
      <vt:variant>
        <vt:i4>3342448</vt:i4>
      </vt:variant>
      <vt:variant>
        <vt:i4>51</vt:i4>
      </vt:variant>
      <vt:variant>
        <vt:i4>0</vt:i4>
      </vt:variant>
      <vt:variant>
        <vt:i4>5</vt:i4>
      </vt:variant>
      <vt:variant>
        <vt:lpwstr>http://www.nevo.co.il/case/25300128</vt:lpwstr>
      </vt:variant>
      <vt:variant>
        <vt:lpwstr/>
      </vt:variant>
      <vt:variant>
        <vt:i4>7995492</vt:i4>
      </vt:variant>
      <vt:variant>
        <vt:i4>48</vt:i4>
      </vt:variant>
      <vt:variant>
        <vt:i4>0</vt:i4>
      </vt:variant>
      <vt:variant>
        <vt:i4>5</vt:i4>
      </vt:variant>
      <vt:variant>
        <vt:lpwstr>http://www.nevo.co.il/law/70301</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http://www.nevo.co.il/law/70301/40e</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65412</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איאד מחאמיד</vt:lpwstr>
  </property>
  <property fmtid="{D5CDD505-2E9C-101B-9397-08002B2CF9AE}" pid="10" name="LAWYER">
    <vt:lpwstr>מידד אזרזר;עאדל בויארת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20240205</vt:lpwstr>
  </property>
  <property fmtid="{D5CDD505-2E9C-101B-9397-08002B2CF9AE}" pid="14" name="TYPE_N_DATE">
    <vt:lpwstr>38020240205</vt:lpwstr>
  </property>
  <property fmtid="{D5CDD505-2E9C-101B-9397-08002B2CF9AE}" pid="15" name="WORDNUMPAGES">
    <vt:lpwstr>6</vt:lpwstr>
  </property>
  <property fmtid="{D5CDD505-2E9C-101B-9397-08002B2CF9AE}" pid="16" name="TYPE_ABS_DATE">
    <vt:lpwstr>380020240205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28513828;25300128;26472962;28211721</vt:lpwstr>
  </property>
  <property fmtid="{D5CDD505-2E9C-101B-9397-08002B2CF9AE}" pid="36" name="LAWLISTTMP1">
    <vt:lpwstr>70301/144.a;040i;40ja;040d;040e</vt:lpwstr>
  </property>
</Properties>
</file>