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F85F9D" w:rsidRPr="00D7334B" w14:paraId="2838649C" w14:textId="77777777" w:rsidTr="00BB79F8">
        <w:trPr>
          <w:gridAfter w:val="1"/>
          <w:wAfter w:w="99" w:type="dxa"/>
          <w:trHeight w:hRule="exact" w:val="418"/>
          <w:jc w:val="center"/>
        </w:trPr>
        <w:tc>
          <w:tcPr>
            <w:tcW w:w="8721" w:type="dxa"/>
            <w:gridSpan w:val="4"/>
          </w:tcPr>
          <w:p w14:paraId="7149686F" w14:textId="77777777" w:rsidR="00F85F9D" w:rsidRPr="00D7334B" w:rsidRDefault="00F85F9D" w:rsidP="008B01C7">
            <w:pPr>
              <w:pStyle w:val="a3"/>
              <w:jc w:val="center"/>
              <w:rPr>
                <w:rFonts w:ascii="Tahoma" w:hAnsi="Tahoma" w:cs="Tahoma"/>
                <w:color w:val="000080"/>
                <w:rtl/>
              </w:rPr>
            </w:pPr>
            <w:bookmarkStart w:id="0" w:name="LastJudge"/>
            <w:r w:rsidRPr="00D7334B">
              <w:rPr>
                <w:rFonts w:ascii="Tahoma" w:hAnsi="Tahoma" w:cs="Tahoma"/>
                <w:b/>
                <w:bCs/>
                <w:color w:val="000080"/>
                <w:rtl/>
              </w:rPr>
              <w:t>בית משפט השלום בירושלים</w:t>
            </w:r>
          </w:p>
        </w:tc>
      </w:tr>
      <w:tr w:rsidR="00F85F9D" w:rsidRPr="00D7334B" w14:paraId="59FD21C3" w14:textId="77777777" w:rsidTr="00BB79F8">
        <w:trPr>
          <w:gridAfter w:val="1"/>
          <w:wAfter w:w="99" w:type="dxa"/>
          <w:trHeight w:val="337"/>
          <w:jc w:val="center"/>
        </w:trPr>
        <w:tc>
          <w:tcPr>
            <w:tcW w:w="5057" w:type="dxa"/>
            <w:gridSpan w:val="3"/>
          </w:tcPr>
          <w:p w14:paraId="167878EF" w14:textId="77777777" w:rsidR="00F85F9D" w:rsidRPr="00D7334B" w:rsidRDefault="00F85F9D" w:rsidP="008B01C7">
            <w:pPr>
              <w:rPr>
                <w:rFonts w:cs="FrankRuehl"/>
                <w:sz w:val="28"/>
                <w:szCs w:val="28"/>
                <w:rtl/>
              </w:rPr>
            </w:pPr>
            <w:r w:rsidRPr="00D7334B">
              <w:rPr>
                <w:rFonts w:cs="FrankRuehl"/>
                <w:sz w:val="28"/>
                <w:szCs w:val="28"/>
                <w:rtl/>
              </w:rPr>
              <w:t>ת"פ</w:t>
            </w:r>
            <w:r w:rsidRPr="00D7334B">
              <w:rPr>
                <w:rFonts w:cs="FrankRuehl" w:hint="cs"/>
                <w:sz w:val="28"/>
                <w:szCs w:val="28"/>
                <w:rtl/>
              </w:rPr>
              <w:t xml:space="preserve"> </w:t>
            </w:r>
            <w:r w:rsidRPr="00D7334B">
              <w:rPr>
                <w:rFonts w:cs="FrankRuehl"/>
                <w:sz w:val="28"/>
                <w:szCs w:val="28"/>
                <w:rtl/>
              </w:rPr>
              <w:t>24614-07-23</w:t>
            </w:r>
            <w:r w:rsidRPr="00D7334B">
              <w:rPr>
                <w:rFonts w:cs="FrankRuehl" w:hint="cs"/>
                <w:sz w:val="28"/>
                <w:szCs w:val="28"/>
                <w:rtl/>
              </w:rPr>
              <w:t xml:space="preserve"> </w:t>
            </w:r>
            <w:r w:rsidRPr="00D7334B">
              <w:rPr>
                <w:rFonts w:cs="FrankRuehl"/>
                <w:sz w:val="28"/>
                <w:szCs w:val="28"/>
                <w:rtl/>
              </w:rPr>
              <w:t>מדינת ישראל נ' עבדאל רחמן(עציר)</w:t>
            </w:r>
          </w:p>
          <w:p w14:paraId="26C42E82" w14:textId="77777777" w:rsidR="00F85F9D" w:rsidRPr="00D7334B" w:rsidRDefault="00F85F9D" w:rsidP="008B01C7">
            <w:pPr>
              <w:pStyle w:val="a3"/>
              <w:rPr>
                <w:rFonts w:cs="FrankRuehl"/>
                <w:sz w:val="28"/>
                <w:szCs w:val="28"/>
                <w:rtl/>
              </w:rPr>
            </w:pPr>
          </w:p>
        </w:tc>
        <w:tc>
          <w:tcPr>
            <w:tcW w:w="3664" w:type="dxa"/>
          </w:tcPr>
          <w:p w14:paraId="4F390838" w14:textId="77777777" w:rsidR="00F85F9D" w:rsidRPr="00D7334B" w:rsidRDefault="00F85F9D" w:rsidP="008B01C7">
            <w:pPr>
              <w:pStyle w:val="a3"/>
              <w:jc w:val="right"/>
              <w:rPr>
                <w:rFonts w:cs="FrankRuehl"/>
                <w:sz w:val="28"/>
                <w:szCs w:val="28"/>
                <w:rtl/>
              </w:rPr>
            </w:pPr>
          </w:p>
        </w:tc>
      </w:tr>
      <w:tr w:rsidR="00F85F9D" w:rsidRPr="00D7334B" w14:paraId="48236709" w14:textId="77777777" w:rsidTr="00BB79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F051260" w14:textId="77777777" w:rsidR="00F85F9D" w:rsidRPr="00D7334B" w:rsidRDefault="00F85F9D" w:rsidP="00F85F9D">
            <w:pPr>
              <w:spacing w:line="360" w:lineRule="auto"/>
              <w:jc w:val="both"/>
              <w:rPr>
                <w:rFonts w:ascii="David" w:hAnsi="David"/>
              </w:rPr>
            </w:pPr>
            <w:r w:rsidRPr="00D7334B">
              <w:rPr>
                <w:rFonts w:hint="cs"/>
                <w:rtl/>
              </w:rPr>
              <w:t xml:space="preserve"> </w:t>
            </w:r>
            <w:r w:rsidRPr="00D7334B">
              <w:rPr>
                <w:rFonts w:ascii="David" w:hAnsi="David" w:hint="cs"/>
                <w:rtl/>
              </w:rPr>
              <w:t>ל</w:t>
            </w:r>
            <w:r w:rsidRPr="00D7334B">
              <w:rPr>
                <w:rFonts w:ascii="David" w:hAnsi="David"/>
                <w:rtl/>
              </w:rPr>
              <w:t xml:space="preserve">פני </w:t>
            </w:r>
          </w:p>
        </w:tc>
        <w:tc>
          <w:tcPr>
            <w:tcW w:w="7897" w:type="dxa"/>
            <w:gridSpan w:val="4"/>
            <w:tcBorders>
              <w:top w:val="nil"/>
              <w:left w:val="nil"/>
              <w:bottom w:val="nil"/>
              <w:right w:val="nil"/>
            </w:tcBorders>
            <w:shd w:val="clear" w:color="auto" w:fill="auto"/>
          </w:tcPr>
          <w:p w14:paraId="609ED33A" w14:textId="77777777" w:rsidR="00F85F9D" w:rsidRPr="00D7334B" w:rsidRDefault="00F85F9D" w:rsidP="00F85F9D">
            <w:pPr>
              <w:spacing w:line="360" w:lineRule="auto"/>
              <w:rPr>
                <w:rFonts w:ascii="David" w:hAnsi="David"/>
                <w:b/>
                <w:bCs/>
                <w:rtl/>
              </w:rPr>
            </w:pPr>
            <w:r w:rsidRPr="00D7334B">
              <w:rPr>
                <w:rFonts w:ascii="David" w:hAnsi="David"/>
                <w:b/>
                <w:bCs/>
                <w:rtl/>
              </w:rPr>
              <w:t>כבוד השופט  ארנון איתן</w:t>
            </w:r>
          </w:p>
          <w:p w14:paraId="481A368E" w14:textId="77777777" w:rsidR="00F85F9D" w:rsidRPr="00D7334B" w:rsidRDefault="00F85F9D" w:rsidP="00F85F9D">
            <w:pPr>
              <w:spacing w:line="360" w:lineRule="auto"/>
              <w:rPr>
                <w:rFonts w:ascii="David" w:hAnsi="David"/>
                <w:rtl/>
              </w:rPr>
            </w:pPr>
          </w:p>
          <w:p w14:paraId="30ABC14D" w14:textId="77777777" w:rsidR="00F85F9D" w:rsidRPr="00D7334B" w:rsidRDefault="00F85F9D" w:rsidP="00F85F9D">
            <w:pPr>
              <w:spacing w:line="360" w:lineRule="auto"/>
              <w:jc w:val="both"/>
              <w:rPr>
                <w:rFonts w:ascii="David" w:hAnsi="David"/>
              </w:rPr>
            </w:pPr>
          </w:p>
        </w:tc>
      </w:tr>
      <w:tr w:rsidR="00F85F9D" w:rsidRPr="00D7334B" w14:paraId="02CFFAD1" w14:textId="77777777" w:rsidTr="00BB79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34A9BA" w14:textId="77777777" w:rsidR="00F85F9D" w:rsidRPr="00D7334B" w:rsidRDefault="00F85F9D" w:rsidP="00F85F9D">
            <w:pPr>
              <w:spacing w:line="360" w:lineRule="auto"/>
              <w:jc w:val="both"/>
              <w:rPr>
                <w:rFonts w:ascii="David" w:hAnsi="David"/>
              </w:rPr>
            </w:pPr>
            <w:bookmarkStart w:id="1" w:name="FirstAppellant"/>
            <w:r w:rsidRPr="00D7334B">
              <w:rPr>
                <w:rFonts w:ascii="David" w:hAnsi="David"/>
                <w:rtl/>
              </w:rPr>
              <w:t>בעניין:</w:t>
            </w:r>
          </w:p>
        </w:tc>
        <w:tc>
          <w:tcPr>
            <w:tcW w:w="3219" w:type="dxa"/>
            <w:tcBorders>
              <w:top w:val="nil"/>
              <w:left w:val="nil"/>
              <w:bottom w:val="nil"/>
              <w:right w:val="nil"/>
            </w:tcBorders>
            <w:shd w:val="clear" w:color="auto" w:fill="auto"/>
          </w:tcPr>
          <w:p w14:paraId="2C5FF5CD" w14:textId="77777777" w:rsidR="00F85F9D" w:rsidRPr="00D7334B" w:rsidRDefault="00F85F9D" w:rsidP="00F85F9D">
            <w:pPr>
              <w:suppressLineNumbers/>
              <w:spacing w:line="360" w:lineRule="auto"/>
            </w:pPr>
            <w:r w:rsidRPr="00D7334B">
              <w:rPr>
                <w:rFonts w:ascii="Arial" w:hAnsi="Arial" w:hint="cs"/>
                <w:b/>
                <w:bCs/>
                <w:rtl/>
              </w:rPr>
              <w:t>ה</w:t>
            </w:r>
            <w:r w:rsidRPr="00D7334B">
              <w:rPr>
                <w:rFonts w:ascii="Arial" w:hAnsi="Arial"/>
                <w:b/>
                <w:bCs/>
                <w:rtl/>
              </w:rPr>
              <w:t>מאשימה</w:t>
            </w:r>
          </w:p>
          <w:p w14:paraId="786579E8" w14:textId="77777777" w:rsidR="00F85F9D" w:rsidRPr="00D7334B" w:rsidRDefault="00F85F9D" w:rsidP="00F85F9D">
            <w:pPr>
              <w:spacing w:line="360" w:lineRule="auto"/>
              <w:rPr>
                <w:rFonts w:ascii="David" w:hAnsi="David"/>
              </w:rPr>
            </w:pPr>
          </w:p>
        </w:tc>
        <w:tc>
          <w:tcPr>
            <w:tcW w:w="4678" w:type="dxa"/>
            <w:gridSpan w:val="3"/>
            <w:tcBorders>
              <w:top w:val="nil"/>
              <w:left w:val="nil"/>
              <w:bottom w:val="nil"/>
              <w:right w:val="nil"/>
            </w:tcBorders>
            <w:shd w:val="clear" w:color="auto" w:fill="auto"/>
            <w:vAlign w:val="center"/>
          </w:tcPr>
          <w:p w14:paraId="6802C193" w14:textId="77777777" w:rsidR="00F85F9D" w:rsidRPr="00D7334B" w:rsidRDefault="00F85F9D" w:rsidP="00F85F9D">
            <w:pPr>
              <w:suppressLineNumbers/>
              <w:spacing w:line="360" w:lineRule="auto"/>
              <w:rPr>
                <w:rFonts w:ascii="Arial" w:hAnsi="Arial"/>
                <w:b/>
                <w:bCs/>
                <w:rtl/>
              </w:rPr>
            </w:pPr>
            <w:r w:rsidRPr="00D7334B">
              <w:rPr>
                <w:rFonts w:ascii="Arial" w:hAnsi="Arial"/>
                <w:b/>
                <w:bCs/>
                <w:rtl/>
              </w:rPr>
              <w:t>מדינת ישראל</w:t>
            </w:r>
            <w:r w:rsidRPr="00D7334B">
              <w:rPr>
                <w:rFonts w:ascii="Arial" w:hAnsi="Arial" w:hint="cs"/>
                <w:b/>
                <w:bCs/>
                <w:rtl/>
              </w:rPr>
              <w:t xml:space="preserve"> </w:t>
            </w:r>
          </w:p>
          <w:p w14:paraId="4CC90DD3" w14:textId="77777777" w:rsidR="00F85F9D" w:rsidRPr="00D7334B" w:rsidRDefault="00F85F9D" w:rsidP="00F85F9D">
            <w:pPr>
              <w:suppressLineNumbers/>
              <w:spacing w:line="360" w:lineRule="auto"/>
            </w:pPr>
            <w:r w:rsidRPr="00D7334B">
              <w:rPr>
                <w:rFonts w:ascii="Arial" w:hAnsi="Arial"/>
                <w:rtl/>
              </w:rPr>
              <w:t xml:space="preserve">ע"י </w:t>
            </w:r>
            <w:r w:rsidRPr="00D7334B">
              <w:rPr>
                <w:rFonts w:ascii="Arial" w:hAnsi="Arial" w:hint="cs"/>
                <w:rtl/>
              </w:rPr>
              <w:t>פרקליטות מחוז ירושלים</w:t>
            </w:r>
          </w:p>
          <w:p w14:paraId="5824474B" w14:textId="77777777" w:rsidR="00F85F9D" w:rsidRPr="00D7334B" w:rsidRDefault="00F85F9D" w:rsidP="00F85F9D">
            <w:pPr>
              <w:spacing w:line="360" w:lineRule="auto"/>
              <w:rPr>
                <w:rFonts w:ascii="David" w:hAnsi="David"/>
              </w:rPr>
            </w:pPr>
          </w:p>
        </w:tc>
      </w:tr>
      <w:bookmarkEnd w:id="1"/>
      <w:tr w:rsidR="00F85F9D" w:rsidRPr="00D7334B" w14:paraId="750FA6EE" w14:textId="77777777" w:rsidTr="00BB79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FD5CCFC" w14:textId="77777777" w:rsidR="00F85F9D" w:rsidRPr="00D7334B" w:rsidRDefault="00F85F9D" w:rsidP="00F85F9D">
            <w:pPr>
              <w:spacing w:line="360" w:lineRule="auto"/>
              <w:jc w:val="both"/>
              <w:rPr>
                <w:rFonts w:ascii="David" w:hAnsi="David"/>
                <w:rtl/>
              </w:rPr>
            </w:pPr>
          </w:p>
        </w:tc>
        <w:tc>
          <w:tcPr>
            <w:tcW w:w="7897" w:type="dxa"/>
            <w:gridSpan w:val="4"/>
            <w:tcBorders>
              <w:top w:val="nil"/>
              <w:left w:val="nil"/>
              <w:bottom w:val="nil"/>
              <w:right w:val="nil"/>
            </w:tcBorders>
            <w:shd w:val="clear" w:color="auto" w:fill="auto"/>
          </w:tcPr>
          <w:p w14:paraId="4825CE11" w14:textId="77777777" w:rsidR="00F85F9D" w:rsidRPr="00D7334B" w:rsidRDefault="00F85F9D" w:rsidP="00F85F9D">
            <w:pPr>
              <w:spacing w:line="360" w:lineRule="auto"/>
              <w:jc w:val="center"/>
              <w:rPr>
                <w:rFonts w:ascii="David" w:hAnsi="David"/>
                <w:b/>
                <w:bCs/>
                <w:rtl/>
              </w:rPr>
            </w:pPr>
          </w:p>
          <w:p w14:paraId="6D5F4FF1" w14:textId="77777777" w:rsidR="00F85F9D" w:rsidRPr="00D7334B" w:rsidRDefault="00F85F9D" w:rsidP="00F85F9D">
            <w:pPr>
              <w:spacing w:line="360" w:lineRule="auto"/>
              <w:jc w:val="center"/>
              <w:rPr>
                <w:rFonts w:ascii="David" w:hAnsi="David"/>
                <w:b/>
                <w:bCs/>
                <w:rtl/>
              </w:rPr>
            </w:pPr>
            <w:r w:rsidRPr="00D7334B">
              <w:rPr>
                <w:rFonts w:ascii="David" w:hAnsi="David"/>
                <w:b/>
                <w:bCs/>
                <w:rtl/>
              </w:rPr>
              <w:t>נגד</w:t>
            </w:r>
          </w:p>
          <w:p w14:paraId="7C8AD4B9" w14:textId="77777777" w:rsidR="00F85F9D" w:rsidRPr="00D7334B" w:rsidRDefault="00F85F9D" w:rsidP="00F85F9D">
            <w:pPr>
              <w:spacing w:line="360" w:lineRule="auto"/>
              <w:jc w:val="both"/>
              <w:rPr>
                <w:rFonts w:ascii="David" w:hAnsi="David"/>
              </w:rPr>
            </w:pPr>
          </w:p>
        </w:tc>
      </w:tr>
      <w:tr w:rsidR="00F85F9D" w:rsidRPr="00D7334B" w14:paraId="11433014" w14:textId="77777777" w:rsidTr="00BB79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83DDB0" w14:textId="77777777" w:rsidR="00F85F9D" w:rsidRPr="00D7334B" w:rsidRDefault="00F85F9D" w:rsidP="00F85F9D">
            <w:pPr>
              <w:spacing w:line="360" w:lineRule="auto"/>
              <w:rPr>
                <w:rFonts w:ascii="David" w:hAnsi="David"/>
                <w:rtl/>
              </w:rPr>
            </w:pPr>
            <w:bookmarkStart w:id="2" w:name="FirstLawyer"/>
          </w:p>
        </w:tc>
        <w:tc>
          <w:tcPr>
            <w:tcW w:w="3219" w:type="dxa"/>
            <w:tcBorders>
              <w:top w:val="nil"/>
              <w:left w:val="nil"/>
              <w:bottom w:val="nil"/>
              <w:right w:val="nil"/>
            </w:tcBorders>
            <w:shd w:val="clear" w:color="auto" w:fill="auto"/>
          </w:tcPr>
          <w:p w14:paraId="01DC9211" w14:textId="77777777" w:rsidR="00F85F9D" w:rsidRPr="00D7334B" w:rsidRDefault="00F85F9D" w:rsidP="00F85F9D">
            <w:pPr>
              <w:spacing w:line="360" w:lineRule="auto"/>
              <w:rPr>
                <w:rFonts w:ascii="Arial" w:hAnsi="Arial"/>
                <w:b/>
                <w:bCs/>
                <w:rtl/>
              </w:rPr>
            </w:pPr>
            <w:r w:rsidRPr="00D7334B">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05DC43A9" w14:textId="77777777" w:rsidR="00F85F9D" w:rsidRPr="00D7334B" w:rsidRDefault="00F85F9D" w:rsidP="00F85F9D">
            <w:pPr>
              <w:suppressLineNumbers/>
              <w:spacing w:line="360" w:lineRule="auto"/>
              <w:rPr>
                <w:rFonts w:ascii="Arial" w:hAnsi="Arial"/>
                <w:b/>
                <w:bCs/>
                <w:rtl/>
              </w:rPr>
            </w:pPr>
            <w:r w:rsidRPr="00D7334B">
              <w:rPr>
                <w:rFonts w:ascii="Arial" w:hAnsi="Arial"/>
                <w:b/>
                <w:bCs/>
                <w:rtl/>
              </w:rPr>
              <w:t>ואסים עבדאל רחמן (עציר)</w:t>
            </w:r>
            <w:r w:rsidRPr="00D7334B">
              <w:rPr>
                <w:rFonts w:ascii="Arial" w:hAnsi="Arial" w:hint="cs"/>
                <w:b/>
                <w:bCs/>
                <w:rtl/>
              </w:rPr>
              <w:t xml:space="preserve"> </w:t>
            </w:r>
          </w:p>
          <w:p w14:paraId="6E1C67B0" w14:textId="77777777" w:rsidR="00F85F9D" w:rsidRPr="00D7334B" w:rsidRDefault="00F85F9D" w:rsidP="00F85F9D">
            <w:pPr>
              <w:suppressLineNumbers/>
              <w:spacing w:line="360" w:lineRule="auto"/>
            </w:pPr>
            <w:r w:rsidRPr="00D7334B">
              <w:rPr>
                <w:rFonts w:ascii="Arial" w:hAnsi="Arial"/>
                <w:rtl/>
              </w:rPr>
              <w:t>ע"י ב"כ עוה"</w:t>
            </w:r>
            <w:r w:rsidRPr="00D7334B">
              <w:rPr>
                <w:rFonts w:ascii="Arial" w:hAnsi="Arial" w:hint="cs"/>
                <w:rtl/>
              </w:rPr>
              <w:t>ד מאזן איוב</w:t>
            </w:r>
          </w:p>
          <w:p w14:paraId="52C2ABBC" w14:textId="77777777" w:rsidR="00F85F9D" w:rsidRPr="00D7334B" w:rsidRDefault="00F85F9D" w:rsidP="00F85F9D">
            <w:pPr>
              <w:spacing w:line="360" w:lineRule="auto"/>
              <w:rPr>
                <w:rFonts w:ascii="David" w:hAnsi="David"/>
              </w:rPr>
            </w:pPr>
          </w:p>
        </w:tc>
      </w:tr>
      <w:bookmarkEnd w:id="2"/>
    </w:tbl>
    <w:p w14:paraId="59982E81" w14:textId="77777777" w:rsidR="00D7334B" w:rsidRPr="00D7334B" w:rsidRDefault="00D7334B" w:rsidP="00D7334B">
      <w:pPr>
        <w:spacing w:before="120" w:after="120" w:line="240" w:lineRule="exact"/>
        <w:ind w:left="283" w:hanging="283"/>
        <w:jc w:val="both"/>
        <w:rPr>
          <w:rFonts w:ascii="FrankRuehl" w:hAnsi="FrankRuehl" w:cs="FrankRuehl"/>
          <w:rtl/>
        </w:rPr>
      </w:pPr>
    </w:p>
    <w:p w14:paraId="3E3CF064" w14:textId="77777777" w:rsidR="00D7334B" w:rsidRPr="00D7334B" w:rsidRDefault="00D7334B" w:rsidP="00D7334B">
      <w:pPr>
        <w:spacing w:line="360" w:lineRule="auto"/>
        <w:rPr>
          <w:rtl/>
        </w:rPr>
      </w:pPr>
    </w:p>
    <w:p w14:paraId="42DF0AE3" w14:textId="77777777" w:rsidR="00BB79F8" w:rsidRPr="00BB79F8" w:rsidRDefault="00BB79F8" w:rsidP="00BB79F8">
      <w:pPr>
        <w:spacing w:before="120" w:after="120" w:line="240" w:lineRule="exact"/>
        <w:ind w:left="283" w:hanging="283"/>
        <w:jc w:val="both"/>
        <w:rPr>
          <w:rFonts w:ascii="FrankRuehl" w:hAnsi="FrankRuehl" w:cs="FrankRuehl"/>
          <w:rtl/>
        </w:rPr>
      </w:pPr>
      <w:bookmarkStart w:id="3" w:name="LawTable"/>
      <w:bookmarkEnd w:id="3"/>
    </w:p>
    <w:p w14:paraId="01B18926" w14:textId="77777777" w:rsidR="00BB79F8" w:rsidRPr="00BB79F8" w:rsidRDefault="00BB79F8" w:rsidP="00BB79F8">
      <w:pPr>
        <w:spacing w:before="120" w:after="120" w:line="240" w:lineRule="exact"/>
        <w:ind w:left="283" w:hanging="283"/>
        <w:jc w:val="both"/>
        <w:rPr>
          <w:rFonts w:ascii="FrankRuehl" w:hAnsi="FrankRuehl" w:cs="FrankRuehl"/>
          <w:rtl/>
        </w:rPr>
      </w:pPr>
      <w:r w:rsidRPr="00BB79F8">
        <w:rPr>
          <w:rFonts w:ascii="FrankRuehl" w:hAnsi="FrankRuehl" w:cs="FrankRuehl"/>
          <w:rtl/>
        </w:rPr>
        <w:t xml:space="preserve">חקיקה שאוזכרה: </w:t>
      </w:r>
    </w:p>
    <w:p w14:paraId="12E732C0" w14:textId="77777777" w:rsidR="00BB79F8" w:rsidRPr="00BB79F8" w:rsidRDefault="00BB79F8" w:rsidP="00BB79F8">
      <w:pPr>
        <w:spacing w:before="120" w:after="120" w:line="240" w:lineRule="exact"/>
        <w:ind w:left="283" w:hanging="283"/>
        <w:jc w:val="both"/>
        <w:rPr>
          <w:rFonts w:ascii="FrankRuehl" w:hAnsi="FrankRuehl" w:cs="FrankRuehl"/>
          <w:color w:val="0000FF"/>
          <w:rtl/>
        </w:rPr>
      </w:pPr>
      <w:hyperlink r:id="rId7" w:history="1">
        <w:r w:rsidRPr="00BB79F8">
          <w:rPr>
            <w:rStyle w:val="Hyperlink"/>
            <w:rFonts w:ascii="FrankRuehl" w:hAnsi="FrankRuehl" w:cs="FrankRuehl"/>
            <w:u w:val="none"/>
            <w:rtl/>
          </w:rPr>
          <w:t>חוק העונשין, תשל"ז-1977</w:t>
        </w:r>
      </w:hyperlink>
      <w:r w:rsidRPr="00BB79F8">
        <w:rPr>
          <w:rFonts w:ascii="FrankRuehl" w:hAnsi="FrankRuehl" w:cs="FrankRuehl"/>
          <w:color w:val="0000FF"/>
          <w:rtl/>
        </w:rPr>
        <w:t xml:space="preserve">: סע'  </w:t>
      </w:r>
      <w:hyperlink r:id="rId8" w:history="1">
        <w:r w:rsidRPr="00BB79F8">
          <w:rPr>
            <w:rStyle w:val="Hyperlink"/>
            <w:rFonts w:ascii="FrankRuehl" w:hAnsi="FrankRuehl" w:cs="FrankRuehl"/>
            <w:u w:val="none"/>
          </w:rPr>
          <w:t>29</w:t>
        </w:r>
      </w:hyperlink>
      <w:r w:rsidRPr="00BB79F8">
        <w:rPr>
          <w:rFonts w:ascii="FrankRuehl" w:hAnsi="FrankRuehl" w:cs="FrankRuehl"/>
          <w:color w:val="0000FF"/>
          <w:rtl/>
        </w:rPr>
        <w:t xml:space="preserve">, </w:t>
      </w:r>
      <w:hyperlink r:id="rId9" w:history="1">
        <w:r w:rsidRPr="00BB79F8">
          <w:rPr>
            <w:rStyle w:val="Hyperlink"/>
            <w:rFonts w:ascii="FrankRuehl" w:hAnsi="FrankRuehl" w:cs="FrankRuehl"/>
            <w:u w:val="none"/>
          </w:rPr>
          <w:t>144</w:t>
        </w:r>
      </w:hyperlink>
      <w:r w:rsidRPr="00BB79F8">
        <w:rPr>
          <w:rFonts w:ascii="FrankRuehl" w:hAnsi="FrankRuehl" w:cs="FrankRuehl"/>
          <w:color w:val="0000FF"/>
          <w:rtl/>
        </w:rPr>
        <w:t xml:space="preserve">, </w:t>
      </w:r>
      <w:hyperlink r:id="rId10" w:history="1">
        <w:r w:rsidRPr="00BB79F8">
          <w:rPr>
            <w:rStyle w:val="Hyperlink"/>
            <w:rFonts w:ascii="FrankRuehl" w:hAnsi="FrankRuehl" w:cs="FrankRuehl"/>
            <w:u w:val="none"/>
          </w:rPr>
          <w:t>144</w:t>
        </w:r>
      </w:hyperlink>
      <w:r w:rsidRPr="00BB79F8">
        <w:rPr>
          <w:rFonts w:ascii="FrankRuehl" w:hAnsi="FrankRuehl" w:cs="FrankRuehl"/>
          <w:color w:val="0000FF"/>
          <w:rtl/>
        </w:rPr>
        <w:t>(א)</w:t>
      </w:r>
    </w:p>
    <w:p w14:paraId="4A92AF37" w14:textId="77777777" w:rsidR="00F85F9D" w:rsidRPr="00BB79F8" w:rsidRDefault="00F85F9D" w:rsidP="00BB79F8">
      <w:pPr>
        <w:spacing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5F9D" w:rsidRPr="00200F84" w14:paraId="6980D89B" w14:textId="77777777" w:rsidTr="00F85F9D">
        <w:trPr>
          <w:trHeight w:val="355"/>
          <w:jc w:val="center"/>
        </w:trPr>
        <w:tc>
          <w:tcPr>
            <w:tcW w:w="8820" w:type="dxa"/>
            <w:tcBorders>
              <w:top w:val="nil"/>
              <w:left w:val="nil"/>
              <w:bottom w:val="nil"/>
              <w:right w:val="nil"/>
            </w:tcBorders>
            <w:shd w:val="clear" w:color="auto" w:fill="auto"/>
          </w:tcPr>
          <w:p w14:paraId="7858BC0D" w14:textId="77777777" w:rsidR="00D7334B" w:rsidRPr="00D7334B" w:rsidRDefault="00D7334B" w:rsidP="00D7334B">
            <w:pPr>
              <w:spacing w:line="360" w:lineRule="auto"/>
              <w:jc w:val="center"/>
              <w:rPr>
                <w:rFonts w:ascii="David" w:hAnsi="David"/>
                <w:b/>
                <w:bCs/>
                <w:u w:val="single"/>
                <w:rtl/>
              </w:rPr>
            </w:pPr>
            <w:bookmarkStart w:id="5" w:name="PsakDin" w:colFirst="0" w:colLast="0"/>
            <w:bookmarkEnd w:id="0"/>
            <w:r w:rsidRPr="00D7334B">
              <w:rPr>
                <w:rFonts w:ascii="David" w:hAnsi="David"/>
                <w:b/>
                <w:bCs/>
                <w:u w:val="single"/>
                <w:rtl/>
              </w:rPr>
              <w:t>גזר דין</w:t>
            </w:r>
          </w:p>
          <w:p w14:paraId="7F332E36" w14:textId="77777777" w:rsidR="00F85F9D" w:rsidRPr="00D7334B" w:rsidRDefault="00F85F9D" w:rsidP="00D7334B">
            <w:pPr>
              <w:spacing w:line="360" w:lineRule="auto"/>
              <w:jc w:val="center"/>
              <w:rPr>
                <w:rFonts w:ascii="David" w:hAnsi="David"/>
                <w:bCs/>
                <w:u w:val="single"/>
                <w:rtl/>
              </w:rPr>
            </w:pPr>
          </w:p>
        </w:tc>
      </w:tr>
      <w:bookmarkEnd w:id="5"/>
    </w:tbl>
    <w:p w14:paraId="0F02B06B" w14:textId="77777777" w:rsidR="00F85F9D" w:rsidRPr="00200F84" w:rsidRDefault="00F85F9D" w:rsidP="00F85F9D">
      <w:pPr>
        <w:spacing w:line="360" w:lineRule="auto"/>
        <w:rPr>
          <w:rFonts w:ascii="Arial" w:hAnsi="Arial"/>
          <w:b/>
          <w:bCs/>
          <w:rtl/>
        </w:rPr>
      </w:pPr>
    </w:p>
    <w:p w14:paraId="7536A0E1" w14:textId="77777777" w:rsidR="00F85F9D" w:rsidRPr="00200F84" w:rsidRDefault="00F85F9D" w:rsidP="00F85F9D">
      <w:pPr>
        <w:spacing w:line="360" w:lineRule="auto"/>
        <w:ind w:firstLine="720"/>
        <w:jc w:val="both"/>
        <w:rPr>
          <w:rFonts w:ascii="David" w:hAnsi="David"/>
          <w:b/>
          <w:bCs/>
          <w:rtl/>
        </w:rPr>
      </w:pPr>
      <w:r w:rsidRPr="00200F84">
        <w:rPr>
          <w:rFonts w:ascii="David" w:hAnsi="David"/>
          <w:b/>
          <w:bCs/>
          <w:u w:val="single"/>
          <w:rtl/>
        </w:rPr>
        <w:t>כתב האישום</w:t>
      </w:r>
      <w:r w:rsidRPr="00200F84">
        <w:rPr>
          <w:rFonts w:ascii="David" w:hAnsi="David"/>
          <w:b/>
          <w:bCs/>
          <w:rtl/>
        </w:rPr>
        <w:t>:</w:t>
      </w:r>
    </w:p>
    <w:p w14:paraId="4BC6D7CA" w14:textId="77777777" w:rsidR="00F85F9D" w:rsidRPr="003D1985" w:rsidRDefault="00F85F9D" w:rsidP="00F85F9D">
      <w:pPr>
        <w:pStyle w:val="a9"/>
        <w:numPr>
          <w:ilvl w:val="0"/>
          <w:numId w:val="1"/>
        </w:numPr>
        <w:spacing w:line="360" w:lineRule="auto"/>
        <w:jc w:val="both"/>
        <w:rPr>
          <w:rFonts w:ascii="David" w:hAnsi="David"/>
        </w:rPr>
      </w:pPr>
      <w:bookmarkStart w:id="6" w:name="ABSTRACT_START"/>
      <w:bookmarkEnd w:id="6"/>
      <w:r w:rsidRPr="003D1985">
        <w:rPr>
          <w:rFonts w:ascii="David" w:hAnsi="David"/>
          <w:rtl/>
        </w:rPr>
        <w:t xml:space="preserve">הנאשם הורשע על פי הודאתו, במסגרת הסדר טיעון, בכתב אישום מתוקן המייחס לו עבירות של החזקת נשק, לפי </w:t>
      </w:r>
      <w:hyperlink r:id="rId11" w:history="1">
        <w:r w:rsidR="00BB79F8" w:rsidRPr="00BB79F8">
          <w:rPr>
            <w:rStyle w:val="Hyperlink"/>
            <w:rFonts w:ascii="David" w:hAnsi="David"/>
            <w:rtl/>
          </w:rPr>
          <w:t>סעיף 144(א)</w:t>
        </w:r>
      </w:hyperlink>
      <w:r w:rsidRPr="003D1985">
        <w:rPr>
          <w:rFonts w:ascii="David" w:hAnsi="David"/>
          <w:rtl/>
        </w:rPr>
        <w:t xml:space="preserve"> רישא ל</w:t>
      </w:r>
      <w:hyperlink r:id="rId12" w:history="1">
        <w:r w:rsidR="00D7334B" w:rsidRPr="00D7334B">
          <w:rPr>
            <w:rFonts w:ascii="David" w:hAnsi="David"/>
            <w:color w:val="0000FF"/>
            <w:u w:val="single"/>
            <w:rtl/>
          </w:rPr>
          <w:t>חוק העונשין</w:t>
        </w:r>
      </w:hyperlink>
      <w:r w:rsidRPr="003D1985">
        <w:rPr>
          <w:rFonts w:ascii="David" w:hAnsi="David"/>
          <w:rtl/>
        </w:rPr>
        <w:t xml:space="preserve">, התשל"ז – 1977 (להלן: </w:t>
      </w:r>
      <w:r w:rsidRPr="003D1985">
        <w:rPr>
          <w:rFonts w:ascii="David" w:hAnsi="David"/>
          <w:b/>
          <w:bCs/>
          <w:rtl/>
        </w:rPr>
        <w:t>"חוק העונשין")</w:t>
      </w:r>
      <w:r w:rsidRPr="003D1985">
        <w:rPr>
          <w:rFonts w:ascii="David" w:hAnsi="David"/>
          <w:rtl/>
        </w:rPr>
        <w:t xml:space="preserve">, החזקת נשק בצוותא, לפי </w:t>
      </w:r>
      <w:hyperlink r:id="rId13" w:history="1">
        <w:r w:rsidR="00BB79F8" w:rsidRPr="00BB79F8">
          <w:rPr>
            <w:rStyle w:val="Hyperlink"/>
            <w:rFonts w:ascii="David" w:hAnsi="David"/>
            <w:rtl/>
          </w:rPr>
          <w:t>סעיף 144(א)</w:t>
        </w:r>
      </w:hyperlink>
      <w:r w:rsidRPr="003D1985">
        <w:rPr>
          <w:rFonts w:ascii="David" w:hAnsi="David"/>
          <w:rtl/>
        </w:rPr>
        <w:t xml:space="preserve"> רישא בצירוף </w:t>
      </w:r>
      <w:hyperlink r:id="rId14" w:history="1">
        <w:r w:rsidR="00BB79F8" w:rsidRPr="00BB79F8">
          <w:rPr>
            <w:rStyle w:val="Hyperlink"/>
            <w:rFonts w:ascii="David" w:hAnsi="David"/>
            <w:rtl/>
          </w:rPr>
          <w:t>סעיף 29</w:t>
        </w:r>
      </w:hyperlink>
      <w:r w:rsidRPr="003D1985">
        <w:rPr>
          <w:rFonts w:ascii="David" w:hAnsi="David"/>
          <w:rtl/>
        </w:rPr>
        <w:t xml:space="preserve"> לחוק העונשין והחזקת תחמושת, לפי </w:t>
      </w:r>
      <w:hyperlink r:id="rId15" w:history="1">
        <w:r w:rsidR="00BB79F8" w:rsidRPr="00BB79F8">
          <w:rPr>
            <w:rStyle w:val="Hyperlink"/>
            <w:rFonts w:ascii="David" w:hAnsi="David"/>
            <w:rtl/>
          </w:rPr>
          <w:t>סעיף 144(א)</w:t>
        </w:r>
      </w:hyperlink>
      <w:r w:rsidRPr="003D1985">
        <w:rPr>
          <w:rFonts w:ascii="David" w:hAnsi="David"/>
          <w:rtl/>
        </w:rPr>
        <w:t xml:space="preserve"> סיפא לחוק העונשין. </w:t>
      </w:r>
    </w:p>
    <w:p w14:paraId="26514A8F" w14:textId="77777777" w:rsidR="00F85F9D" w:rsidRPr="003D1985" w:rsidRDefault="00F85F9D" w:rsidP="00F85F9D">
      <w:pPr>
        <w:pStyle w:val="a9"/>
        <w:numPr>
          <w:ilvl w:val="0"/>
          <w:numId w:val="1"/>
        </w:numPr>
        <w:spacing w:line="360" w:lineRule="auto"/>
        <w:jc w:val="both"/>
        <w:rPr>
          <w:rFonts w:ascii="David" w:hAnsi="David"/>
        </w:rPr>
      </w:pPr>
      <w:bookmarkStart w:id="7" w:name="ABSTRACT_END"/>
      <w:bookmarkEnd w:id="7"/>
      <w:r>
        <w:rPr>
          <w:rFonts w:ascii="David" w:hAnsi="David" w:hint="cs"/>
          <w:rtl/>
        </w:rPr>
        <w:t xml:space="preserve">על פי הנטען בכתב האישום, </w:t>
      </w:r>
      <w:r w:rsidRPr="003D1985">
        <w:rPr>
          <w:rFonts w:ascii="David" w:hAnsi="David"/>
          <w:rtl/>
        </w:rPr>
        <w:t>עובר ליום 28.6.2023 במהלך תקופה שא</w:t>
      </w:r>
      <w:r>
        <w:rPr>
          <w:rFonts w:ascii="David" w:hAnsi="David" w:hint="cs"/>
          <w:rtl/>
        </w:rPr>
        <w:t>ו</w:t>
      </w:r>
      <w:r w:rsidRPr="003D1985">
        <w:rPr>
          <w:rFonts w:ascii="David" w:hAnsi="David"/>
          <w:rtl/>
        </w:rPr>
        <w:t>רכה אינו ידוע במדויק למאשימה, החזיק הנאשם בביתו את כלי הנשק ואביזרי הנשק הבאים:</w:t>
      </w:r>
    </w:p>
    <w:p w14:paraId="17A61230" w14:textId="77777777" w:rsidR="00F85F9D" w:rsidRPr="003D1985" w:rsidRDefault="00F85F9D" w:rsidP="00F85F9D">
      <w:pPr>
        <w:pStyle w:val="a9"/>
        <w:numPr>
          <w:ilvl w:val="0"/>
          <w:numId w:val="2"/>
        </w:numPr>
        <w:spacing w:line="360" w:lineRule="auto"/>
        <w:jc w:val="both"/>
        <w:rPr>
          <w:rFonts w:ascii="David" w:hAnsi="David"/>
        </w:rPr>
      </w:pPr>
      <w:r w:rsidRPr="003D1985">
        <w:rPr>
          <w:rFonts w:ascii="David" w:hAnsi="David"/>
          <w:rtl/>
        </w:rPr>
        <w:t xml:space="preserve">אקדח חצי אוטומטי </w:t>
      </w:r>
      <w:r w:rsidRPr="00F85F9D">
        <w:rPr>
          <w:rFonts w:ascii="Calibri" w:hAnsi="Calibri" w:cs="Calibri"/>
        </w:rPr>
        <w:t>GLOCK</w:t>
      </w:r>
      <w:r w:rsidRPr="003D1985">
        <w:rPr>
          <w:rFonts w:ascii="David" w:hAnsi="David"/>
          <w:rtl/>
        </w:rPr>
        <w:t xml:space="preserve"> תוצרת אוסטריה, מודל 27, קליבר 9 מ"מ פאראבלום, מספר סידורי </w:t>
      </w:r>
      <w:r w:rsidRPr="00F85F9D">
        <w:rPr>
          <w:rFonts w:ascii="Calibri" w:hAnsi="Calibri" w:cs="Calibri"/>
        </w:rPr>
        <w:t>CUY815US</w:t>
      </w:r>
      <w:r w:rsidRPr="003D1985">
        <w:rPr>
          <w:rFonts w:ascii="David" w:hAnsi="David"/>
          <w:rtl/>
        </w:rPr>
        <w:t xml:space="preserve"> (הערה – על הצינה והקנה מספר סידורי שונה).</w:t>
      </w:r>
    </w:p>
    <w:p w14:paraId="591484CB" w14:textId="77777777" w:rsidR="00F85F9D" w:rsidRPr="003D1985" w:rsidRDefault="00F85F9D" w:rsidP="00F85F9D">
      <w:pPr>
        <w:pStyle w:val="a9"/>
        <w:numPr>
          <w:ilvl w:val="0"/>
          <w:numId w:val="2"/>
        </w:numPr>
        <w:spacing w:line="360" w:lineRule="auto"/>
        <w:jc w:val="both"/>
        <w:rPr>
          <w:rFonts w:ascii="David" w:hAnsi="David"/>
        </w:rPr>
      </w:pPr>
      <w:r w:rsidRPr="003D1985">
        <w:rPr>
          <w:rFonts w:ascii="David" w:hAnsi="David"/>
          <w:rtl/>
        </w:rPr>
        <w:lastRenderedPageBreak/>
        <w:t xml:space="preserve">אקדח חצי אוטומטי </w:t>
      </w:r>
      <w:r w:rsidRPr="00F85F9D">
        <w:rPr>
          <w:rFonts w:ascii="Calibri" w:hAnsi="Calibri" w:cs="Calibri"/>
        </w:rPr>
        <w:t>GLOCK</w:t>
      </w:r>
      <w:r w:rsidRPr="003D1985">
        <w:rPr>
          <w:rFonts w:ascii="David" w:hAnsi="David"/>
          <w:rtl/>
        </w:rPr>
        <w:t xml:space="preserve"> תוצרת אוסטריה, מודל 4 </w:t>
      </w:r>
      <w:r w:rsidRPr="00F85F9D">
        <w:rPr>
          <w:rFonts w:ascii="Calibri" w:hAnsi="Calibri" w:cs="Calibri"/>
        </w:rPr>
        <w:t>gen</w:t>
      </w:r>
      <w:r w:rsidRPr="003D1985">
        <w:rPr>
          <w:rFonts w:ascii="David" w:hAnsi="David"/>
          <w:rtl/>
        </w:rPr>
        <w:t xml:space="preserve"> 17, קליבר 9 מ"מ פאראבלום, מספר סידורי </w:t>
      </w:r>
      <w:r w:rsidRPr="00F85F9D">
        <w:rPr>
          <w:rFonts w:ascii="Calibri" w:hAnsi="Calibri" w:cs="Calibri"/>
        </w:rPr>
        <w:t>BACF474</w:t>
      </w:r>
      <w:r w:rsidRPr="003D1985">
        <w:rPr>
          <w:rFonts w:ascii="David" w:hAnsi="David"/>
          <w:rtl/>
        </w:rPr>
        <w:t xml:space="preserve"> (הערה- על הנשק מורכב התקן לירי באוטומט).</w:t>
      </w:r>
    </w:p>
    <w:p w14:paraId="033732EC" w14:textId="77777777" w:rsidR="00F85F9D" w:rsidRPr="003D1985" w:rsidRDefault="00F85F9D" w:rsidP="00F85F9D">
      <w:pPr>
        <w:pStyle w:val="a9"/>
        <w:numPr>
          <w:ilvl w:val="0"/>
          <w:numId w:val="2"/>
        </w:numPr>
        <w:spacing w:line="360" w:lineRule="auto"/>
        <w:jc w:val="both"/>
        <w:rPr>
          <w:rFonts w:ascii="David" w:hAnsi="David"/>
        </w:rPr>
      </w:pPr>
      <w:r w:rsidRPr="003D1985">
        <w:rPr>
          <w:rFonts w:ascii="David" w:hAnsi="David"/>
          <w:rtl/>
        </w:rPr>
        <w:t>6 קופסאות תחמושת מסוג 9 מ"מ, וסה"כ בהן 255 כדורי תחמושת.</w:t>
      </w:r>
    </w:p>
    <w:p w14:paraId="77A92CAC" w14:textId="77777777" w:rsidR="00F85F9D" w:rsidRPr="003D1985" w:rsidRDefault="00F85F9D" w:rsidP="00F85F9D">
      <w:pPr>
        <w:spacing w:line="360" w:lineRule="auto"/>
        <w:jc w:val="both"/>
        <w:rPr>
          <w:rFonts w:ascii="David" w:hAnsi="David"/>
          <w:rtl/>
        </w:rPr>
      </w:pPr>
    </w:p>
    <w:p w14:paraId="3023B162" w14:textId="77777777" w:rsidR="00F85F9D" w:rsidRDefault="00F85F9D" w:rsidP="00F85F9D">
      <w:pPr>
        <w:spacing w:line="360" w:lineRule="auto"/>
        <w:jc w:val="both"/>
        <w:rPr>
          <w:rFonts w:ascii="David" w:hAnsi="David"/>
          <w:b/>
          <w:bCs/>
          <w:rtl/>
        </w:rPr>
      </w:pPr>
    </w:p>
    <w:p w14:paraId="6458C08F" w14:textId="77777777" w:rsidR="00F85F9D" w:rsidRDefault="00F85F9D" w:rsidP="00F85F9D">
      <w:pPr>
        <w:spacing w:line="360" w:lineRule="auto"/>
        <w:jc w:val="both"/>
        <w:rPr>
          <w:rFonts w:ascii="David" w:hAnsi="David"/>
          <w:b/>
          <w:bCs/>
          <w:rtl/>
        </w:rPr>
      </w:pPr>
    </w:p>
    <w:p w14:paraId="3BE0247D" w14:textId="77777777" w:rsidR="00F85F9D" w:rsidRPr="003D1985" w:rsidRDefault="00F85F9D" w:rsidP="00F85F9D">
      <w:pPr>
        <w:spacing w:line="360" w:lineRule="auto"/>
        <w:ind w:firstLine="720"/>
        <w:jc w:val="both"/>
        <w:rPr>
          <w:rFonts w:ascii="David" w:hAnsi="David"/>
          <w:b/>
          <w:bCs/>
          <w:rtl/>
        </w:rPr>
      </w:pPr>
      <w:r w:rsidRPr="00200F84">
        <w:rPr>
          <w:rFonts w:ascii="David" w:hAnsi="David"/>
          <w:b/>
          <w:bCs/>
          <w:u w:val="single"/>
          <w:rtl/>
        </w:rPr>
        <w:t>תסקיר שירות המבחן</w:t>
      </w:r>
      <w:r w:rsidRPr="003D1985">
        <w:rPr>
          <w:rFonts w:ascii="David" w:hAnsi="David"/>
          <w:b/>
          <w:bCs/>
          <w:rtl/>
        </w:rPr>
        <w:t>:</w:t>
      </w:r>
    </w:p>
    <w:p w14:paraId="20E49086" w14:textId="77777777" w:rsidR="00F85F9D" w:rsidRDefault="00F85F9D" w:rsidP="00F85F9D">
      <w:pPr>
        <w:pStyle w:val="a9"/>
        <w:numPr>
          <w:ilvl w:val="0"/>
          <w:numId w:val="1"/>
        </w:numPr>
        <w:spacing w:line="360" w:lineRule="auto"/>
        <w:jc w:val="both"/>
        <w:rPr>
          <w:rFonts w:ascii="David" w:hAnsi="David"/>
        </w:rPr>
      </w:pPr>
      <w:r>
        <w:rPr>
          <w:rFonts w:ascii="David" w:hAnsi="David" w:hint="cs"/>
          <w:rtl/>
        </w:rPr>
        <w:t xml:space="preserve">ביום 26.4.2024 הוגש תסקיר מטעם שירות המבחן בו תואר הנאשם כבן 27, נשוי ואב לתינוקת, טרם מעצרו התגורר עם אשתו בביתם באבו גוש ועבד כמנהל שירות בחברת אוטובוסים. </w:t>
      </w:r>
    </w:p>
    <w:p w14:paraId="7B893899" w14:textId="77777777" w:rsidR="00F85F9D" w:rsidRDefault="00F85F9D" w:rsidP="00F85F9D">
      <w:pPr>
        <w:pStyle w:val="a9"/>
        <w:numPr>
          <w:ilvl w:val="0"/>
          <w:numId w:val="1"/>
        </w:numPr>
        <w:spacing w:line="360" w:lineRule="auto"/>
        <w:jc w:val="both"/>
        <w:rPr>
          <w:rFonts w:ascii="David" w:hAnsi="David"/>
        </w:rPr>
      </w:pPr>
      <w:r>
        <w:rPr>
          <w:rFonts w:ascii="David" w:hAnsi="David" w:hint="cs"/>
          <w:rtl/>
        </w:rPr>
        <w:t>הנאשם גדל בבית חם ואוהב להורים ואחים נורמטיביים, סיים 12 שנות לימוד עם בגרות מלאה ובעל תעודת מקצוע של הנדסאי מכונות. הנאשם שיתף כי נישא לאשתו לפני כשנתיים ויחסיהם טובים ומכבדים, והוא מתנדב במשטרת ישראל כשוטר סיור מאז שנת 2015.</w:t>
      </w:r>
    </w:p>
    <w:p w14:paraId="5A4D3034" w14:textId="77777777" w:rsidR="00F85F9D" w:rsidRDefault="00F85F9D" w:rsidP="00F85F9D">
      <w:pPr>
        <w:pStyle w:val="a9"/>
        <w:numPr>
          <w:ilvl w:val="0"/>
          <w:numId w:val="1"/>
        </w:numPr>
        <w:spacing w:line="360" w:lineRule="auto"/>
        <w:jc w:val="both"/>
        <w:rPr>
          <w:rFonts w:ascii="David" w:hAnsi="David"/>
        </w:rPr>
      </w:pPr>
      <w:r>
        <w:rPr>
          <w:rFonts w:ascii="David" w:hAnsi="David" w:hint="cs"/>
          <w:rtl/>
        </w:rPr>
        <w:t>שירות המבחן מסר, כי תחילה הנאשם נרתע משהותו בבית המעצר, אך כעת הסתגל לתנאי מעצרו ואף החל לעבור הליך טיפולי בין כתליו. לדבריו, הוא נוטל חלק בתוכניות חינוך ותוכניות טיפוליות. הנאשם מסר, כי הוא חש בושה ממשפחתו ואף ביקש בשלב כלשהו להשתחרר למעצר בית בבית הוריו, אך להתרשמותו של שירות המבחן מקום הפיקוח קרוב גאוגרפית למקום בו בוצעה העבירה והדבר יטשטש לנאשם את חומרת העבירה וישיבו ככל הנראה למקום בעל קשרים בעייתיים.</w:t>
      </w:r>
    </w:p>
    <w:p w14:paraId="5E3F2703" w14:textId="77777777" w:rsidR="00F85F9D" w:rsidRDefault="00F85F9D" w:rsidP="00F85F9D">
      <w:pPr>
        <w:pStyle w:val="a9"/>
        <w:numPr>
          <w:ilvl w:val="0"/>
          <w:numId w:val="1"/>
        </w:numPr>
        <w:spacing w:line="360" w:lineRule="auto"/>
        <w:jc w:val="both"/>
        <w:rPr>
          <w:rFonts w:ascii="David" w:hAnsi="David"/>
        </w:rPr>
      </w:pPr>
      <w:r>
        <w:rPr>
          <w:rFonts w:ascii="David" w:hAnsi="David" w:hint="cs"/>
          <w:rtl/>
        </w:rPr>
        <w:t>באשר לעבירות מסר הנאשם, כי הן בוצעו על רקע עזרה לחבר אשר ביקש ממנו לשמור על כלי הנשק אשר הוחזקו באופן לא חוקי. להערכת שירות המבחן, לנאשם דימוי עצמי נמוך ועל כן הוא מנסה לרצות את סביבתו מבלי לשקול לעומק את השלכות מעשיו. בנוסף, הנאשם טשטש מחומרת העבירות ולא נטל אחריות מלאה על המעשים.</w:t>
      </w:r>
    </w:p>
    <w:p w14:paraId="37C87C0D" w14:textId="77777777" w:rsidR="00F85F9D" w:rsidRDefault="00F85F9D" w:rsidP="00F85F9D">
      <w:pPr>
        <w:pStyle w:val="a9"/>
        <w:numPr>
          <w:ilvl w:val="0"/>
          <w:numId w:val="1"/>
        </w:numPr>
        <w:spacing w:line="360" w:lineRule="auto"/>
        <w:jc w:val="both"/>
        <w:rPr>
          <w:rFonts w:ascii="David" w:hAnsi="David"/>
        </w:rPr>
      </w:pPr>
      <w:r>
        <w:rPr>
          <w:rFonts w:ascii="David" w:hAnsi="David" w:hint="cs"/>
          <w:rtl/>
        </w:rPr>
        <w:t xml:space="preserve">שירות המבחן התרשם, כי הנאשם צמח במסגרת משפחתית בעלת מערכת ערכים נורמטיבית, והביע רצון לניהול חיים נורמטיביים, מנגד, הנאשם צמצם מחומרת המעשים, מבלי שביטא הבנה ואחריות לחומרת המעשה. </w:t>
      </w:r>
    </w:p>
    <w:p w14:paraId="214BD006" w14:textId="77777777" w:rsidR="00F85F9D" w:rsidRDefault="00F85F9D" w:rsidP="00F85F9D">
      <w:pPr>
        <w:pStyle w:val="a9"/>
        <w:numPr>
          <w:ilvl w:val="0"/>
          <w:numId w:val="1"/>
        </w:numPr>
        <w:spacing w:line="360" w:lineRule="auto"/>
        <w:jc w:val="both"/>
        <w:rPr>
          <w:rFonts w:ascii="David" w:hAnsi="David"/>
        </w:rPr>
      </w:pPr>
      <w:r>
        <w:rPr>
          <w:rFonts w:ascii="David" w:hAnsi="David" w:hint="cs"/>
          <w:rtl/>
        </w:rPr>
        <w:t>לאור האמור, שירות המבחן המליץ להטיל על הנאשם מאסר בפועל לצד שילובו במחלקה טיפולית על מנת שיוכל להשלים את הליך השיקום בו החל במעצר.</w:t>
      </w:r>
    </w:p>
    <w:p w14:paraId="74782CBA" w14:textId="77777777" w:rsidR="00F85F9D" w:rsidRPr="002008F0" w:rsidRDefault="00F85F9D" w:rsidP="00F85F9D">
      <w:pPr>
        <w:spacing w:line="360" w:lineRule="auto"/>
        <w:jc w:val="both"/>
        <w:rPr>
          <w:rFonts w:ascii="David" w:hAnsi="David"/>
          <w:rtl/>
        </w:rPr>
      </w:pPr>
    </w:p>
    <w:p w14:paraId="4158BE67" w14:textId="77777777" w:rsidR="00F85F9D" w:rsidRPr="001F4709" w:rsidRDefault="00F85F9D" w:rsidP="00F85F9D">
      <w:pPr>
        <w:spacing w:line="360" w:lineRule="auto"/>
        <w:ind w:firstLine="720"/>
        <w:jc w:val="both"/>
        <w:rPr>
          <w:rFonts w:ascii="David" w:hAnsi="David"/>
          <w:b/>
          <w:bCs/>
          <w:rtl/>
        </w:rPr>
      </w:pPr>
      <w:r w:rsidRPr="002008F0">
        <w:rPr>
          <w:rFonts w:ascii="David" w:hAnsi="David" w:hint="cs"/>
          <w:b/>
          <w:bCs/>
          <w:u w:val="single"/>
          <w:rtl/>
        </w:rPr>
        <w:t>תמצית טיעוני הצדדים</w:t>
      </w:r>
      <w:r w:rsidRPr="001F4709">
        <w:rPr>
          <w:rFonts w:ascii="David" w:hAnsi="David" w:hint="cs"/>
          <w:b/>
          <w:bCs/>
          <w:rtl/>
        </w:rPr>
        <w:t>:</w:t>
      </w:r>
    </w:p>
    <w:p w14:paraId="048D3F60" w14:textId="77777777" w:rsidR="00F85F9D" w:rsidRDefault="00F85F9D" w:rsidP="00F85F9D">
      <w:pPr>
        <w:pStyle w:val="a9"/>
        <w:numPr>
          <w:ilvl w:val="0"/>
          <w:numId w:val="1"/>
        </w:numPr>
        <w:spacing w:line="360" w:lineRule="auto"/>
        <w:jc w:val="both"/>
        <w:rPr>
          <w:rFonts w:ascii="David" w:hAnsi="David"/>
        </w:rPr>
      </w:pPr>
      <w:r>
        <w:rPr>
          <w:rFonts w:ascii="David" w:hAnsi="David" w:hint="cs"/>
          <w:rtl/>
        </w:rPr>
        <w:t>המאשימה הפנתה בטיעוניה לנסיבות האירוע כמפורט בכתב האישום, חומרת העבירות, וכן פוטנציאל הסיכון הטמון בהן. צוין, כי כלי נשק עלול לשמש לביצוע עבירות פליליות או אף ביצוע מעשי טרור.</w:t>
      </w:r>
    </w:p>
    <w:p w14:paraId="39C50411" w14:textId="77777777" w:rsidR="00F85F9D" w:rsidRDefault="00F85F9D" w:rsidP="00F85F9D">
      <w:pPr>
        <w:pStyle w:val="a9"/>
        <w:numPr>
          <w:ilvl w:val="0"/>
          <w:numId w:val="1"/>
        </w:numPr>
        <w:spacing w:line="360" w:lineRule="auto"/>
        <w:jc w:val="both"/>
        <w:rPr>
          <w:rFonts w:ascii="David" w:hAnsi="David"/>
        </w:rPr>
      </w:pPr>
      <w:r>
        <w:rPr>
          <w:rFonts w:ascii="David" w:hAnsi="David" w:hint="cs"/>
          <w:rtl/>
        </w:rPr>
        <w:lastRenderedPageBreak/>
        <w:t xml:space="preserve">לדבריה, בנסיבות בהן הנאשם התנדב למשטרת ישראל החל משנת 2015, היה עליו להיות מודע ביתר שאת, לסיכונים הכרוכים בהחזקת נשק שלא כדין. בנוסף ציינה, כי הנאשם לא נטל אחריות מלאה על מעשיו, אלא השליכה על אחרים, הפחית מחומרתם, ואף רואה עצמו קורבן. </w:t>
      </w:r>
    </w:p>
    <w:p w14:paraId="5639D0DF" w14:textId="77777777" w:rsidR="00F85F9D" w:rsidRDefault="00F85F9D" w:rsidP="00F85F9D">
      <w:pPr>
        <w:pStyle w:val="a9"/>
        <w:numPr>
          <w:ilvl w:val="0"/>
          <w:numId w:val="1"/>
        </w:numPr>
        <w:spacing w:line="360" w:lineRule="auto"/>
        <w:jc w:val="both"/>
        <w:rPr>
          <w:rFonts w:ascii="David" w:hAnsi="David"/>
        </w:rPr>
      </w:pPr>
      <w:r>
        <w:rPr>
          <w:rFonts w:ascii="David" w:hAnsi="David" w:hint="cs"/>
          <w:rtl/>
        </w:rPr>
        <w:t>בהתאם לפסיקה אותה הגישה, ביקשה לקבוע מתחם עונש הולם החל מ-28 חודשים ועד 50 חודשים. לקולא, ביקשה להביא במסגרת שיקולי הענישה את הודאת הנאשם, העדר רישום פלילי, וחיסכון בזמן שיפוטי. את עונשו ביקשה לקבוע בתחתית מתחם העונש ההולם, כך שיוטלו עליו 32 חודשי מאסר לצד ענישה נלווית.</w:t>
      </w:r>
    </w:p>
    <w:p w14:paraId="030EECE8" w14:textId="77777777" w:rsidR="00F85F9D" w:rsidRDefault="00F85F9D" w:rsidP="00F85F9D">
      <w:pPr>
        <w:pStyle w:val="a9"/>
        <w:numPr>
          <w:ilvl w:val="0"/>
          <w:numId w:val="1"/>
        </w:numPr>
        <w:spacing w:line="360" w:lineRule="auto"/>
        <w:jc w:val="both"/>
        <w:rPr>
          <w:rFonts w:ascii="David" w:hAnsi="David"/>
        </w:rPr>
      </w:pPr>
      <w:r w:rsidRPr="000E2AA0">
        <w:rPr>
          <w:rFonts w:ascii="David" w:hAnsi="David" w:hint="cs"/>
          <w:rtl/>
        </w:rPr>
        <w:t xml:space="preserve">ב"כ הנאשם הפנה לנסיבותיו האישיות של הנאשם: היותו בחור צעיר, נשוי ואב לתינוקת, </w:t>
      </w:r>
      <w:r>
        <w:rPr>
          <w:rFonts w:ascii="David" w:hAnsi="David" w:hint="cs"/>
          <w:rtl/>
        </w:rPr>
        <w:t>ו</w:t>
      </w:r>
      <w:r w:rsidRPr="000E2AA0">
        <w:rPr>
          <w:rFonts w:ascii="David" w:hAnsi="David" w:hint="cs"/>
          <w:rtl/>
        </w:rPr>
        <w:t xml:space="preserve">היותו נעדר רישום פלילי. הוסף, כי הנאשם גדל בבית נורמטיבי וגילה יציבות תעסוקתית משך שנים רבות. עוד ציין, כי הנאשם נטל אחריות בבית המשפט, חסך זמן שיפוטי ושיתף פעולה עם שירות המבחן וכן בהליך הטיפולי במסגרת הליכי המעצר. לדעת ב"כ הנאשם, </w:t>
      </w:r>
      <w:r>
        <w:rPr>
          <w:rFonts w:ascii="David" w:hAnsi="David" w:hint="cs"/>
          <w:rtl/>
        </w:rPr>
        <w:t xml:space="preserve">יש לקבוע את המתחם </w:t>
      </w:r>
      <w:r w:rsidRPr="000E2AA0">
        <w:rPr>
          <w:rFonts w:ascii="David" w:hAnsi="David" w:hint="cs"/>
          <w:rtl/>
        </w:rPr>
        <w:t>החל מ-12 חודשים ועד 18 חודשים, ו</w:t>
      </w:r>
      <w:r>
        <w:rPr>
          <w:rFonts w:ascii="David" w:hAnsi="David" w:hint="cs"/>
          <w:rtl/>
        </w:rPr>
        <w:t xml:space="preserve">את עונשו של הנאשם </w:t>
      </w:r>
      <w:r w:rsidRPr="000E2AA0">
        <w:rPr>
          <w:rFonts w:ascii="David" w:hAnsi="David" w:hint="cs"/>
          <w:rtl/>
        </w:rPr>
        <w:t>לקבוע בתחתית</w:t>
      </w:r>
      <w:r>
        <w:rPr>
          <w:rFonts w:ascii="David" w:hAnsi="David" w:hint="cs"/>
          <w:rtl/>
        </w:rPr>
        <w:t>ו של</w:t>
      </w:r>
      <w:r w:rsidRPr="000E2AA0">
        <w:rPr>
          <w:rFonts w:ascii="David" w:hAnsi="David" w:hint="cs"/>
          <w:rtl/>
        </w:rPr>
        <w:t xml:space="preserve"> מתחם </w:t>
      </w:r>
      <w:r>
        <w:rPr>
          <w:rFonts w:ascii="David" w:hAnsi="David" w:hint="cs"/>
          <w:rtl/>
        </w:rPr>
        <w:t>זה</w:t>
      </w:r>
      <w:r w:rsidRPr="000E2AA0">
        <w:rPr>
          <w:rFonts w:ascii="David" w:hAnsi="David" w:hint="cs"/>
          <w:rtl/>
        </w:rPr>
        <w:t>.</w:t>
      </w:r>
    </w:p>
    <w:p w14:paraId="6EA3375A" w14:textId="77777777" w:rsidR="00F85F9D" w:rsidRPr="000E2AA0" w:rsidRDefault="00F85F9D" w:rsidP="00F85F9D">
      <w:pPr>
        <w:pStyle w:val="a9"/>
        <w:spacing w:line="360" w:lineRule="auto"/>
        <w:jc w:val="both"/>
        <w:rPr>
          <w:rFonts w:ascii="David" w:hAnsi="David"/>
        </w:rPr>
      </w:pPr>
    </w:p>
    <w:p w14:paraId="068F64F2" w14:textId="77777777" w:rsidR="00F85F9D" w:rsidRPr="00E11D5A" w:rsidRDefault="00F85F9D" w:rsidP="00F85F9D">
      <w:pPr>
        <w:spacing w:line="360" w:lineRule="auto"/>
        <w:ind w:left="360" w:firstLine="360"/>
        <w:jc w:val="both"/>
        <w:rPr>
          <w:rFonts w:ascii="David" w:hAnsi="David"/>
          <w:b/>
          <w:bCs/>
          <w:rtl/>
        </w:rPr>
      </w:pPr>
      <w:r w:rsidRPr="00E11D5A">
        <w:rPr>
          <w:rFonts w:ascii="David" w:hAnsi="David" w:hint="cs"/>
          <w:b/>
          <w:bCs/>
          <w:u w:val="single"/>
          <w:rtl/>
        </w:rPr>
        <w:t>דיון</w:t>
      </w:r>
      <w:r w:rsidRPr="00E11D5A">
        <w:rPr>
          <w:rFonts w:ascii="David" w:hAnsi="David" w:hint="cs"/>
          <w:b/>
          <w:bCs/>
          <w:rtl/>
        </w:rPr>
        <w:t>:</w:t>
      </w:r>
    </w:p>
    <w:p w14:paraId="46205C06" w14:textId="77777777" w:rsidR="00F85F9D" w:rsidRPr="005204AF" w:rsidRDefault="00F85F9D" w:rsidP="00F85F9D">
      <w:pPr>
        <w:pStyle w:val="a9"/>
        <w:numPr>
          <w:ilvl w:val="0"/>
          <w:numId w:val="1"/>
        </w:numPr>
        <w:spacing w:line="360" w:lineRule="auto"/>
        <w:jc w:val="both"/>
        <w:rPr>
          <w:rFonts w:ascii="David" w:hAnsi="David"/>
        </w:rPr>
      </w:pPr>
      <w:r w:rsidRPr="005204AF">
        <w:rPr>
          <w:rFonts w:ascii="David" w:hAnsi="David"/>
          <w:rtl/>
        </w:rPr>
        <w:t xml:space="preserve">הערך החברתי המוגן העומד בבסיס עבירות הנשק הינו </w:t>
      </w:r>
      <w:r w:rsidRPr="005204AF">
        <w:rPr>
          <w:rFonts w:ascii="David" w:hAnsi="David" w:hint="cs"/>
          <w:rtl/>
        </w:rPr>
        <w:t>ידוע והוא נעוץ ב</w:t>
      </w:r>
      <w:r w:rsidRPr="005204AF">
        <w:rPr>
          <w:rFonts w:ascii="David" w:hAnsi="David"/>
          <w:rtl/>
        </w:rPr>
        <w:t>הגנה על שלום הציבור וביטחונו. בעבירות מסוג זה, גלום סיכון רב לשימוש בנשק שאינו חוקי על ידי המחזיק בו לצורך ביצוען של עבירות פליליות, והוא עלול להגיע לגורמים עברייניים העוסקים בפעילות פלילית, או אף חמור מכך, לביצוע עבירות ביטחון.</w:t>
      </w:r>
    </w:p>
    <w:p w14:paraId="6277304A" w14:textId="77777777" w:rsidR="00F85F9D" w:rsidRPr="005204AF" w:rsidRDefault="00F85F9D" w:rsidP="00F85F9D">
      <w:pPr>
        <w:pStyle w:val="a9"/>
        <w:numPr>
          <w:ilvl w:val="0"/>
          <w:numId w:val="1"/>
        </w:numPr>
        <w:spacing w:line="360" w:lineRule="auto"/>
        <w:jc w:val="both"/>
        <w:rPr>
          <w:rFonts w:ascii="David" w:hAnsi="David"/>
        </w:rPr>
      </w:pPr>
      <w:r w:rsidRPr="005204AF">
        <w:rPr>
          <w:rFonts w:ascii="David" w:hAnsi="David"/>
          <w:rtl/>
        </w:rPr>
        <w:t xml:space="preserve">בענייננו, רף החומרה שבמעשה הינו גבוה, שכן המדובר בהחזקה של </w:t>
      </w:r>
      <w:r w:rsidRPr="005204AF">
        <w:rPr>
          <w:rFonts w:ascii="David" w:hAnsi="David" w:hint="cs"/>
          <w:rtl/>
        </w:rPr>
        <w:t xml:space="preserve">שני אקדחים מסוג </w:t>
      </w:r>
      <w:r w:rsidRPr="005204AF">
        <w:rPr>
          <w:rFonts w:ascii="David" w:hAnsi="David"/>
          <w:rtl/>
        </w:rPr>
        <w:t xml:space="preserve">חצי אוטומטי </w:t>
      </w:r>
      <w:r w:rsidRPr="00F85F9D">
        <w:rPr>
          <w:rFonts w:ascii="Calibri" w:hAnsi="Calibri" w:cs="Calibri"/>
        </w:rPr>
        <w:t>GLOCK</w:t>
      </w:r>
      <w:r w:rsidRPr="005204AF">
        <w:rPr>
          <w:rFonts w:ascii="David" w:hAnsi="David"/>
          <w:rtl/>
        </w:rPr>
        <w:t xml:space="preserve"> תוצרת אוסטריה, קליבר 9 מ"מ פאראבלום</w:t>
      </w:r>
      <w:r w:rsidRPr="005204AF">
        <w:rPr>
          <w:rFonts w:ascii="David" w:hAnsi="David" w:hint="cs"/>
          <w:rtl/>
        </w:rPr>
        <w:t xml:space="preserve"> שבכוחם להמית אדם וכמות משמעותית של 255 כדורי תחמושת מסוג 9 מ"מ.</w:t>
      </w:r>
    </w:p>
    <w:p w14:paraId="1184661F" w14:textId="77777777" w:rsidR="00F85F9D" w:rsidRPr="005204AF" w:rsidRDefault="00F85F9D" w:rsidP="00F85F9D">
      <w:pPr>
        <w:pStyle w:val="a9"/>
        <w:numPr>
          <w:ilvl w:val="0"/>
          <w:numId w:val="1"/>
        </w:numPr>
        <w:spacing w:line="360" w:lineRule="auto"/>
        <w:jc w:val="both"/>
        <w:rPr>
          <w:rFonts w:ascii="David" w:hAnsi="David"/>
        </w:rPr>
      </w:pPr>
      <w:r w:rsidRPr="005204AF">
        <w:rPr>
          <w:rFonts w:ascii="David" w:hAnsi="David"/>
          <w:rtl/>
        </w:rPr>
        <w:t xml:space="preserve">במסגרת </w:t>
      </w:r>
      <w:hyperlink r:id="rId16" w:history="1">
        <w:r w:rsidR="00D7334B" w:rsidRPr="00D7334B">
          <w:rPr>
            <w:rFonts w:ascii="David" w:hAnsi="David"/>
            <w:color w:val="0000FF"/>
            <w:u w:val="single"/>
            <w:rtl/>
          </w:rPr>
          <w:t>רע"פ 5613/20</w:t>
        </w:r>
      </w:hyperlink>
      <w:r w:rsidRPr="005204AF">
        <w:rPr>
          <w:rFonts w:ascii="David" w:hAnsi="David"/>
          <w:rtl/>
        </w:rPr>
        <w:t xml:space="preserve"> </w:t>
      </w:r>
      <w:r w:rsidRPr="005204AF">
        <w:rPr>
          <w:rFonts w:ascii="David" w:hAnsi="David"/>
          <w:b/>
          <w:bCs/>
          <w:rtl/>
        </w:rPr>
        <w:t>אלהוזייל נגד מדינת ישראל</w:t>
      </w:r>
      <w:r w:rsidRPr="005204AF">
        <w:rPr>
          <w:rFonts w:ascii="David" w:hAnsi="David"/>
          <w:rtl/>
        </w:rPr>
        <w:t xml:space="preserve"> (נבו 25.8.2020) ציין בית המשפט את הדברים הבאים:</w:t>
      </w:r>
    </w:p>
    <w:p w14:paraId="1F4E6192" w14:textId="77777777" w:rsidR="00F85F9D" w:rsidRPr="0029419A" w:rsidRDefault="00F85F9D" w:rsidP="00F85F9D">
      <w:pPr>
        <w:pStyle w:val="a9"/>
        <w:spacing w:line="360" w:lineRule="auto"/>
        <w:jc w:val="both"/>
        <w:rPr>
          <w:rFonts w:ascii="David" w:hAnsi="David"/>
          <w:sz w:val="22"/>
          <w:szCs w:val="22"/>
          <w:rtl/>
        </w:rPr>
      </w:pPr>
      <w:r w:rsidRPr="00FA38FD">
        <w:rPr>
          <w:rFonts w:ascii="David" w:hAnsi="David"/>
          <w:sz w:val="22"/>
          <w:szCs w:val="22"/>
          <w:rt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7" w:history="1">
        <w:r w:rsidR="00D7334B" w:rsidRPr="00D7334B">
          <w:rPr>
            <w:rFonts w:ascii="David" w:hAnsi="David"/>
            <w:color w:val="0000FF"/>
            <w:sz w:val="22"/>
            <w:szCs w:val="22"/>
            <w:u w:val="single"/>
            <w:rtl/>
          </w:rPr>
          <w:t>ע"פ 4406/19</w:t>
        </w:r>
      </w:hyperlink>
      <w:r w:rsidRPr="00FA38FD">
        <w:rPr>
          <w:rFonts w:ascii="David" w:hAnsi="David"/>
          <w:sz w:val="22"/>
          <w:szCs w:val="22"/>
          <w:rtl/>
        </w:rPr>
        <w:t xml:space="preserve"> </w:t>
      </w:r>
      <w:r w:rsidRPr="00FA38FD">
        <w:rPr>
          <w:rFonts w:ascii="David" w:hAnsi="David"/>
          <w:b/>
          <w:bCs/>
          <w:sz w:val="22"/>
          <w:szCs w:val="22"/>
          <w:rtl/>
        </w:rPr>
        <w:t>מדינת ישראל נ' סובח,</w:t>
      </w:r>
      <w:r w:rsidRPr="00FA38FD">
        <w:rPr>
          <w:rFonts w:ascii="David" w:hAnsi="David" w:hint="cs"/>
          <w:sz w:val="22"/>
          <w:szCs w:val="22"/>
          <w:rtl/>
        </w:rPr>
        <w:t xml:space="preserve"> </w:t>
      </w:r>
      <w:r w:rsidRPr="00FA38FD">
        <w:rPr>
          <w:rFonts w:ascii="David" w:hAnsi="David"/>
          <w:sz w:val="22"/>
          <w:szCs w:val="22"/>
          <w:rtl/>
        </w:rPr>
        <w:t xml:space="preserve">פסקאות 16–17 לחוות דעתי (נבו 5.11.2019); </w:t>
      </w:r>
      <w:hyperlink r:id="rId18" w:history="1">
        <w:r w:rsidR="00D7334B" w:rsidRPr="00D7334B">
          <w:rPr>
            <w:rFonts w:ascii="David" w:hAnsi="David"/>
            <w:color w:val="0000FF"/>
            <w:sz w:val="22"/>
            <w:szCs w:val="22"/>
            <w:u w:val="single"/>
            <w:rtl/>
          </w:rPr>
          <w:t>רע"פ 7344/18</w:t>
        </w:r>
      </w:hyperlink>
      <w:r w:rsidRPr="00FA38FD">
        <w:rPr>
          <w:rFonts w:ascii="David" w:hAnsi="David"/>
          <w:sz w:val="22"/>
          <w:szCs w:val="22"/>
          <w:rtl/>
        </w:rPr>
        <w:t xml:space="preserve"> </w:t>
      </w:r>
      <w:r w:rsidRPr="00FA38FD">
        <w:rPr>
          <w:rFonts w:ascii="David" w:hAnsi="David"/>
          <w:b/>
          <w:bCs/>
          <w:sz w:val="22"/>
          <w:szCs w:val="22"/>
          <w:rtl/>
        </w:rPr>
        <w:t>מג'יד נ' מדינת ישראל</w:t>
      </w:r>
      <w:r w:rsidRPr="00FA38FD">
        <w:rPr>
          <w:rFonts w:ascii="David" w:hAnsi="David"/>
          <w:sz w:val="22"/>
          <w:szCs w:val="22"/>
          <w:rtl/>
        </w:rPr>
        <w:t>, פסקה 10 (נבו 21.10.2018))".</w:t>
      </w:r>
    </w:p>
    <w:p w14:paraId="1D01DB42" w14:textId="77777777" w:rsidR="00F85F9D" w:rsidRPr="000E2AA0" w:rsidRDefault="00F85F9D" w:rsidP="00F85F9D">
      <w:pPr>
        <w:spacing w:line="360" w:lineRule="auto"/>
        <w:ind w:left="360" w:firstLine="360"/>
        <w:jc w:val="both"/>
        <w:rPr>
          <w:rFonts w:ascii="David" w:hAnsi="David"/>
        </w:rPr>
      </w:pPr>
      <w:r w:rsidRPr="000E2AA0">
        <w:rPr>
          <w:rFonts w:ascii="David" w:hAnsi="David"/>
          <w:rtl/>
        </w:rPr>
        <w:t xml:space="preserve">וראו גם: </w:t>
      </w:r>
      <w:hyperlink r:id="rId19" w:history="1">
        <w:r w:rsidR="00D7334B" w:rsidRPr="00D7334B">
          <w:rPr>
            <w:rFonts w:ascii="David" w:hAnsi="David"/>
            <w:color w:val="0000FF"/>
            <w:u w:val="single"/>
            <w:rtl/>
          </w:rPr>
          <w:t>ע"פ 8416/09</w:t>
        </w:r>
      </w:hyperlink>
      <w:r w:rsidRPr="000E2AA0">
        <w:rPr>
          <w:rFonts w:ascii="David" w:hAnsi="David"/>
          <w:rtl/>
        </w:rPr>
        <w:t xml:space="preserve"> </w:t>
      </w:r>
      <w:r w:rsidRPr="000E2AA0">
        <w:rPr>
          <w:rFonts w:ascii="David" w:hAnsi="David"/>
          <w:b/>
          <w:bCs/>
          <w:rtl/>
        </w:rPr>
        <w:t>מדינת ישראל נ' חרבוש ואח'</w:t>
      </w:r>
      <w:r w:rsidRPr="000E2AA0">
        <w:rPr>
          <w:rFonts w:ascii="David" w:hAnsi="David"/>
          <w:rtl/>
        </w:rPr>
        <w:t xml:space="preserve"> (נבו 9.6.2010):</w:t>
      </w:r>
    </w:p>
    <w:p w14:paraId="6B4535CF" w14:textId="77777777" w:rsidR="00F85F9D" w:rsidRPr="00FA38FD" w:rsidRDefault="00F85F9D" w:rsidP="00F85F9D">
      <w:pPr>
        <w:pStyle w:val="a9"/>
        <w:spacing w:line="360" w:lineRule="auto"/>
        <w:jc w:val="both"/>
        <w:rPr>
          <w:rFonts w:ascii="David" w:hAnsi="David"/>
          <w:sz w:val="22"/>
          <w:szCs w:val="22"/>
        </w:rPr>
      </w:pPr>
      <w:r w:rsidRPr="00FA38FD">
        <w:rPr>
          <w:rFonts w:ascii="David" w:hAnsi="David"/>
          <w:sz w:val="22"/>
          <w:szCs w:val="22"/>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1332/04 </w:t>
      </w:r>
      <w:r w:rsidRPr="00C75C12">
        <w:rPr>
          <w:rFonts w:ascii="David" w:hAnsi="David"/>
          <w:b/>
          <w:bCs/>
          <w:sz w:val="22"/>
          <w:szCs w:val="22"/>
          <w:rtl/>
        </w:rPr>
        <w:t>מדינת ישראל נ' פס, סעיף 4</w:t>
      </w:r>
      <w:r w:rsidRPr="00FA38FD">
        <w:rPr>
          <w:rFonts w:ascii="David" w:hAnsi="David"/>
          <w:sz w:val="22"/>
          <w:szCs w:val="22"/>
          <w:rtl/>
        </w:rPr>
        <w:t xml:space="preserve"> (נבו 19.4.04)). יש לעשות כן עוד בטרם ייעשה באקדח שימוש קטלני, באמצעות הרחקת המחזיק בו מן החברה לפרק זמן, והעברת מסר מרתיע באמצעות עונש מאסר ממשי לריצוי בפועל...".</w:t>
      </w:r>
    </w:p>
    <w:p w14:paraId="592E474D" w14:textId="77777777" w:rsidR="00F85F9D" w:rsidRPr="005204AF" w:rsidRDefault="00F85F9D" w:rsidP="00F85F9D">
      <w:pPr>
        <w:pStyle w:val="a9"/>
        <w:numPr>
          <w:ilvl w:val="0"/>
          <w:numId w:val="1"/>
        </w:numPr>
        <w:shd w:val="clear" w:color="auto" w:fill="FFFFFF"/>
        <w:spacing w:line="360" w:lineRule="auto"/>
        <w:jc w:val="both"/>
        <w:rPr>
          <w:rFonts w:ascii="David" w:hAnsi="David"/>
        </w:rPr>
      </w:pPr>
      <w:r w:rsidRPr="005204AF">
        <w:rPr>
          <w:rFonts w:ascii="David" w:hAnsi="David"/>
          <w:rtl/>
        </w:rPr>
        <w:t>סקירת מדיניות הענישה הנהוגה בעבירת</w:t>
      </w:r>
      <w:r w:rsidR="00D7334B">
        <w:rPr>
          <w:rFonts w:ascii="David" w:hAnsi="David"/>
          <w:rtl/>
        </w:rPr>
        <w:t xml:space="preserve"> </w:t>
      </w:r>
      <w:r w:rsidRPr="005204AF">
        <w:rPr>
          <w:rFonts w:ascii="David" w:hAnsi="David"/>
          <w:rtl/>
        </w:rPr>
        <w:t>החזקת</w:t>
      </w:r>
      <w:r w:rsidR="00D7334B">
        <w:rPr>
          <w:rFonts w:ascii="David" w:hAnsi="David"/>
          <w:rtl/>
        </w:rPr>
        <w:t xml:space="preserve"> </w:t>
      </w:r>
      <w:r w:rsidRPr="005204AF">
        <w:rPr>
          <w:rFonts w:ascii="David" w:hAnsi="David"/>
          <w:rtl/>
        </w:rPr>
        <w:t>נשק</w:t>
      </w:r>
      <w:r w:rsidR="00D7334B">
        <w:rPr>
          <w:rFonts w:ascii="David" w:hAnsi="David"/>
          <w:rtl/>
        </w:rPr>
        <w:t xml:space="preserve"> </w:t>
      </w:r>
      <w:r w:rsidRPr="005204AF">
        <w:rPr>
          <w:rFonts w:ascii="David" w:hAnsi="David"/>
          <w:rtl/>
        </w:rPr>
        <w:t>מלמדת על טווח ענישה רחב התלוי לרוב בנסיבותיו של כל מקרה ומקרה:</w:t>
      </w:r>
    </w:p>
    <w:p w14:paraId="5F722D9C" w14:textId="77777777" w:rsidR="00F85F9D" w:rsidRPr="00FA38FD" w:rsidRDefault="00D7334B" w:rsidP="00F85F9D">
      <w:pPr>
        <w:pStyle w:val="a9"/>
        <w:numPr>
          <w:ilvl w:val="0"/>
          <w:numId w:val="3"/>
        </w:numPr>
        <w:shd w:val="clear" w:color="auto" w:fill="FFFFFF"/>
        <w:spacing w:line="360" w:lineRule="auto"/>
        <w:jc w:val="both"/>
        <w:rPr>
          <w:rFonts w:ascii="David" w:hAnsi="David"/>
          <w:rtl/>
        </w:rPr>
      </w:pPr>
      <w:r>
        <w:rPr>
          <w:rFonts w:ascii="David" w:hAnsi="David"/>
          <w:rtl/>
        </w:rPr>
        <w:t xml:space="preserve"> </w:t>
      </w:r>
      <w:r w:rsidR="00F85F9D" w:rsidRPr="00FA38FD">
        <w:rPr>
          <w:rFonts w:ascii="David" w:hAnsi="David"/>
          <w:rtl/>
        </w:rPr>
        <w:t>ב</w:t>
      </w:r>
      <w:hyperlink r:id="rId20" w:history="1">
        <w:r w:rsidRPr="00D7334B">
          <w:rPr>
            <w:rFonts w:ascii="David" w:hAnsi="David"/>
            <w:color w:val="0000FF"/>
            <w:u w:val="single"/>
            <w:rtl/>
          </w:rPr>
          <w:t>ע"פ 545/20</w:t>
        </w:r>
      </w:hyperlink>
      <w:r>
        <w:rPr>
          <w:rFonts w:ascii="David" w:hAnsi="David"/>
          <w:rtl/>
        </w:rPr>
        <w:t xml:space="preserve"> </w:t>
      </w:r>
      <w:r w:rsidR="00F85F9D" w:rsidRPr="00FA38FD">
        <w:rPr>
          <w:rFonts w:ascii="David" w:hAnsi="David"/>
          <w:b/>
          <w:bCs/>
          <w:rtl/>
        </w:rPr>
        <w:t>פלוני נ' מדינת ישראל</w:t>
      </w:r>
      <w:r>
        <w:rPr>
          <w:rFonts w:ascii="David" w:hAnsi="David"/>
          <w:b/>
          <w:bCs/>
          <w:rtl/>
        </w:rPr>
        <w:t xml:space="preserve"> </w:t>
      </w:r>
      <w:r w:rsidR="00F85F9D" w:rsidRPr="00FA38FD">
        <w:rPr>
          <w:rFonts w:ascii="David" w:hAnsi="David"/>
          <w:b/>
          <w:bCs/>
          <w:rtl/>
        </w:rPr>
        <w:t>(</w:t>
      </w:r>
      <w:r w:rsidR="00F85F9D" w:rsidRPr="00FA38FD">
        <w:rPr>
          <w:rFonts w:ascii="David" w:hAnsi="David"/>
          <w:rtl/>
        </w:rPr>
        <w:t>נבו 3.5.21), נדחה ערעור על חומרת עונש של נאשם עליו הוטלו 12 חודשים, לאחר שהמערער, נעדר רישום פלילי, הורשע באחזק</w:t>
      </w:r>
      <w:r w:rsidR="00F85F9D">
        <w:rPr>
          <w:rFonts w:ascii="David" w:hAnsi="David" w:hint="cs"/>
          <w:rtl/>
        </w:rPr>
        <w:t>ה של אקח בודד ו</w:t>
      </w:r>
      <w:r w:rsidR="00F85F9D" w:rsidRPr="00FA38FD">
        <w:rPr>
          <w:rFonts w:ascii="David" w:hAnsi="David"/>
          <w:rtl/>
        </w:rPr>
        <w:t>מחסנית תואמת ו-50 כדורים</w:t>
      </w:r>
      <w:r w:rsidR="00F85F9D" w:rsidRPr="00FA38FD">
        <w:rPr>
          <w:rFonts w:ascii="David" w:hAnsi="David"/>
        </w:rPr>
        <w:t>."</w:t>
      </w:r>
    </w:p>
    <w:p w14:paraId="3A4CB54E" w14:textId="77777777" w:rsidR="00F85F9D" w:rsidRDefault="00D7334B" w:rsidP="00F85F9D">
      <w:pPr>
        <w:pStyle w:val="a9"/>
        <w:numPr>
          <w:ilvl w:val="0"/>
          <w:numId w:val="3"/>
        </w:numPr>
        <w:spacing w:line="360" w:lineRule="auto"/>
        <w:jc w:val="both"/>
        <w:rPr>
          <w:rFonts w:ascii="David" w:hAnsi="David"/>
        </w:rPr>
      </w:pPr>
      <w:hyperlink r:id="rId21" w:history="1">
        <w:r w:rsidRPr="00D7334B">
          <w:rPr>
            <w:color w:val="0000FF"/>
            <w:u w:val="single"/>
            <w:rtl/>
          </w:rPr>
          <w:t>עפ"ג (ב"ש) 56305-02-20</w:t>
        </w:r>
      </w:hyperlink>
      <w:r w:rsidR="00F85F9D" w:rsidRPr="00FA38FD">
        <w:rPr>
          <w:rFonts w:ascii="David" w:hAnsi="David"/>
          <w:rtl/>
        </w:rPr>
        <w:t>‏</w:t>
      </w:r>
      <w:r>
        <w:rPr>
          <w:rFonts w:ascii="David" w:hAnsi="David"/>
          <w:rtl/>
        </w:rPr>
        <w:t xml:space="preserve"> </w:t>
      </w:r>
      <w:r w:rsidR="00F85F9D" w:rsidRPr="00FA38FD">
        <w:rPr>
          <w:rFonts w:ascii="David" w:hAnsi="David"/>
          <w:b/>
          <w:bCs/>
          <w:rtl/>
        </w:rPr>
        <w:t>אלקריעאן</w:t>
      </w:r>
      <w:r>
        <w:rPr>
          <w:rFonts w:ascii="David" w:hAnsi="David"/>
          <w:rtl/>
        </w:rPr>
        <w:t xml:space="preserve"> </w:t>
      </w:r>
      <w:r w:rsidR="00F85F9D" w:rsidRPr="00FA38FD">
        <w:rPr>
          <w:rFonts w:ascii="David" w:hAnsi="David"/>
          <w:rtl/>
        </w:rPr>
        <w:t>(נבו 18.8.20) – נדון נאשם ללא עבר פלילי שברכבו נמצא אקדח ומחסנית ל-15 חודשים</w:t>
      </w:r>
      <w:r w:rsidR="00F85F9D">
        <w:rPr>
          <w:rFonts w:ascii="David" w:hAnsi="David" w:hint="cs"/>
          <w:rtl/>
        </w:rPr>
        <w:t xml:space="preserve"> בבית משפט השלום</w:t>
      </w:r>
      <w:r w:rsidR="00F85F9D" w:rsidRPr="00FA38FD">
        <w:rPr>
          <w:rFonts w:ascii="David" w:hAnsi="David"/>
          <w:rtl/>
        </w:rPr>
        <w:t xml:space="preserve">. </w:t>
      </w:r>
      <w:r w:rsidR="00F85F9D">
        <w:rPr>
          <w:rFonts w:ascii="David" w:hAnsi="David" w:hint="cs"/>
          <w:rtl/>
        </w:rPr>
        <w:t xml:space="preserve">נקבע מתחם שבין </w:t>
      </w:r>
      <w:r w:rsidR="00F85F9D" w:rsidRPr="00FA38FD">
        <w:rPr>
          <w:rFonts w:ascii="David" w:hAnsi="David"/>
          <w:rtl/>
        </w:rPr>
        <w:t>15 חודשים ועד 30 חודשים. ערכאת הערעור הפחיתה את עונשו ל-12 חודשי מאסר</w:t>
      </w:r>
      <w:r w:rsidR="00F85F9D" w:rsidRPr="00FA38FD">
        <w:rPr>
          <w:rFonts w:ascii="David" w:hAnsi="David"/>
        </w:rPr>
        <w:t>.</w:t>
      </w:r>
    </w:p>
    <w:p w14:paraId="2BD43FF0" w14:textId="77777777" w:rsidR="00F85F9D" w:rsidRPr="00AA5747" w:rsidRDefault="00D7334B" w:rsidP="00F85F9D">
      <w:pPr>
        <w:pStyle w:val="a9"/>
        <w:numPr>
          <w:ilvl w:val="0"/>
          <w:numId w:val="3"/>
        </w:numPr>
        <w:spacing w:line="360" w:lineRule="auto"/>
        <w:jc w:val="both"/>
        <w:rPr>
          <w:rFonts w:ascii="David" w:hAnsi="David"/>
          <w:rtl/>
        </w:rPr>
      </w:pPr>
      <w:hyperlink r:id="rId22" w:history="1">
        <w:r w:rsidRPr="00D7334B">
          <w:rPr>
            <w:rFonts w:ascii="David" w:hAnsi="David"/>
            <w:color w:val="0000FF"/>
            <w:u w:val="single"/>
            <w:rtl/>
          </w:rPr>
          <w:t>ע"פ 761/07</w:t>
        </w:r>
      </w:hyperlink>
      <w:r w:rsidR="00F85F9D" w:rsidRPr="00AA5747">
        <w:rPr>
          <w:rFonts w:ascii="David" w:hAnsi="David"/>
          <w:rtl/>
        </w:rPr>
        <w:t xml:space="preserve"> </w:t>
      </w:r>
      <w:r w:rsidR="00F85F9D" w:rsidRPr="00FA38FD">
        <w:rPr>
          <w:rFonts w:ascii="David" w:hAnsi="David"/>
          <w:b/>
          <w:bCs/>
          <w:rtl/>
        </w:rPr>
        <w:t>מדינת ישראל נ' מיכאל אדרי</w:t>
      </w:r>
      <w:r w:rsidR="00F85F9D" w:rsidRPr="00AA5747">
        <w:rPr>
          <w:rFonts w:ascii="David" w:hAnsi="David"/>
          <w:rtl/>
        </w:rPr>
        <w:t xml:space="preserve"> (נבו 22.02.</w:t>
      </w:r>
      <w:r w:rsidR="00F85F9D">
        <w:rPr>
          <w:rFonts w:ascii="David" w:hAnsi="David"/>
          <w:rtl/>
        </w:rPr>
        <w:t>07) המערער נהג ברכב ונתפס מחזיק</w:t>
      </w:r>
      <w:r w:rsidR="00F85F9D">
        <w:rPr>
          <w:rFonts w:ascii="David" w:hAnsi="David" w:hint="cs"/>
          <w:rtl/>
        </w:rPr>
        <w:t xml:space="preserve"> </w:t>
      </w:r>
      <w:r w:rsidR="00F85F9D" w:rsidRPr="00AA5747">
        <w:rPr>
          <w:rFonts w:ascii="David" w:hAnsi="David"/>
          <w:rtl/>
        </w:rPr>
        <w:t>באקדח, מחסנית ותחמושת. כשנעצר, הזדהה כאחר. הוא הורשע בהחזקת נשק שלא כדין ובהפרעה לשוטר במילוי תפקידו, נגזרו עליו בבית המשפט המחוזי 12 חודשי מאסר בפועל, ובמסגרת ערעור המדינה על קולת העונש, ונוכח רישום פלילי משמעותי, הוחמר עונשו ל- 24 חודשי מאסר בפועל.</w:t>
      </w:r>
    </w:p>
    <w:p w14:paraId="08A5A26C" w14:textId="77777777" w:rsidR="00F85F9D" w:rsidRPr="00AA5747" w:rsidRDefault="00D7334B" w:rsidP="00F85F9D">
      <w:pPr>
        <w:pStyle w:val="a9"/>
        <w:numPr>
          <w:ilvl w:val="0"/>
          <w:numId w:val="3"/>
        </w:numPr>
        <w:spacing w:line="360" w:lineRule="auto"/>
        <w:jc w:val="both"/>
        <w:rPr>
          <w:rFonts w:ascii="David" w:hAnsi="David"/>
          <w:rtl/>
        </w:rPr>
      </w:pPr>
      <w:hyperlink r:id="rId23" w:history="1">
        <w:r w:rsidRPr="00D7334B">
          <w:rPr>
            <w:rFonts w:ascii="David" w:hAnsi="David"/>
            <w:color w:val="0000FF"/>
            <w:u w:val="single"/>
            <w:rtl/>
          </w:rPr>
          <w:t>עפ"ג 18780-06-14</w:t>
        </w:r>
      </w:hyperlink>
      <w:r w:rsidR="00F85F9D" w:rsidRPr="00AA5747">
        <w:rPr>
          <w:rFonts w:ascii="David" w:hAnsi="David"/>
          <w:rtl/>
        </w:rPr>
        <w:t xml:space="preserve"> </w:t>
      </w:r>
      <w:r w:rsidR="00F85F9D" w:rsidRPr="00FA38FD">
        <w:rPr>
          <w:rFonts w:ascii="David" w:hAnsi="David" w:hint="cs"/>
          <w:b/>
          <w:bCs/>
          <w:rtl/>
        </w:rPr>
        <w:t xml:space="preserve">מדינת ישראל נ' וויסאם עאזם </w:t>
      </w:r>
      <w:r w:rsidR="00F85F9D" w:rsidRPr="00FA38FD">
        <w:rPr>
          <w:rFonts w:ascii="David" w:hAnsi="David"/>
          <w:b/>
          <w:bCs/>
          <w:rtl/>
        </w:rPr>
        <w:t>(</w:t>
      </w:r>
      <w:r w:rsidR="00F85F9D" w:rsidRPr="00AA5747">
        <w:rPr>
          <w:rFonts w:ascii="David" w:hAnsi="David"/>
          <w:rtl/>
        </w:rPr>
        <w:t>נבו 14.9.2014), ביחס לנאשם שהחזיק בביתו שני אקדחים טעונים במחסניות עם כדורים (ובנוסף בשתי מחסניות ריקות), נקבע מתחם החל מ- 12 חודשים ל-26 חודשי מאסר.</w:t>
      </w:r>
    </w:p>
    <w:p w14:paraId="5554C09B" w14:textId="77777777" w:rsidR="00F85F9D" w:rsidRPr="00AA5747" w:rsidRDefault="00D7334B" w:rsidP="00F85F9D">
      <w:pPr>
        <w:pStyle w:val="a9"/>
        <w:numPr>
          <w:ilvl w:val="0"/>
          <w:numId w:val="3"/>
        </w:numPr>
        <w:spacing w:line="360" w:lineRule="auto"/>
        <w:jc w:val="both"/>
        <w:rPr>
          <w:rFonts w:ascii="David" w:hAnsi="David"/>
          <w:rtl/>
        </w:rPr>
      </w:pPr>
      <w:hyperlink r:id="rId24" w:history="1">
        <w:r w:rsidRPr="00D7334B">
          <w:rPr>
            <w:rFonts w:ascii="David" w:hAnsi="David"/>
            <w:color w:val="0000FF"/>
            <w:u w:val="single"/>
            <w:rtl/>
          </w:rPr>
          <w:t>ת"פ (כ"ס) 14044-03-20</w:t>
        </w:r>
      </w:hyperlink>
      <w:r w:rsidR="00F85F9D" w:rsidRPr="00AA5747">
        <w:rPr>
          <w:rFonts w:ascii="David" w:hAnsi="David"/>
          <w:rtl/>
        </w:rPr>
        <w:t xml:space="preserve"> </w:t>
      </w:r>
      <w:r w:rsidR="00F85F9D" w:rsidRPr="00FA38FD">
        <w:rPr>
          <w:rFonts w:ascii="David" w:hAnsi="David"/>
          <w:b/>
          <w:bCs/>
          <w:rtl/>
        </w:rPr>
        <w:t>מדינת ישראל נ' קטאווי</w:t>
      </w:r>
      <w:r w:rsidR="00F85F9D" w:rsidRPr="00AA5747">
        <w:rPr>
          <w:rFonts w:ascii="David" w:hAnsi="David"/>
          <w:rtl/>
        </w:rPr>
        <w:t xml:space="preserve"> (15.12.20) – הנאשם הורשע, לפי הודאתו, בהחזקת נשק, לאחר שהחזיק בתת מקלע מאולתר מסוג "קרלו", עטוף ומוסלק במשאית שעמדה בסמוך לביתו, ובמחסנית תואמת ובה 11 כדורים. נקבע מתחם עונש הולם הנע בין 15 ל-36 חודשי מאסר בפועל, והוטלו 20 חודשי מאסר, הופעל מאסר על-תנאי בן 8 חודשים, חלקו בחופף וחלקו במצטבר כך שסה"כ הוטלו על הנאשם 26 חודשי מאסר בפועל, ומאסר על-תנאי.</w:t>
      </w:r>
    </w:p>
    <w:p w14:paraId="2F6DDD11" w14:textId="77777777" w:rsidR="00F85F9D" w:rsidRPr="005204AF" w:rsidRDefault="00F85F9D" w:rsidP="00F85F9D">
      <w:pPr>
        <w:pStyle w:val="a9"/>
        <w:numPr>
          <w:ilvl w:val="0"/>
          <w:numId w:val="1"/>
        </w:numPr>
        <w:spacing w:line="360" w:lineRule="auto"/>
        <w:jc w:val="both"/>
        <w:rPr>
          <w:rFonts w:ascii="David" w:hAnsi="David"/>
        </w:rPr>
      </w:pPr>
      <w:r w:rsidRPr="005204AF">
        <w:rPr>
          <w:rFonts w:ascii="David" w:hAnsi="David"/>
          <w:rtl/>
        </w:rPr>
        <w:t xml:space="preserve">בהתאם למגמת הפסיקה, להחמיר בענישה בעבירות נשק ככלל, ובשים לב לנסיבות האירוע, </w:t>
      </w:r>
      <w:r w:rsidRPr="005204AF">
        <w:rPr>
          <w:rFonts w:ascii="David" w:hAnsi="David" w:hint="cs"/>
          <w:rtl/>
        </w:rPr>
        <w:t xml:space="preserve">בו נתפסו שני כלי נשק וכמות גדולה של תחמושת תואמת, </w:t>
      </w:r>
      <w:r w:rsidRPr="005204AF">
        <w:rPr>
          <w:rFonts w:ascii="David" w:hAnsi="David"/>
          <w:rtl/>
        </w:rPr>
        <w:t xml:space="preserve">ראיתי לקבוע את מתחם העונש ההולם החל </w:t>
      </w:r>
      <w:r w:rsidRPr="005204AF">
        <w:rPr>
          <w:rFonts w:ascii="David" w:hAnsi="David" w:hint="cs"/>
          <w:rtl/>
        </w:rPr>
        <w:t>מ-18 חודשים ועד 36 חודשים</w:t>
      </w:r>
      <w:r w:rsidRPr="005204AF">
        <w:rPr>
          <w:rFonts w:ascii="David" w:hAnsi="David"/>
          <w:rtl/>
        </w:rPr>
        <w:t>.</w:t>
      </w:r>
    </w:p>
    <w:p w14:paraId="24C69817" w14:textId="77777777" w:rsidR="00F85F9D" w:rsidRPr="005204AF" w:rsidRDefault="00F85F9D" w:rsidP="00F85F9D">
      <w:pPr>
        <w:pStyle w:val="a9"/>
        <w:numPr>
          <w:ilvl w:val="0"/>
          <w:numId w:val="1"/>
        </w:numPr>
        <w:spacing w:line="360" w:lineRule="auto"/>
        <w:jc w:val="both"/>
        <w:rPr>
          <w:rFonts w:ascii="David" w:hAnsi="David"/>
        </w:rPr>
      </w:pPr>
      <w:r w:rsidRPr="005204AF">
        <w:rPr>
          <w:rFonts w:ascii="David" w:hAnsi="David"/>
          <w:rtl/>
        </w:rPr>
        <w:t>בבחינת העונש המתאים לנאשם הבאתי ב</w:t>
      </w:r>
      <w:r w:rsidRPr="005204AF">
        <w:rPr>
          <w:rFonts w:ascii="David" w:hAnsi="David" w:hint="cs"/>
          <w:rtl/>
        </w:rPr>
        <w:t xml:space="preserve">מסגרת שיקוליי את הנסיבות הבאות: הנאשם כבן 27 נשוי ואב לתינוקת. </w:t>
      </w:r>
      <w:r w:rsidRPr="005204AF">
        <w:rPr>
          <w:rFonts w:ascii="David" w:hAnsi="David"/>
          <w:rtl/>
        </w:rPr>
        <w:t>הנאשם</w:t>
      </w:r>
      <w:r w:rsidRPr="005204AF">
        <w:rPr>
          <w:rFonts w:ascii="David" w:hAnsi="David" w:hint="cs"/>
          <w:rtl/>
        </w:rPr>
        <w:t xml:space="preserve"> נטל אחריות על מעשיו, אם כי בשרות המבחן נטילת האחריות לא הייתה מלאה. הנאשם מסר, כי ביצע את העבירות מתוך רצון לסייע לחבר, תוך שראה עצמו קורבן. לצד זאת, יש להביא בין יתר שיקולי הענישה, את העובדה שהנאשם </w:t>
      </w:r>
      <w:r>
        <w:rPr>
          <w:rFonts w:ascii="David" w:hAnsi="David" w:hint="cs"/>
          <w:rtl/>
        </w:rPr>
        <w:t xml:space="preserve">מנהל אורח חיים יציב וחיי משפחה תקינים. הנאשם סיים 12 שנות לימוד , למד לימודים גבוהים והשתלב היטב בעבודה מסודרת. בנוסף, הנאשם </w:t>
      </w:r>
      <w:r w:rsidRPr="005204AF">
        <w:rPr>
          <w:rFonts w:ascii="David" w:hAnsi="David" w:hint="cs"/>
          <w:rtl/>
        </w:rPr>
        <w:t>משולב בהליך טיפולי במסגרת המעצר, נוטל חלק בקבוצות חינוכיות וטיפוליות, ואף המלצת שרות המבחן לשלבו במחלקה טיפולית על מנת להשלים את הליך השיקום בו החל.</w:t>
      </w:r>
    </w:p>
    <w:p w14:paraId="71C565B2" w14:textId="77777777" w:rsidR="00F85F9D" w:rsidRPr="005204AF" w:rsidRDefault="00F85F9D" w:rsidP="00F85F9D">
      <w:pPr>
        <w:pStyle w:val="a9"/>
        <w:numPr>
          <w:ilvl w:val="0"/>
          <w:numId w:val="1"/>
        </w:numPr>
        <w:spacing w:line="360" w:lineRule="auto"/>
        <w:jc w:val="both"/>
        <w:rPr>
          <w:rFonts w:ascii="David" w:hAnsi="David"/>
        </w:rPr>
      </w:pPr>
      <w:r w:rsidRPr="005204AF">
        <w:rPr>
          <w:rFonts w:ascii="David" w:hAnsi="David"/>
          <w:rtl/>
        </w:rPr>
        <w:t xml:space="preserve">באיזון בין שיקולים </w:t>
      </w:r>
      <w:r w:rsidRPr="005204AF">
        <w:rPr>
          <w:rFonts w:ascii="David" w:hAnsi="David" w:hint="cs"/>
          <w:rtl/>
        </w:rPr>
        <w:t xml:space="preserve">אלו </w:t>
      </w:r>
      <w:r w:rsidRPr="005204AF">
        <w:rPr>
          <w:rFonts w:ascii="David" w:hAnsi="David"/>
          <w:rtl/>
        </w:rPr>
        <w:t>שפורטו לעיל, ראיתי לקבוע את עונשו של הנאשם ב</w:t>
      </w:r>
      <w:r>
        <w:rPr>
          <w:rFonts w:ascii="David" w:hAnsi="David" w:hint="cs"/>
          <w:rtl/>
        </w:rPr>
        <w:t>תחתית המ</w:t>
      </w:r>
      <w:r w:rsidRPr="005204AF">
        <w:rPr>
          <w:rFonts w:ascii="David" w:hAnsi="David"/>
          <w:rtl/>
        </w:rPr>
        <w:t xml:space="preserve">תחם </w:t>
      </w:r>
      <w:r>
        <w:rPr>
          <w:rFonts w:ascii="David" w:hAnsi="David" w:hint="cs"/>
          <w:rtl/>
        </w:rPr>
        <w:t xml:space="preserve">כך שיוטלו עליו </w:t>
      </w:r>
      <w:r w:rsidRPr="005204AF">
        <w:rPr>
          <w:rFonts w:ascii="David" w:hAnsi="David"/>
          <w:rtl/>
        </w:rPr>
        <w:t>העונשים הבאים:</w:t>
      </w:r>
    </w:p>
    <w:p w14:paraId="3CDB5879" w14:textId="77777777" w:rsidR="00F85F9D" w:rsidRPr="009E1386" w:rsidRDefault="00F85F9D" w:rsidP="00F85F9D">
      <w:pPr>
        <w:pStyle w:val="a9"/>
        <w:numPr>
          <w:ilvl w:val="0"/>
          <w:numId w:val="4"/>
        </w:numPr>
        <w:spacing w:line="360" w:lineRule="auto"/>
        <w:jc w:val="both"/>
        <w:rPr>
          <w:rFonts w:ascii="David" w:hAnsi="David"/>
        </w:rPr>
      </w:pPr>
      <w:r w:rsidRPr="009E1386">
        <w:rPr>
          <w:rFonts w:ascii="David" w:hAnsi="David"/>
          <w:rtl/>
        </w:rPr>
        <w:t xml:space="preserve">מאסר למשך </w:t>
      </w:r>
      <w:r>
        <w:rPr>
          <w:rFonts w:ascii="David" w:hAnsi="David" w:hint="cs"/>
          <w:rtl/>
        </w:rPr>
        <w:t>18</w:t>
      </w:r>
      <w:r w:rsidRPr="009E1386">
        <w:rPr>
          <w:rFonts w:ascii="David" w:hAnsi="David"/>
          <w:rtl/>
        </w:rPr>
        <w:t xml:space="preserve"> חודשים בניכוי ימי המעצר.</w:t>
      </w:r>
    </w:p>
    <w:p w14:paraId="45DDE8B5" w14:textId="77777777" w:rsidR="00F85F9D" w:rsidRDefault="00F85F9D" w:rsidP="00F85F9D">
      <w:pPr>
        <w:pStyle w:val="a9"/>
        <w:numPr>
          <w:ilvl w:val="0"/>
          <w:numId w:val="4"/>
        </w:numPr>
        <w:spacing w:line="360" w:lineRule="auto"/>
        <w:jc w:val="both"/>
        <w:rPr>
          <w:rFonts w:ascii="David" w:hAnsi="David"/>
        </w:rPr>
      </w:pPr>
      <w:r w:rsidRPr="009E1386">
        <w:rPr>
          <w:rFonts w:ascii="David" w:hAnsi="David"/>
          <w:rtl/>
        </w:rPr>
        <w:t xml:space="preserve">מאסר למשך 6 חודשים וזאת על תנאי למשך 3 שנים מיום שחרורו של הנאשם מהמאסר שלא יעבור כל עבירה בניגוד </w:t>
      </w:r>
      <w:hyperlink r:id="rId25" w:history="1">
        <w:r w:rsidR="00BB79F8" w:rsidRPr="00BB79F8">
          <w:rPr>
            <w:rStyle w:val="Hyperlink"/>
            <w:rFonts w:ascii="David" w:hAnsi="David"/>
            <w:rtl/>
          </w:rPr>
          <w:t>לסעיף 144</w:t>
        </w:r>
      </w:hyperlink>
      <w:r w:rsidRPr="009E1386">
        <w:rPr>
          <w:rFonts w:ascii="David" w:hAnsi="David"/>
          <w:rtl/>
        </w:rPr>
        <w:t xml:space="preserve"> ל</w:t>
      </w:r>
      <w:hyperlink r:id="rId26" w:history="1">
        <w:r w:rsidR="00D7334B" w:rsidRPr="00D7334B">
          <w:rPr>
            <w:rFonts w:ascii="David" w:hAnsi="David"/>
            <w:color w:val="0000FF"/>
            <w:u w:val="single"/>
            <w:rtl/>
          </w:rPr>
          <w:t>חוק העונשין</w:t>
        </w:r>
      </w:hyperlink>
      <w:r w:rsidRPr="009E1386">
        <w:rPr>
          <w:rFonts w:ascii="David" w:hAnsi="David"/>
          <w:rtl/>
        </w:rPr>
        <w:t>.</w:t>
      </w:r>
    </w:p>
    <w:p w14:paraId="6D353DEB" w14:textId="77777777" w:rsidR="00F85F9D" w:rsidRDefault="00F85F9D" w:rsidP="00F85F9D">
      <w:pPr>
        <w:pStyle w:val="a9"/>
        <w:numPr>
          <w:ilvl w:val="0"/>
          <w:numId w:val="4"/>
        </w:numPr>
        <w:spacing w:line="360" w:lineRule="auto"/>
        <w:jc w:val="both"/>
      </w:pPr>
      <w:r>
        <w:rPr>
          <w:rFonts w:hint="cs"/>
          <w:rtl/>
        </w:rPr>
        <w:t>תשלום קנס בסך 3000 ₪, אשר ישולם עד ליום 1.1.2025.</w:t>
      </w:r>
    </w:p>
    <w:p w14:paraId="2E955C3B" w14:textId="77777777" w:rsidR="00F85F9D" w:rsidRPr="00E11D5A" w:rsidRDefault="00F85F9D" w:rsidP="00F85F9D">
      <w:pPr>
        <w:spacing w:line="360" w:lineRule="auto"/>
        <w:ind w:left="1080"/>
        <w:jc w:val="both"/>
        <w:rPr>
          <w:rFonts w:ascii="David" w:hAnsi="David"/>
          <w:sz w:val="20"/>
          <w:szCs w:val="20"/>
          <w:rtl/>
        </w:rPr>
      </w:pPr>
      <w:r w:rsidRPr="00E11D5A">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330000A7" w14:textId="77777777" w:rsidR="00F85F9D" w:rsidRPr="00E11D5A" w:rsidRDefault="00F85F9D" w:rsidP="00F85F9D">
      <w:pPr>
        <w:spacing w:line="360" w:lineRule="auto"/>
        <w:ind w:left="1080"/>
        <w:jc w:val="both"/>
        <w:rPr>
          <w:rFonts w:ascii="David" w:hAnsi="David"/>
          <w:sz w:val="20"/>
          <w:szCs w:val="20"/>
        </w:rPr>
      </w:pPr>
      <w:r w:rsidRPr="00E11D5A">
        <w:rPr>
          <w:rFonts w:ascii="David" w:hAnsi="David"/>
          <w:sz w:val="20"/>
          <w:szCs w:val="20"/>
          <w:rtl/>
        </w:rPr>
        <w:t>ניתן יהיה לשלם את הקנס/ פיצוי/ ההוצאות כעבור שלושה ימים מיום מתן ההחלטה/</w:t>
      </w:r>
      <w:r w:rsidR="00D7334B">
        <w:rPr>
          <w:rFonts w:ascii="David" w:hAnsi="David"/>
          <w:sz w:val="20"/>
          <w:szCs w:val="20"/>
          <w:rtl/>
        </w:rPr>
        <w:t xml:space="preserve"> </w:t>
      </w:r>
      <w:r w:rsidRPr="00E11D5A">
        <w:rPr>
          <w:rFonts w:ascii="David" w:hAnsi="David"/>
          <w:sz w:val="20"/>
          <w:szCs w:val="20"/>
          <w:rtl/>
        </w:rPr>
        <w:t xml:space="preserve"> גזר הדין לחשבון המרכז לגביית קנסות, אגרות והוצאות ברשות האכיפה והגבייה באחת מהדרכים הבאות:</w:t>
      </w:r>
    </w:p>
    <w:p w14:paraId="2225C982" w14:textId="77777777" w:rsidR="00F85F9D" w:rsidRPr="00E11D5A" w:rsidRDefault="00F85F9D" w:rsidP="00F85F9D">
      <w:pPr>
        <w:numPr>
          <w:ilvl w:val="0"/>
          <w:numId w:val="5"/>
        </w:numPr>
        <w:spacing w:line="360" w:lineRule="auto"/>
        <w:jc w:val="both"/>
        <w:rPr>
          <w:rFonts w:ascii="David" w:hAnsi="David"/>
          <w:b/>
          <w:bCs/>
          <w:sz w:val="20"/>
          <w:szCs w:val="20"/>
        </w:rPr>
      </w:pPr>
      <w:r w:rsidRPr="00E11D5A">
        <w:rPr>
          <w:rFonts w:ascii="David" w:hAnsi="David"/>
          <w:b/>
          <w:bCs/>
          <w:sz w:val="20"/>
          <w:szCs w:val="20"/>
          <w:rtl/>
        </w:rPr>
        <w:t>בכרטיס אשראי</w:t>
      </w:r>
      <w:r w:rsidRPr="00E11D5A">
        <w:rPr>
          <w:rFonts w:ascii="David" w:hAnsi="David"/>
          <w:sz w:val="20"/>
          <w:szCs w:val="20"/>
          <w:rtl/>
        </w:rPr>
        <w:t xml:space="preserve"> – באתר המקוון של רשות האכיפה והגבייה, </w:t>
      </w:r>
      <w:hyperlink r:id="rId27" w:history="1">
        <w:r w:rsidRPr="00E11D5A">
          <w:rPr>
            <w:rStyle w:val="Hyperlink"/>
            <w:rFonts w:ascii="David" w:hAnsi="David"/>
            <w:sz w:val="20"/>
            <w:szCs w:val="20"/>
          </w:rPr>
          <w:t>www.eca.gov.il</w:t>
        </w:r>
      </w:hyperlink>
      <w:r w:rsidRPr="00E11D5A">
        <w:rPr>
          <w:rFonts w:ascii="David" w:hAnsi="David"/>
          <w:sz w:val="20"/>
          <w:szCs w:val="20"/>
        </w:rPr>
        <w:t xml:space="preserve"> </w:t>
      </w:r>
      <w:r w:rsidR="00D7334B">
        <w:rPr>
          <w:rFonts w:ascii="David" w:hAnsi="David"/>
          <w:sz w:val="20"/>
          <w:szCs w:val="20"/>
          <w:rtl/>
        </w:rPr>
        <w:t xml:space="preserve"> </w:t>
      </w:r>
    </w:p>
    <w:p w14:paraId="1EB0349B" w14:textId="77777777" w:rsidR="00F85F9D" w:rsidRPr="00E11D5A" w:rsidRDefault="00F85F9D" w:rsidP="00F85F9D">
      <w:pPr>
        <w:numPr>
          <w:ilvl w:val="0"/>
          <w:numId w:val="5"/>
        </w:numPr>
        <w:spacing w:line="360" w:lineRule="auto"/>
        <w:jc w:val="both"/>
        <w:rPr>
          <w:rFonts w:ascii="David" w:hAnsi="David"/>
          <w:b/>
          <w:bCs/>
          <w:sz w:val="20"/>
          <w:szCs w:val="20"/>
          <w:rtl/>
        </w:rPr>
      </w:pPr>
      <w:r w:rsidRPr="00E11D5A">
        <w:rPr>
          <w:rFonts w:ascii="David" w:hAnsi="David"/>
          <w:b/>
          <w:bCs/>
          <w:sz w:val="20"/>
          <w:szCs w:val="20"/>
          <w:rtl/>
        </w:rPr>
        <w:t>מוקד שירות טלפוני בשרות עצמי (מרכז גבייה)</w:t>
      </w:r>
      <w:r w:rsidR="00D7334B">
        <w:rPr>
          <w:rFonts w:ascii="David" w:hAnsi="David"/>
          <w:b/>
          <w:bCs/>
          <w:sz w:val="20"/>
          <w:szCs w:val="20"/>
          <w:rtl/>
        </w:rPr>
        <w:t xml:space="preserve"> </w:t>
      </w:r>
      <w:r w:rsidRPr="00E11D5A">
        <w:rPr>
          <w:rFonts w:ascii="David" w:hAnsi="David"/>
          <w:b/>
          <w:bCs/>
          <w:sz w:val="20"/>
          <w:szCs w:val="20"/>
          <w:rtl/>
        </w:rPr>
        <w:t xml:space="preserve"> – בטלפון 35592* או בטלפון 073-2055000</w:t>
      </w:r>
    </w:p>
    <w:p w14:paraId="68DED082" w14:textId="77777777" w:rsidR="00F85F9D" w:rsidRPr="00E11D5A" w:rsidRDefault="00F85F9D" w:rsidP="00F85F9D">
      <w:pPr>
        <w:numPr>
          <w:ilvl w:val="0"/>
          <w:numId w:val="5"/>
        </w:numPr>
        <w:spacing w:line="360" w:lineRule="auto"/>
        <w:jc w:val="both"/>
        <w:rPr>
          <w:rFonts w:ascii="David" w:hAnsi="David"/>
          <w:b/>
          <w:bCs/>
          <w:sz w:val="20"/>
          <w:szCs w:val="20"/>
          <w:rtl/>
        </w:rPr>
      </w:pPr>
      <w:r w:rsidRPr="00E11D5A">
        <w:rPr>
          <w:rFonts w:ascii="David" w:hAnsi="David"/>
          <w:b/>
          <w:bCs/>
          <w:sz w:val="20"/>
          <w:szCs w:val="20"/>
          <w:rtl/>
        </w:rPr>
        <w:t>במזומן בכל סניף של בנק הדואר</w:t>
      </w:r>
      <w:r w:rsidRPr="00E11D5A">
        <w:rPr>
          <w:rFonts w:ascii="David" w:hAnsi="David"/>
          <w:sz w:val="20"/>
          <w:szCs w:val="20"/>
          <w:rtl/>
        </w:rPr>
        <w:t xml:space="preserve"> – בהצגת תעודת זהות בלבד (אין צורך בשוברי תשלום).</w:t>
      </w:r>
    </w:p>
    <w:p w14:paraId="46F1FFE4" w14:textId="77777777" w:rsidR="00F85F9D" w:rsidRDefault="00F85F9D" w:rsidP="00F85F9D">
      <w:pPr>
        <w:pStyle w:val="a9"/>
        <w:numPr>
          <w:ilvl w:val="0"/>
          <w:numId w:val="4"/>
        </w:numPr>
        <w:spacing w:line="360" w:lineRule="auto"/>
        <w:jc w:val="both"/>
        <w:rPr>
          <w:rFonts w:ascii="David" w:hAnsi="David"/>
        </w:rPr>
      </w:pPr>
      <w:r>
        <w:rPr>
          <w:rFonts w:ascii="David" w:hAnsi="David" w:hint="cs"/>
          <w:rtl/>
        </w:rPr>
        <w:t>בהתאם להמלצה בתסקיר שב"ס יאפשר לנאשם לסיים את ההליך הטיפולי בו החל במסגרת המעצר. לצורך כך יועמד התסקיר לעיון גורמי הטיפול בשב"ס.</w:t>
      </w:r>
    </w:p>
    <w:p w14:paraId="4CF2A08C" w14:textId="77777777" w:rsidR="00F85F9D" w:rsidRPr="009E1386" w:rsidRDefault="00D7334B" w:rsidP="00F85F9D">
      <w:pPr>
        <w:pStyle w:val="a9"/>
        <w:numPr>
          <w:ilvl w:val="0"/>
          <w:numId w:val="4"/>
        </w:numPr>
        <w:spacing w:line="360" w:lineRule="auto"/>
        <w:jc w:val="both"/>
        <w:rPr>
          <w:rFonts w:ascii="David" w:hAnsi="David"/>
        </w:rPr>
      </w:pPr>
      <w:r w:rsidRPr="00D7334B">
        <w:rPr>
          <w:rFonts w:ascii="David" w:hAnsi="David"/>
          <w:color w:val="FFFFFF"/>
          <w:sz w:val="2"/>
          <w:szCs w:val="2"/>
          <w:rtl/>
        </w:rPr>
        <w:t>5129371</w:t>
      </w:r>
      <w:r w:rsidR="00F85F9D" w:rsidRPr="009E1386">
        <w:rPr>
          <w:rFonts w:ascii="David" w:hAnsi="David"/>
          <w:rtl/>
        </w:rPr>
        <w:t>המוצגים יחולטו או יושמדו לפי החלטת רשם המוצגים.</w:t>
      </w:r>
    </w:p>
    <w:p w14:paraId="13060915" w14:textId="77777777" w:rsidR="00F85F9D" w:rsidRPr="00D7334B" w:rsidRDefault="00D7334B" w:rsidP="00F85F9D">
      <w:pPr>
        <w:spacing w:line="360" w:lineRule="auto"/>
        <w:ind w:left="360"/>
        <w:jc w:val="both"/>
        <w:rPr>
          <w:rFonts w:ascii="David" w:hAnsi="David"/>
          <w:color w:val="FFFFFF"/>
          <w:sz w:val="2"/>
          <w:szCs w:val="2"/>
          <w:rtl/>
        </w:rPr>
      </w:pPr>
      <w:r w:rsidRPr="00D7334B">
        <w:rPr>
          <w:rFonts w:ascii="David" w:hAnsi="David"/>
          <w:color w:val="FFFFFF"/>
          <w:sz w:val="2"/>
          <w:szCs w:val="2"/>
          <w:rtl/>
        </w:rPr>
        <w:t>54678313</w:t>
      </w:r>
    </w:p>
    <w:p w14:paraId="69972585" w14:textId="77777777" w:rsidR="00F85F9D" w:rsidRPr="00E11D5A" w:rsidRDefault="00F85F9D" w:rsidP="00F85F9D">
      <w:pPr>
        <w:spacing w:line="360" w:lineRule="auto"/>
        <w:ind w:left="360"/>
        <w:jc w:val="both"/>
        <w:rPr>
          <w:rFonts w:ascii="David" w:hAnsi="David"/>
          <w:b/>
          <w:bCs/>
          <w:sz w:val="22"/>
          <w:szCs w:val="22"/>
          <w:rtl/>
        </w:rPr>
      </w:pPr>
      <w:r w:rsidRPr="00E11D5A">
        <w:rPr>
          <w:rFonts w:ascii="David" w:hAnsi="David"/>
          <w:b/>
          <w:bCs/>
          <w:sz w:val="22"/>
          <w:szCs w:val="22"/>
          <w:rtl/>
        </w:rPr>
        <w:t>זכות ערעור לבית המשפט המחוזי בתוך 45 יום.</w:t>
      </w:r>
    </w:p>
    <w:p w14:paraId="668756AD" w14:textId="77777777" w:rsidR="00F85F9D" w:rsidRPr="00E11D5A" w:rsidRDefault="00D7334B" w:rsidP="00F85F9D">
      <w:pPr>
        <w:spacing w:line="360" w:lineRule="auto"/>
        <w:jc w:val="both"/>
        <w:rPr>
          <w:rFonts w:ascii="Arial" w:hAnsi="Arial"/>
          <w:b/>
          <w:bCs/>
          <w:sz w:val="22"/>
          <w:szCs w:val="22"/>
          <w:rtl/>
        </w:rPr>
      </w:pPr>
      <w:bookmarkStart w:id="8" w:name="Nitan"/>
      <w:r>
        <w:rPr>
          <w:rFonts w:ascii="Arial" w:hAnsi="Arial"/>
          <w:b/>
          <w:bCs/>
          <w:sz w:val="22"/>
          <w:szCs w:val="22"/>
          <w:rtl/>
        </w:rPr>
        <w:t xml:space="preserve">ניתן היום,  כ"ז אייר תשפ"ד, 04 יוני 2024, במעמד הנוכחים. </w:t>
      </w:r>
      <w:bookmarkEnd w:id="8"/>
      <w:r w:rsidR="00F85F9D" w:rsidRPr="00E11D5A">
        <w:rPr>
          <w:rFonts w:ascii="Arial" w:hAnsi="Arial"/>
          <w:b/>
          <w:bCs/>
          <w:sz w:val="22"/>
          <w:szCs w:val="22"/>
          <w:rtl/>
        </w:rPr>
        <w:tab/>
      </w:r>
      <w:r w:rsidR="00F85F9D" w:rsidRPr="00E11D5A">
        <w:rPr>
          <w:rFonts w:ascii="Arial" w:hAnsi="Arial"/>
          <w:b/>
          <w:bCs/>
          <w:sz w:val="22"/>
          <w:szCs w:val="22"/>
          <w:rtl/>
        </w:rPr>
        <w:tab/>
      </w:r>
      <w:r w:rsidR="00F85F9D" w:rsidRPr="00E11D5A">
        <w:rPr>
          <w:rFonts w:ascii="Arial" w:hAnsi="Arial"/>
          <w:b/>
          <w:bCs/>
          <w:sz w:val="22"/>
          <w:szCs w:val="22"/>
          <w:rtl/>
        </w:rPr>
        <w:tab/>
      </w:r>
      <w:r w:rsidR="00F85F9D" w:rsidRPr="00E11D5A">
        <w:rPr>
          <w:rFonts w:ascii="Arial" w:hAnsi="Arial"/>
          <w:b/>
          <w:bCs/>
          <w:sz w:val="22"/>
          <w:szCs w:val="22"/>
          <w:rtl/>
        </w:rPr>
        <w:tab/>
      </w:r>
      <w:r w:rsidR="00F85F9D" w:rsidRPr="00E11D5A">
        <w:rPr>
          <w:rFonts w:ascii="Arial" w:hAnsi="Arial"/>
          <w:b/>
          <w:bCs/>
          <w:sz w:val="22"/>
          <w:szCs w:val="22"/>
          <w:rtl/>
        </w:rPr>
        <w:tab/>
      </w:r>
      <w:r w:rsidR="00F85F9D" w:rsidRPr="00E11D5A">
        <w:rPr>
          <w:rFonts w:ascii="Arial" w:hAnsi="Arial"/>
          <w:b/>
          <w:bCs/>
          <w:sz w:val="22"/>
          <w:szCs w:val="22"/>
          <w:rtl/>
        </w:rPr>
        <w:tab/>
      </w:r>
      <w:r w:rsidR="00F85F9D" w:rsidRPr="00E11D5A">
        <w:rPr>
          <w:rFonts w:ascii="Arial" w:hAnsi="Arial"/>
          <w:b/>
          <w:bCs/>
          <w:sz w:val="22"/>
          <w:szCs w:val="22"/>
          <w:rtl/>
        </w:rPr>
        <w:tab/>
      </w:r>
      <w:r w:rsidR="00F85F9D" w:rsidRPr="00E11D5A">
        <w:rPr>
          <w:rFonts w:ascii="Arial" w:hAnsi="Arial" w:hint="cs"/>
          <w:b/>
          <w:bCs/>
          <w:sz w:val="22"/>
          <w:szCs w:val="22"/>
          <w:rtl/>
        </w:rPr>
        <w:t xml:space="preserve">         </w:t>
      </w:r>
    </w:p>
    <w:p w14:paraId="7115123F" w14:textId="77777777" w:rsidR="00D7334B" w:rsidRDefault="00D7334B" w:rsidP="00D7334B">
      <w:pPr>
        <w:rPr>
          <w:rtl/>
        </w:rPr>
      </w:pPr>
    </w:p>
    <w:p w14:paraId="5069EE33" w14:textId="77777777" w:rsidR="00D7334B" w:rsidRDefault="00D7334B" w:rsidP="00D7334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AE4095A" w14:textId="77777777" w:rsidR="00BB79F8" w:rsidRPr="00BB79F8" w:rsidRDefault="00BB79F8" w:rsidP="00BB79F8">
      <w:pPr>
        <w:keepNext/>
        <w:rPr>
          <w:rFonts w:ascii="David" w:hAnsi="David"/>
          <w:color w:val="000000"/>
          <w:sz w:val="22"/>
          <w:szCs w:val="22"/>
          <w:rtl/>
        </w:rPr>
      </w:pPr>
    </w:p>
    <w:p w14:paraId="6947679B" w14:textId="77777777" w:rsidR="00BB79F8" w:rsidRPr="00BB79F8" w:rsidRDefault="00BB79F8" w:rsidP="00BB79F8">
      <w:pPr>
        <w:keepNext/>
        <w:rPr>
          <w:rFonts w:ascii="David" w:hAnsi="David"/>
          <w:color w:val="000000"/>
          <w:sz w:val="22"/>
          <w:szCs w:val="22"/>
          <w:rtl/>
        </w:rPr>
      </w:pPr>
      <w:r w:rsidRPr="00BB79F8">
        <w:rPr>
          <w:rFonts w:ascii="David" w:hAnsi="David"/>
          <w:color w:val="000000"/>
          <w:sz w:val="22"/>
          <w:szCs w:val="22"/>
          <w:rtl/>
        </w:rPr>
        <w:t>ארנון איתן 54678313-/</w:t>
      </w:r>
    </w:p>
    <w:p w14:paraId="735EA210" w14:textId="77777777" w:rsidR="00D7334B" w:rsidRPr="00D7334B" w:rsidRDefault="00BB79F8" w:rsidP="00BB79F8">
      <w:pPr>
        <w:rPr>
          <w:color w:val="0000FF"/>
          <w:u w:val="single"/>
        </w:rPr>
      </w:pPr>
      <w:r w:rsidRPr="00BB79F8">
        <w:rPr>
          <w:color w:val="000000"/>
          <w:u w:val="single"/>
          <w:rtl/>
        </w:rPr>
        <w:t>נוסח מסמך זה כפוף לשינויי ניסוח ועריכה</w:t>
      </w:r>
    </w:p>
    <w:sectPr w:rsidR="00D7334B" w:rsidRPr="00D7334B" w:rsidSect="00BB79F8">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2FAE2" w14:textId="77777777" w:rsidR="00D835AC" w:rsidRDefault="00D835AC" w:rsidP="00190840">
      <w:r>
        <w:separator/>
      </w:r>
    </w:p>
  </w:endnote>
  <w:endnote w:type="continuationSeparator" w:id="0">
    <w:p w14:paraId="50A6B313" w14:textId="77777777" w:rsidR="00D835AC" w:rsidRDefault="00D835AC" w:rsidP="0019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5949F" w14:textId="77777777" w:rsidR="00BB79F8" w:rsidRDefault="00BB79F8" w:rsidP="00BB79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537B1D" w14:textId="77777777" w:rsidR="008B01C7" w:rsidRPr="00BB79F8" w:rsidRDefault="00BB79F8" w:rsidP="00BB79F8">
    <w:pPr>
      <w:pStyle w:val="a5"/>
      <w:pBdr>
        <w:top w:val="single" w:sz="4" w:space="1" w:color="auto"/>
        <w:between w:val="single" w:sz="4" w:space="0" w:color="auto"/>
      </w:pBdr>
      <w:spacing w:after="60"/>
      <w:jc w:val="center"/>
      <w:rPr>
        <w:rFonts w:ascii="FrankRuehl" w:hAnsi="FrankRuehl" w:cs="FrankRuehl"/>
        <w:color w:val="000000"/>
      </w:rPr>
    </w:pPr>
    <w:r w:rsidRPr="00BB79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BF8FB" w14:textId="77777777" w:rsidR="00BB79F8" w:rsidRDefault="00BB79F8" w:rsidP="00BB79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0A9B">
      <w:rPr>
        <w:rFonts w:ascii="FrankRuehl" w:hAnsi="FrankRuehl" w:cs="FrankRuehl"/>
        <w:noProof/>
        <w:rtl/>
      </w:rPr>
      <w:t>1</w:t>
    </w:r>
    <w:r>
      <w:rPr>
        <w:rFonts w:ascii="FrankRuehl" w:hAnsi="FrankRuehl" w:cs="FrankRuehl"/>
        <w:rtl/>
      </w:rPr>
      <w:fldChar w:fldCharType="end"/>
    </w:r>
  </w:p>
  <w:p w14:paraId="625B6D3A" w14:textId="77777777" w:rsidR="008B01C7" w:rsidRPr="00BB79F8" w:rsidRDefault="00BB79F8" w:rsidP="00BB79F8">
    <w:pPr>
      <w:pStyle w:val="a5"/>
      <w:pBdr>
        <w:top w:val="single" w:sz="4" w:space="1" w:color="auto"/>
        <w:between w:val="single" w:sz="4" w:space="0" w:color="auto"/>
      </w:pBdr>
      <w:spacing w:after="60"/>
      <w:jc w:val="center"/>
      <w:rPr>
        <w:rFonts w:ascii="FrankRuehl" w:hAnsi="FrankRuehl" w:cs="FrankRuehl"/>
        <w:color w:val="000000"/>
      </w:rPr>
    </w:pPr>
    <w:r w:rsidRPr="00BB79F8">
      <w:rPr>
        <w:rFonts w:ascii="FrankRuehl" w:hAnsi="FrankRuehl" w:cs="FrankRuehl"/>
        <w:color w:val="000000"/>
      </w:rPr>
      <w:pict w14:anchorId="24346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C30C3" w14:textId="77777777" w:rsidR="00D835AC" w:rsidRDefault="00D835AC" w:rsidP="00190840">
      <w:r>
        <w:separator/>
      </w:r>
    </w:p>
  </w:footnote>
  <w:footnote w:type="continuationSeparator" w:id="0">
    <w:p w14:paraId="6E2A70AC" w14:textId="77777777" w:rsidR="00D835AC" w:rsidRDefault="00D835AC" w:rsidP="00190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1F2C3" w14:textId="77777777" w:rsidR="00D7334B" w:rsidRPr="00BB79F8" w:rsidRDefault="00BB79F8" w:rsidP="00BB79F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24614-07-23</w:t>
    </w:r>
    <w:r>
      <w:rPr>
        <w:rFonts w:ascii="David" w:hAnsi="David"/>
        <w:color w:val="000000"/>
        <w:sz w:val="22"/>
        <w:szCs w:val="22"/>
        <w:rtl/>
      </w:rPr>
      <w:tab/>
      <w:t xml:space="preserve"> מדינת ישראל נ' ואסים עבדאל רחמן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6A096" w14:textId="77777777" w:rsidR="00D7334B" w:rsidRPr="00BB79F8" w:rsidRDefault="00BB79F8" w:rsidP="00BB79F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24614-07-23</w:t>
    </w:r>
    <w:r>
      <w:rPr>
        <w:rFonts w:ascii="David" w:hAnsi="David"/>
        <w:color w:val="000000"/>
        <w:sz w:val="22"/>
        <w:szCs w:val="22"/>
        <w:rtl/>
      </w:rPr>
      <w:tab/>
      <w:t xml:space="preserve"> מדינת ישראל נ' ואסים עבדאל רחמן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42D152E"/>
    <w:multiLevelType w:val="hybridMultilevel"/>
    <w:tmpl w:val="8236F3E8"/>
    <w:lvl w:ilvl="0" w:tplc="8BE0ACA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D075CF"/>
    <w:multiLevelType w:val="hybridMultilevel"/>
    <w:tmpl w:val="CC5098C6"/>
    <w:lvl w:ilvl="0" w:tplc="3E7EBF5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EF668D"/>
    <w:multiLevelType w:val="hybridMultilevel"/>
    <w:tmpl w:val="E06E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265DD"/>
    <w:multiLevelType w:val="hybridMultilevel"/>
    <w:tmpl w:val="AE3847A8"/>
    <w:lvl w:ilvl="0" w:tplc="B1CC5C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9122466">
    <w:abstractNumId w:val="3"/>
  </w:num>
  <w:num w:numId="2" w16cid:durableId="1890803049">
    <w:abstractNumId w:val="1"/>
  </w:num>
  <w:num w:numId="3" w16cid:durableId="1129974359">
    <w:abstractNumId w:val="4"/>
  </w:num>
  <w:num w:numId="4" w16cid:durableId="1290628107">
    <w:abstractNumId w:val="2"/>
  </w:num>
  <w:num w:numId="5" w16cid:durableId="103835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5F9D"/>
    <w:rsid w:val="00190840"/>
    <w:rsid w:val="001B5A3B"/>
    <w:rsid w:val="00691AC6"/>
    <w:rsid w:val="008B01C7"/>
    <w:rsid w:val="009D2ED2"/>
    <w:rsid w:val="00B40A9B"/>
    <w:rsid w:val="00BB79F8"/>
    <w:rsid w:val="00D7334B"/>
    <w:rsid w:val="00D835AC"/>
    <w:rsid w:val="00F85F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13E6C1"/>
  <w15:chartTrackingRefBased/>
  <w15:docId w15:val="{DBF2B4A1-6853-480C-9952-792DEF6A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5F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5F9D"/>
    <w:pPr>
      <w:tabs>
        <w:tab w:val="center" w:pos="4153"/>
        <w:tab w:val="right" w:pos="8306"/>
      </w:tabs>
    </w:pPr>
  </w:style>
  <w:style w:type="character" w:customStyle="1" w:styleId="a4">
    <w:name w:val="כותרת עליונה תו"/>
    <w:link w:val="a3"/>
    <w:rsid w:val="00F85F9D"/>
    <w:rPr>
      <w:rFonts w:ascii="Times New Roman" w:eastAsia="Times New Roman" w:hAnsi="Times New Roman" w:cs="David"/>
      <w:sz w:val="24"/>
      <w:szCs w:val="24"/>
    </w:rPr>
  </w:style>
  <w:style w:type="paragraph" w:styleId="a5">
    <w:name w:val="footer"/>
    <w:basedOn w:val="a"/>
    <w:link w:val="a6"/>
    <w:rsid w:val="00F85F9D"/>
    <w:pPr>
      <w:tabs>
        <w:tab w:val="center" w:pos="4153"/>
        <w:tab w:val="right" w:pos="8306"/>
      </w:tabs>
    </w:pPr>
  </w:style>
  <w:style w:type="character" w:customStyle="1" w:styleId="a6">
    <w:name w:val="כותרת תחתונה תו"/>
    <w:link w:val="a5"/>
    <w:rsid w:val="00F85F9D"/>
    <w:rPr>
      <w:rFonts w:ascii="Times New Roman" w:eastAsia="Times New Roman" w:hAnsi="Times New Roman" w:cs="David"/>
      <w:sz w:val="24"/>
      <w:szCs w:val="24"/>
    </w:rPr>
  </w:style>
  <w:style w:type="table" w:styleId="a7">
    <w:name w:val="Table Grid"/>
    <w:basedOn w:val="a1"/>
    <w:rsid w:val="00F85F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5F9D"/>
  </w:style>
  <w:style w:type="paragraph" w:styleId="a9">
    <w:name w:val="List Paragraph"/>
    <w:basedOn w:val="a"/>
    <w:qFormat/>
    <w:rsid w:val="00F85F9D"/>
    <w:pPr>
      <w:ind w:left="720"/>
      <w:contextualSpacing/>
    </w:pPr>
  </w:style>
  <w:style w:type="character" w:styleId="Hyperlink">
    <w:name w:val="Hyperlink"/>
    <w:rsid w:val="00F85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5063920"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6484690"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law/70301/14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913995" TargetMode="External"/><Relationship Id="rId20" Type="http://schemas.openxmlformats.org/officeDocument/2006/relationships/hyperlink" Target="http://www.nevo.co.il/case/2638341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6520337"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1699206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596931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5724364" TargetMode="External"/><Relationship Id="rId27" Type="http://schemas.openxmlformats.org/officeDocument/2006/relationships/hyperlink" Target="http://www.eca.gov.il/" TargetMode="External"/><Relationship Id="rId30" Type="http://schemas.openxmlformats.org/officeDocument/2006/relationships/header" Target="header2.xml"/><Relationship Id="rId8"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1636</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9799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7864368</vt:i4>
      </vt:variant>
      <vt:variant>
        <vt:i4>60</vt:i4>
      </vt:variant>
      <vt:variant>
        <vt:i4>0</vt:i4>
      </vt:variant>
      <vt:variant>
        <vt:i4>5</vt:i4>
      </vt:variant>
      <vt:variant>
        <vt:lpwstr>http://www.eca.gov.il/</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6357092</vt:i4>
      </vt:variant>
      <vt:variant>
        <vt:i4>54</vt:i4>
      </vt:variant>
      <vt:variant>
        <vt:i4>0</vt:i4>
      </vt:variant>
      <vt:variant>
        <vt:i4>5</vt:i4>
      </vt:variant>
      <vt:variant>
        <vt:lpwstr>http://www.nevo.co.il/law/70301/144</vt:lpwstr>
      </vt:variant>
      <vt:variant>
        <vt:lpwstr/>
      </vt:variant>
      <vt:variant>
        <vt:i4>3407987</vt:i4>
      </vt:variant>
      <vt:variant>
        <vt:i4>51</vt:i4>
      </vt:variant>
      <vt:variant>
        <vt:i4>0</vt:i4>
      </vt:variant>
      <vt:variant>
        <vt:i4>5</vt:i4>
      </vt:variant>
      <vt:variant>
        <vt:lpwstr>http://www.nevo.co.il/case/26520337</vt:lpwstr>
      </vt:variant>
      <vt:variant>
        <vt:lpwstr/>
      </vt:variant>
      <vt:variant>
        <vt:i4>3932283</vt:i4>
      </vt:variant>
      <vt:variant>
        <vt:i4>48</vt:i4>
      </vt:variant>
      <vt:variant>
        <vt:i4>0</vt:i4>
      </vt:variant>
      <vt:variant>
        <vt:i4>5</vt:i4>
      </vt:variant>
      <vt:variant>
        <vt:lpwstr>http://www.nevo.co.il/case/16992066</vt:lpwstr>
      </vt:variant>
      <vt:variant>
        <vt:lpwstr/>
      </vt:variant>
      <vt:variant>
        <vt:i4>3145841</vt:i4>
      </vt:variant>
      <vt:variant>
        <vt:i4>45</vt:i4>
      </vt:variant>
      <vt:variant>
        <vt:i4>0</vt:i4>
      </vt:variant>
      <vt:variant>
        <vt:i4>5</vt:i4>
      </vt:variant>
      <vt:variant>
        <vt:lpwstr>http://www.nevo.co.il/case/5724364</vt:lpwstr>
      </vt:variant>
      <vt:variant>
        <vt:lpwstr/>
      </vt:variant>
      <vt:variant>
        <vt:i4>3866748</vt:i4>
      </vt:variant>
      <vt:variant>
        <vt:i4>42</vt:i4>
      </vt:variant>
      <vt:variant>
        <vt:i4>0</vt:i4>
      </vt:variant>
      <vt:variant>
        <vt:i4>5</vt:i4>
      </vt:variant>
      <vt:variant>
        <vt:lpwstr>http://www.nevo.co.il/case/26484690</vt:lpwstr>
      </vt:variant>
      <vt:variant>
        <vt:lpwstr/>
      </vt:variant>
      <vt:variant>
        <vt:i4>3342462</vt:i4>
      </vt:variant>
      <vt:variant>
        <vt:i4>39</vt:i4>
      </vt:variant>
      <vt:variant>
        <vt:i4>0</vt:i4>
      </vt:variant>
      <vt:variant>
        <vt:i4>5</vt:i4>
      </vt:variant>
      <vt:variant>
        <vt:lpwstr>http://www.nevo.co.il/case/26383419</vt:lpwstr>
      </vt:variant>
      <vt:variant>
        <vt:lpwstr/>
      </vt:variant>
      <vt:variant>
        <vt:i4>3342453</vt:i4>
      </vt:variant>
      <vt:variant>
        <vt:i4>36</vt:i4>
      </vt:variant>
      <vt:variant>
        <vt:i4>0</vt:i4>
      </vt:variant>
      <vt:variant>
        <vt:i4>5</vt:i4>
      </vt:variant>
      <vt:variant>
        <vt:lpwstr>http://www.nevo.co.il/case/5969313</vt:lpwstr>
      </vt:variant>
      <vt:variant>
        <vt:lpwstr/>
      </vt:variant>
      <vt:variant>
        <vt:i4>3342462</vt:i4>
      </vt:variant>
      <vt:variant>
        <vt:i4>33</vt:i4>
      </vt:variant>
      <vt:variant>
        <vt:i4>0</vt:i4>
      </vt:variant>
      <vt:variant>
        <vt:i4>5</vt:i4>
      </vt:variant>
      <vt:variant>
        <vt:lpwstr>http://www.nevo.co.il/case/25063920</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3211386</vt:i4>
      </vt:variant>
      <vt:variant>
        <vt:i4>27</vt:i4>
      </vt:variant>
      <vt:variant>
        <vt:i4>0</vt:i4>
      </vt:variant>
      <vt:variant>
        <vt:i4>5</vt:i4>
      </vt:variant>
      <vt:variant>
        <vt:lpwstr>http://www.nevo.co.il/case/26913995</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24614</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ואסים עבדאל רחמן</vt:lpwstr>
  </property>
  <property fmtid="{D5CDD505-2E9C-101B-9397-08002B2CF9AE}" pid="10" name="LAWYER">
    <vt:lpwstr>מאזן איוב</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20240604</vt:lpwstr>
  </property>
  <property fmtid="{D5CDD505-2E9C-101B-9397-08002B2CF9AE}" pid="14" name="TYPE_N_DATE">
    <vt:lpwstr>38020240604</vt:lpwstr>
  </property>
  <property fmtid="{D5CDD505-2E9C-101B-9397-08002B2CF9AE}" pid="15" name="CASESLISTTMP1">
    <vt:lpwstr>26913995;25824863;25063920;5969313;26383419;26484690;5724364;16992066;26520337</vt:lpwstr>
  </property>
  <property fmtid="{D5CDD505-2E9C-101B-9397-08002B2CF9AE}" pid="16" name="CASENOTES1">
    <vt:lpwstr>ProcID=133;209&amp;PartA=1332&amp;PartC=04</vt:lpwstr>
  </property>
  <property fmtid="{D5CDD505-2E9C-101B-9397-08002B2CF9AE}" pid="17" name="WORDNUMPAGES">
    <vt:lpwstr>5</vt:lpwstr>
  </property>
  <property fmtid="{D5CDD505-2E9C-101B-9397-08002B2CF9AE}" pid="18" name="TYPE_ABS_DATE">
    <vt:lpwstr>380020240604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70301/144.a:3;029;144</vt:lpwstr>
  </property>
</Properties>
</file>