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B20698" w:rsidRPr="00B20698" w14:paraId="38BDC72E" w14:textId="77777777" w:rsidTr="00807165">
        <w:trPr>
          <w:trHeight w:hRule="exact" w:val="418"/>
          <w:jc w:val="center"/>
        </w:trPr>
        <w:tc>
          <w:tcPr>
            <w:tcW w:w="8720" w:type="dxa"/>
            <w:gridSpan w:val="3"/>
          </w:tcPr>
          <w:p w14:paraId="0014CB09" w14:textId="77777777" w:rsidR="00B20698" w:rsidRPr="00B20698" w:rsidRDefault="00B20698" w:rsidP="00807165">
            <w:pPr>
              <w:pStyle w:val="a3"/>
              <w:tabs>
                <w:tab w:val="clear" w:pos="8306"/>
              </w:tabs>
              <w:jc w:val="center"/>
              <w:rPr>
                <w:rFonts w:ascii="Tahoma" w:hAnsi="Tahoma" w:cs="Tahoma"/>
                <w:b/>
                <w:bCs/>
                <w:color w:val="000080"/>
                <w:sz w:val="20"/>
                <w:szCs w:val="20"/>
                <w:rtl/>
              </w:rPr>
            </w:pPr>
            <w:r w:rsidRPr="00B20698">
              <w:rPr>
                <w:rFonts w:ascii="Tahoma" w:hAnsi="Tahoma" w:cs="Tahoma"/>
                <w:b/>
                <w:bCs/>
                <w:color w:val="000080"/>
                <w:sz w:val="20"/>
                <w:szCs w:val="20"/>
                <w:rtl/>
              </w:rPr>
              <w:t>בית משפט השלום בנוף הגליל-נצרת</w:t>
            </w:r>
          </w:p>
        </w:tc>
      </w:tr>
      <w:tr w:rsidR="00B20698" w:rsidRPr="00B20698" w14:paraId="7208F82C" w14:textId="77777777" w:rsidTr="00807165">
        <w:trPr>
          <w:trHeight w:val="337"/>
          <w:jc w:val="center"/>
        </w:trPr>
        <w:tc>
          <w:tcPr>
            <w:tcW w:w="6396" w:type="dxa"/>
          </w:tcPr>
          <w:p w14:paraId="638EEEF1" w14:textId="77777777" w:rsidR="00B20698" w:rsidRPr="00B20698" w:rsidRDefault="00B20698" w:rsidP="00807165">
            <w:pPr>
              <w:rPr>
                <w:b/>
                <w:bCs/>
                <w:sz w:val="26"/>
                <w:szCs w:val="26"/>
                <w:rtl/>
              </w:rPr>
            </w:pPr>
            <w:r w:rsidRPr="00B20698">
              <w:rPr>
                <w:b/>
                <w:bCs/>
                <w:sz w:val="26"/>
                <w:szCs w:val="26"/>
                <w:rtl/>
              </w:rPr>
              <w:t>ת"פ 34982-07-23 מדינת ישראל נ' שמולביץ'</w:t>
            </w:r>
          </w:p>
          <w:p w14:paraId="7D718E81" w14:textId="77777777" w:rsidR="00B20698" w:rsidRPr="00B20698" w:rsidRDefault="00B20698" w:rsidP="00807165">
            <w:pPr>
              <w:rPr>
                <w:b/>
                <w:bCs/>
                <w:sz w:val="26"/>
                <w:szCs w:val="26"/>
                <w:rtl/>
              </w:rPr>
            </w:pPr>
          </w:p>
        </w:tc>
        <w:tc>
          <w:tcPr>
            <w:tcW w:w="236" w:type="dxa"/>
          </w:tcPr>
          <w:p w14:paraId="0874EDD7" w14:textId="77777777" w:rsidR="00B20698" w:rsidRPr="00B20698" w:rsidRDefault="00B20698" w:rsidP="00807165">
            <w:pPr>
              <w:pStyle w:val="a3"/>
              <w:jc w:val="right"/>
              <w:rPr>
                <w:b/>
                <w:bCs/>
                <w:sz w:val="26"/>
                <w:szCs w:val="26"/>
                <w:rtl/>
              </w:rPr>
            </w:pPr>
          </w:p>
        </w:tc>
        <w:tc>
          <w:tcPr>
            <w:tcW w:w="2088" w:type="dxa"/>
          </w:tcPr>
          <w:p w14:paraId="08D51811" w14:textId="77777777" w:rsidR="00B20698" w:rsidRPr="00B20698" w:rsidRDefault="00B20698" w:rsidP="00807165">
            <w:pPr>
              <w:pStyle w:val="a3"/>
              <w:tabs>
                <w:tab w:val="clear" w:pos="4153"/>
              </w:tabs>
              <w:jc w:val="right"/>
              <w:rPr>
                <w:b/>
                <w:bCs/>
                <w:sz w:val="26"/>
                <w:szCs w:val="26"/>
                <w:rtl/>
              </w:rPr>
            </w:pPr>
            <w:r w:rsidRPr="00B20698">
              <w:rPr>
                <w:b/>
                <w:bCs/>
                <w:sz w:val="26"/>
                <w:szCs w:val="26"/>
                <w:rtl/>
              </w:rPr>
              <w:t>24 דצמבר 2024</w:t>
            </w:r>
          </w:p>
        </w:tc>
      </w:tr>
    </w:tbl>
    <w:p w14:paraId="5D25B26F" w14:textId="77777777" w:rsidR="00B20698" w:rsidRPr="00B20698" w:rsidRDefault="00B20698" w:rsidP="00B20698">
      <w:pPr>
        <w:pStyle w:val="a3"/>
        <w:jc w:val="center"/>
        <w:rPr>
          <w:rFonts w:ascii="Tahoma" w:hAnsi="Tahoma" w:cs="Tahoma"/>
          <w:b/>
          <w:bCs/>
          <w:color w:val="000080"/>
          <w:sz w:val="20"/>
          <w:szCs w:val="20"/>
          <w:rtl/>
        </w:rPr>
      </w:pPr>
    </w:p>
    <w:p w14:paraId="0A3B2F4F" w14:textId="77777777" w:rsidR="00CD09F8" w:rsidRPr="00B20698" w:rsidRDefault="00CD09F8" w:rsidP="009B24E2">
      <w:pPr>
        <w:suppressLineNumbers/>
        <w:rPr>
          <w:rFonts w:ascii="Arial" w:hAnsi="Arial"/>
          <w:rtl/>
        </w:rPr>
      </w:pPr>
    </w:p>
    <w:tbl>
      <w:tblPr>
        <w:bidiVisual/>
        <w:tblW w:w="0" w:type="auto"/>
        <w:jc w:val="center"/>
        <w:tblLook w:val="0000" w:firstRow="0" w:lastRow="0" w:firstColumn="0" w:lastColumn="0" w:noHBand="0" w:noVBand="0"/>
      </w:tblPr>
      <w:tblGrid>
        <w:gridCol w:w="1592"/>
        <w:gridCol w:w="7128"/>
      </w:tblGrid>
      <w:tr w:rsidR="00B20698" w:rsidRPr="00B20698" w14:paraId="3E220329" w14:textId="77777777" w:rsidTr="00807165">
        <w:trPr>
          <w:trHeight w:val="337"/>
          <w:jc w:val="center"/>
        </w:trPr>
        <w:tc>
          <w:tcPr>
            <w:tcW w:w="1592" w:type="dxa"/>
          </w:tcPr>
          <w:p w14:paraId="1B929B28" w14:textId="77777777" w:rsidR="00B20698" w:rsidRPr="00B20698" w:rsidRDefault="00B20698" w:rsidP="00807165">
            <w:pPr>
              <w:pStyle w:val="a3"/>
              <w:bidi w:val="0"/>
              <w:spacing w:line="360" w:lineRule="auto"/>
              <w:jc w:val="both"/>
              <w:rPr>
                <w:rFonts w:ascii="Times New Roman" w:hAnsi="Times New Roman"/>
              </w:rPr>
            </w:pPr>
            <w:r w:rsidRPr="00B20698">
              <w:rPr>
                <w:rFonts w:ascii="Times New Roman" w:hAnsi="Times New Roman"/>
              </w:rPr>
              <w:t xml:space="preserve">  </w:t>
            </w:r>
          </w:p>
        </w:tc>
        <w:tc>
          <w:tcPr>
            <w:tcW w:w="7128" w:type="dxa"/>
          </w:tcPr>
          <w:p w14:paraId="6256FC82" w14:textId="77777777" w:rsidR="00B20698" w:rsidRPr="00B20698" w:rsidRDefault="00B20698" w:rsidP="00807165">
            <w:pPr>
              <w:pStyle w:val="a3"/>
              <w:jc w:val="right"/>
              <w:rPr>
                <w:rtl/>
              </w:rPr>
            </w:pPr>
            <w:r w:rsidRPr="00B20698">
              <w:rPr>
                <w:rtl/>
              </w:rPr>
              <w:t xml:space="preserve"> </w:t>
            </w:r>
          </w:p>
        </w:tc>
      </w:tr>
      <w:tr w:rsidR="00B20698" w:rsidRPr="00B20698" w14:paraId="2E517531" w14:textId="77777777" w:rsidTr="00807165">
        <w:trPr>
          <w:trHeight w:val="337"/>
          <w:jc w:val="center"/>
        </w:trPr>
        <w:tc>
          <w:tcPr>
            <w:tcW w:w="1592" w:type="dxa"/>
          </w:tcPr>
          <w:p w14:paraId="39E00001" w14:textId="77777777" w:rsidR="00B20698" w:rsidRPr="00B20698" w:rsidRDefault="00B20698" w:rsidP="00807165">
            <w:pPr>
              <w:pStyle w:val="a3"/>
              <w:bidi w:val="0"/>
              <w:jc w:val="both"/>
              <w:rPr>
                <w:rFonts w:ascii="Times New Roman" w:hAnsi="Times New Roman"/>
              </w:rPr>
            </w:pPr>
          </w:p>
        </w:tc>
        <w:tc>
          <w:tcPr>
            <w:tcW w:w="7128" w:type="dxa"/>
            <w:vAlign w:val="center"/>
          </w:tcPr>
          <w:p w14:paraId="616D0479" w14:textId="77777777" w:rsidR="00B20698" w:rsidRPr="00B20698" w:rsidRDefault="00B20698" w:rsidP="00807165">
            <w:pPr>
              <w:pStyle w:val="a3"/>
              <w:jc w:val="right"/>
              <w:rPr>
                <w:b/>
                <w:bCs/>
                <w:sz w:val="4"/>
                <w:szCs w:val="4"/>
                <w:rtl/>
              </w:rPr>
            </w:pPr>
            <w:r w:rsidRPr="00B20698">
              <w:rPr>
                <w:b/>
                <w:bCs/>
                <w:rtl/>
              </w:rPr>
              <w:t xml:space="preserve">                       מספר פל"א </w:t>
            </w:r>
            <w:r w:rsidRPr="00B20698">
              <w:rPr>
                <w:b/>
                <w:bCs/>
              </w:rPr>
              <w:t>186378/2022</w:t>
            </w:r>
          </w:p>
        </w:tc>
      </w:tr>
      <w:tr w:rsidR="00B20698" w:rsidRPr="00B20698" w14:paraId="7FB6592E" w14:textId="77777777" w:rsidTr="00807165">
        <w:trPr>
          <w:trHeight w:val="337"/>
          <w:jc w:val="center"/>
        </w:trPr>
        <w:tc>
          <w:tcPr>
            <w:tcW w:w="1592" w:type="dxa"/>
          </w:tcPr>
          <w:p w14:paraId="0609AD79" w14:textId="77777777" w:rsidR="00B20698" w:rsidRPr="00B20698" w:rsidRDefault="00B20698" w:rsidP="00807165">
            <w:pPr>
              <w:pStyle w:val="a3"/>
              <w:bidi w:val="0"/>
              <w:jc w:val="both"/>
              <w:rPr>
                <w:rFonts w:ascii="Times New Roman" w:hAnsi="Times New Roman"/>
              </w:rPr>
            </w:pPr>
          </w:p>
        </w:tc>
        <w:tc>
          <w:tcPr>
            <w:tcW w:w="7128" w:type="dxa"/>
          </w:tcPr>
          <w:p w14:paraId="3C50B82D" w14:textId="77777777" w:rsidR="00B20698" w:rsidRPr="00B20698" w:rsidRDefault="00B20698" w:rsidP="00807165">
            <w:pPr>
              <w:pStyle w:val="a3"/>
              <w:jc w:val="right"/>
              <w:rPr>
                <w:rtl/>
              </w:rPr>
            </w:pPr>
          </w:p>
        </w:tc>
      </w:tr>
    </w:tbl>
    <w:p w14:paraId="11883AD1" w14:textId="77777777" w:rsidR="00B20698" w:rsidRPr="00B20698" w:rsidRDefault="00B20698" w:rsidP="009B24E2">
      <w:pPr>
        <w:suppressLineNumbers/>
        <w:rPr>
          <w:rFonts w:ascii="Arial" w:hAnsi="Arial"/>
          <w:rtl/>
        </w:rPr>
      </w:pPr>
    </w:p>
    <w:p w14:paraId="32451634" w14:textId="77777777" w:rsidR="00B20698" w:rsidRPr="00B20698" w:rsidRDefault="00B20698" w:rsidP="009B24E2">
      <w:pPr>
        <w:suppressLineNumbers/>
        <w:spacing w:line="360" w:lineRule="auto"/>
        <w:rPr>
          <w:rFonts w:ascii="Arial" w:hAnsi="Arial"/>
          <w:b/>
          <w:bCs/>
          <w:rtl/>
        </w:rPr>
      </w:pPr>
    </w:p>
    <w:tbl>
      <w:tblPr>
        <w:bidiVisual/>
        <w:tblW w:w="8802" w:type="dxa"/>
        <w:tblInd w:w="-28" w:type="dxa"/>
        <w:tblLook w:val="01E0" w:firstRow="1" w:lastRow="1" w:firstColumn="1" w:lastColumn="1" w:noHBand="0" w:noVBand="0"/>
      </w:tblPr>
      <w:tblGrid>
        <w:gridCol w:w="2880"/>
        <w:gridCol w:w="5838"/>
        <w:gridCol w:w="84"/>
      </w:tblGrid>
      <w:tr w:rsidR="00B20698" w:rsidRPr="00B20698" w14:paraId="64CD597E" w14:textId="77777777" w:rsidTr="00807165">
        <w:trPr>
          <w:gridAfter w:val="1"/>
          <w:wAfter w:w="56" w:type="dxa"/>
        </w:trPr>
        <w:tc>
          <w:tcPr>
            <w:tcW w:w="8718" w:type="dxa"/>
            <w:gridSpan w:val="2"/>
          </w:tcPr>
          <w:p w14:paraId="1F719E29" w14:textId="77777777" w:rsidR="00B20698" w:rsidRPr="00B20698" w:rsidRDefault="00B20698" w:rsidP="00807165">
            <w:pPr>
              <w:rPr>
                <w:rFonts w:ascii="Times New Roman" w:hAnsi="Times New Roman"/>
                <w:b/>
                <w:bCs/>
                <w:sz w:val="26"/>
                <w:szCs w:val="26"/>
                <w:rtl/>
              </w:rPr>
            </w:pPr>
            <w:r w:rsidRPr="00B20698">
              <w:rPr>
                <w:rFonts w:ascii="Times New Roman" w:hAnsi="Times New Roman"/>
                <w:b/>
                <w:bCs/>
                <w:sz w:val="26"/>
                <w:szCs w:val="26"/>
                <w:rtl/>
              </w:rPr>
              <w:t>לפני כבוד השופטת, סגנית הנשיא רות שפילברג כהן</w:t>
            </w:r>
            <w:r w:rsidRPr="00B20698">
              <w:rPr>
                <w:rStyle w:val="TimesNewRomanTimesNewRoman"/>
                <w:bCs/>
                <w:szCs w:val="26"/>
                <w:rtl/>
              </w:rPr>
              <w:t xml:space="preserve"> </w:t>
            </w:r>
          </w:p>
        </w:tc>
      </w:tr>
      <w:tr w:rsidR="00B20698" w:rsidRPr="00B20698" w14:paraId="4D591316" w14:textId="77777777" w:rsidTr="00807165">
        <w:trPr>
          <w:cantSplit/>
          <w:trHeight w:val="724"/>
        </w:trPr>
        <w:tc>
          <w:tcPr>
            <w:tcW w:w="2880" w:type="dxa"/>
          </w:tcPr>
          <w:p w14:paraId="34EF255E" w14:textId="77777777" w:rsidR="00B20698" w:rsidRPr="00B20698" w:rsidRDefault="00B20698" w:rsidP="00807165">
            <w:pPr>
              <w:ind w:left="26"/>
              <w:rPr>
                <w:rFonts w:ascii="Times New Roman" w:hAnsi="Times New Roman"/>
                <w:b/>
                <w:bCs/>
                <w:sz w:val="26"/>
                <w:szCs w:val="26"/>
                <w:rtl/>
              </w:rPr>
            </w:pPr>
            <w:bookmarkStart w:id="0" w:name="FirstAppellant"/>
            <w:bookmarkStart w:id="1" w:name="LastJudge"/>
            <w:bookmarkEnd w:id="1"/>
          </w:p>
          <w:p w14:paraId="557964E2" w14:textId="77777777" w:rsidR="00B20698" w:rsidRPr="00B20698" w:rsidRDefault="00B20698" w:rsidP="00807165">
            <w:pPr>
              <w:ind w:left="26"/>
              <w:rPr>
                <w:rFonts w:ascii="Times New Roman" w:hAnsi="Times New Roman"/>
                <w:b/>
                <w:bCs/>
                <w:sz w:val="26"/>
                <w:szCs w:val="26"/>
                <w:rtl/>
              </w:rPr>
            </w:pPr>
            <w:r w:rsidRPr="00B20698">
              <w:rPr>
                <w:rFonts w:ascii="Times New Roman" w:hAnsi="Times New Roman"/>
                <w:b/>
                <w:bCs/>
                <w:sz w:val="26"/>
                <w:szCs w:val="26"/>
                <w:rtl/>
              </w:rPr>
              <w:t>המאשימה</w:t>
            </w:r>
          </w:p>
        </w:tc>
        <w:tc>
          <w:tcPr>
            <w:tcW w:w="5922" w:type="dxa"/>
            <w:gridSpan w:val="2"/>
          </w:tcPr>
          <w:p w14:paraId="2D2014DC" w14:textId="77777777" w:rsidR="00B20698" w:rsidRPr="00B20698" w:rsidRDefault="00B20698" w:rsidP="00807165">
            <w:pPr>
              <w:rPr>
                <w:rFonts w:ascii="Times New Roman" w:hAnsi="Times New Roman" w:cs="Times New Roman"/>
                <w:rtl/>
              </w:rPr>
            </w:pPr>
          </w:p>
          <w:p w14:paraId="42CCFED5" w14:textId="77777777" w:rsidR="00B20698" w:rsidRPr="00B20698" w:rsidRDefault="00B20698" w:rsidP="00807165">
            <w:pPr>
              <w:rPr>
                <w:rFonts w:ascii="Times New Roman" w:hAnsi="Times New Roman"/>
                <w:b/>
                <w:bCs/>
                <w:sz w:val="26"/>
                <w:szCs w:val="26"/>
                <w:rtl/>
              </w:rPr>
            </w:pPr>
            <w:r w:rsidRPr="00B20698">
              <w:rPr>
                <w:rFonts w:ascii="Times New Roman" w:hAnsi="Times New Roman" w:cs="Times New Roman"/>
                <w:rtl/>
              </w:rPr>
              <w:t xml:space="preserve"> </w:t>
            </w:r>
            <w:r w:rsidRPr="00B20698">
              <w:rPr>
                <w:rFonts w:ascii="Times New Roman" w:hAnsi="Times New Roman"/>
                <w:b/>
                <w:bCs/>
                <w:sz w:val="26"/>
                <w:szCs w:val="26"/>
                <w:rtl/>
              </w:rPr>
              <w:t xml:space="preserve">מדינת ישראל  </w:t>
            </w:r>
          </w:p>
        </w:tc>
      </w:tr>
      <w:bookmarkEnd w:id="0"/>
      <w:tr w:rsidR="00B20698" w:rsidRPr="00B20698" w14:paraId="148814FB" w14:textId="77777777" w:rsidTr="00807165">
        <w:tc>
          <w:tcPr>
            <w:tcW w:w="8802" w:type="dxa"/>
            <w:gridSpan w:val="3"/>
            <w:vAlign w:val="center"/>
          </w:tcPr>
          <w:p w14:paraId="6D3E076F" w14:textId="77777777" w:rsidR="00B20698" w:rsidRPr="00B20698" w:rsidRDefault="00B20698" w:rsidP="00807165">
            <w:pPr>
              <w:jc w:val="center"/>
              <w:rPr>
                <w:rFonts w:ascii="Arial" w:hAnsi="Arial"/>
                <w:b/>
                <w:bCs/>
                <w:sz w:val="26"/>
                <w:szCs w:val="26"/>
                <w:rtl/>
              </w:rPr>
            </w:pPr>
          </w:p>
          <w:p w14:paraId="7FB0225C" w14:textId="77777777" w:rsidR="00B20698" w:rsidRPr="00B20698" w:rsidRDefault="00B20698" w:rsidP="00807165">
            <w:pPr>
              <w:jc w:val="center"/>
              <w:rPr>
                <w:rFonts w:ascii="Arial" w:hAnsi="Arial"/>
                <w:b/>
                <w:bCs/>
                <w:sz w:val="26"/>
                <w:szCs w:val="26"/>
                <w:rtl/>
              </w:rPr>
            </w:pPr>
            <w:r w:rsidRPr="00B20698">
              <w:rPr>
                <w:rFonts w:ascii="Arial" w:hAnsi="Arial"/>
                <w:b/>
                <w:bCs/>
                <w:sz w:val="26"/>
                <w:szCs w:val="26"/>
                <w:rtl/>
              </w:rPr>
              <w:t>נגד</w:t>
            </w:r>
          </w:p>
          <w:p w14:paraId="23231923" w14:textId="77777777" w:rsidR="00B20698" w:rsidRPr="00B20698" w:rsidRDefault="00B20698" w:rsidP="00807165">
            <w:pPr>
              <w:rPr>
                <w:rFonts w:ascii="Arial" w:hAnsi="Arial"/>
                <w:b/>
                <w:bCs/>
                <w:sz w:val="26"/>
                <w:szCs w:val="26"/>
              </w:rPr>
            </w:pPr>
          </w:p>
        </w:tc>
      </w:tr>
      <w:tr w:rsidR="00B20698" w:rsidRPr="00B20698" w14:paraId="7881B098" w14:textId="77777777" w:rsidTr="00807165">
        <w:tc>
          <w:tcPr>
            <w:tcW w:w="2880" w:type="dxa"/>
          </w:tcPr>
          <w:p w14:paraId="43999CAD" w14:textId="77777777" w:rsidR="00B20698" w:rsidRPr="00B20698" w:rsidRDefault="00B20698" w:rsidP="00807165">
            <w:pPr>
              <w:ind w:left="26"/>
              <w:rPr>
                <w:rFonts w:ascii="Times New Roman" w:hAnsi="Times New Roman"/>
                <w:b/>
                <w:bCs/>
                <w:sz w:val="26"/>
                <w:szCs w:val="26"/>
                <w:rtl/>
              </w:rPr>
            </w:pPr>
            <w:r w:rsidRPr="00B20698">
              <w:rPr>
                <w:rFonts w:ascii="Times New Roman" w:hAnsi="Times New Roman"/>
                <w:b/>
                <w:bCs/>
                <w:sz w:val="26"/>
                <w:szCs w:val="26"/>
                <w:rtl/>
              </w:rPr>
              <w:t>הנאשם</w:t>
            </w:r>
          </w:p>
        </w:tc>
        <w:tc>
          <w:tcPr>
            <w:tcW w:w="5922" w:type="dxa"/>
            <w:gridSpan w:val="2"/>
          </w:tcPr>
          <w:p w14:paraId="771C7B3A" w14:textId="77777777" w:rsidR="00B20698" w:rsidRPr="00B20698" w:rsidRDefault="00B20698" w:rsidP="00807165">
            <w:pPr>
              <w:rPr>
                <w:rFonts w:ascii="Times New Roman" w:hAnsi="Times New Roman"/>
                <w:b/>
                <w:bCs/>
                <w:sz w:val="26"/>
                <w:szCs w:val="26"/>
                <w:rtl/>
              </w:rPr>
            </w:pPr>
            <w:r w:rsidRPr="00B20698">
              <w:rPr>
                <w:rFonts w:ascii="Times New Roman" w:hAnsi="Times New Roman" w:cs="Times New Roman"/>
                <w:rtl/>
              </w:rPr>
              <w:t xml:space="preserve"> </w:t>
            </w:r>
            <w:r w:rsidRPr="00B20698">
              <w:rPr>
                <w:rFonts w:ascii="Times New Roman" w:hAnsi="Times New Roman"/>
                <w:b/>
                <w:bCs/>
                <w:sz w:val="26"/>
                <w:szCs w:val="26"/>
                <w:rtl/>
              </w:rPr>
              <w:t>יגאל שמולביץ'</w:t>
            </w:r>
            <w:r w:rsidRPr="00B20698">
              <w:rPr>
                <w:rFonts w:ascii="Times New Roman" w:hAnsi="Times New Roman" w:cs="Times New Roman"/>
                <w:rtl/>
              </w:rPr>
              <w:t xml:space="preserve"> </w:t>
            </w:r>
            <w:r w:rsidRPr="00B20698">
              <w:rPr>
                <w:rFonts w:ascii="Times New Roman" w:hAnsi="Times New Roman"/>
                <w:b/>
                <w:bCs/>
                <w:sz w:val="26"/>
                <w:szCs w:val="26"/>
                <w:rtl/>
              </w:rPr>
              <w:t xml:space="preserve">ת"ז  </w:t>
            </w:r>
            <w:r>
              <w:rPr>
                <w:rFonts w:ascii="Times New Roman" w:hAnsi="Times New Roman"/>
                <w:b/>
                <w:bCs/>
                <w:sz w:val="26"/>
                <w:szCs w:val="26"/>
              </w:rPr>
              <w:t>xxxxxxxxxx</w:t>
            </w:r>
          </w:p>
          <w:p w14:paraId="1AB04CDE" w14:textId="77777777" w:rsidR="00B20698" w:rsidRPr="00B20698" w:rsidRDefault="00B20698" w:rsidP="00807165">
            <w:pPr>
              <w:rPr>
                <w:rFonts w:ascii="Times New Roman" w:hAnsi="Times New Roman"/>
                <w:b/>
                <w:bCs/>
                <w:sz w:val="26"/>
                <w:szCs w:val="26"/>
                <w:rtl/>
              </w:rPr>
            </w:pPr>
          </w:p>
        </w:tc>
      </w:tr>
    </w:tbl>
    <w:p w14:paraId="2260B028" w14:textId="77777777" w:rsidR="00CD09F8" w:rsidRPr="00B20698" w:rsidRDefault="00CD09F8" w:rsidP="009B24E2">
      <w:pPr>
        <w:suppressLineNumbers/>
        <w:spacing w:line="360" w:lineRule="auto"/>
        <w:rPr>
          <w:rFonts w:ascii="Arial" w:hAnsi="Arial"/>
          <w:b/>
          <w:bCs/>
          <w:rtl/>
        </w:rPr>
      </w:pPr>
      <w:r w:rsidRPr="00B20698">
        <w:rPr>
          <w:rFonts w:ascii="Arial" w:hAnsi="Arial"/>
          <w:b/>
          <w:bCs/>
          <w:rtl/>
        </w:rPr>
        <w:t>נוכחים:</w:t>
      </w:r>
    </w:p>
    <w:p w14:paraId="7252A899" w14:textId="77777777" w:rsidR="00CD09F8" w:rsidRPr="00B20698" w:rsidRDefault="00CD09F8" w:rsidP="00DB5F31">
      <w:pPr>
        <w:spacing w:line="360" w:lineRule="auto"/>
        <w:jc w:val="both"/>
        <w:rPr>
          <w:b/>
          <w:bCs/>
        </w:rPr>
      </w:pPr>
      <w:r w:rsidRPr="00B20698">
        <w:rPr>
          <w:b/>
          <w:bCs/>
          <w:rtl/>
        </w:rPr>
        <w:t xml:space="preserve">מטעם המאשימה: עו"ד אתגר קקון </w:t>
      </w:r>
    </w:p>
    <w:p w14:paraId="681AED04" w14:textId="77777777" w:rsidR="00CD09F8" w:rsidRPr="00B20698" w:rsidRDefault="00CD09F8" w:rsidP="00DB5F31">
      <w:pPr>
        <w:rPr>
          <w:b/>
          <w:bCs/>
          <w:rtl/>
        </w:rPr>
      </w:pPr>
      <w:r w:rsidRPr="00B20698">
        <w:rPr>
          <w:b/>
          <w:bCs/>
          <w:rtl/>
        </w:rPr>
        <w:t xml:space="preserve">מטעם הנאשם: בעצמו וע"י </w:t>
      </w:r>
      <w:bookmarkStart w:id="2" w:name="FirstLawyer"/>
      <w:r w:rsidRPr="00B20698">
        <w:rPr>
          <w:b/>
          <w:bCs/>
          <w:rtl/>
        </w:rPr>
        <w:t>ב"כ</w:t>
      </w:r>
      <w:bookmarkEnd w:id="2"/>
      <w:r w:rsidRPr="00B20698">
        <w:rPr>
          <w:b/>
          <w:bCs/>
          <w:rtl/>
        </w:rPr>
        <w:t xml:space="preserve"> עו"ד אבי מוסקוביץ' </w:t>
      </w:r>
    </w:p>
    <w:p w14:paraId="6C03A0F8" w14:textId="77777777" w:rsidR="00CD09F8" w:rsidRPr="00B20698" w:rsidRDefault="00CD09F8">
      <w:pPr>
        <w:spacing w:line="360" w:lineRule="auto"/>
        <w:jc w:val="both"/>
        <w:rPr>
          <w:sz w:val="6"/>
          <w:szCs w:val="6"/>
          <w:rtl/>
        </w:rPr>
      </w:pPr>
      <w:r w:rsidRPr="00B20698">
        <w:rPr>
          <w:sz w:val="6"/>
          <w:szCs w:val="6"/>
          <w:rtl/>
        </w:rPr>
        <w:t>&lt;#1#&gt;</w:t>
      </w:r>
    </w:p>
    <w:p w14:paraId="62434739" w14:textId="77777777" w:rsidR="00CD09F8" w:rsidRPr="00B20698" w:rsidRDefault="00CD09F8" w:rsidP="00E06ED4">
      <w:pPr>
        <w:pStyle w:val="12"/>
        <w:rPr>
          <w:b w:val="0"/>
          <w:bCs w:val="0"/>
          <w:u w:val="none"/>
          <w:rtl/>
        </w:rPr>
      </w:pPr>
    </w:p>
    <w:p w14:paraId="4A103CBC" w14:textId="77777777" w:rsidR="00B20698" w:rsidRPr="00B20698" w:rsidRDefault="00B20698" w:rsidP="00B20698">
      <w:pPr>
        <w:spacing w:before="120" w:after="120" w:line="240" w:lineRule="exact"/>
        <w:ind w:left="283" w:hanging="283"/>
        <w:jc w:val="both"/>
        <w:rPr>
          <w:rFonts w:ascii="FrankRuehl" w:hAnsi="FrankRuehl" w:cs="FrankRuehl"/>
          <w:rtl/>
        </w:rPr>
      </w:pPr>
    </w:p>
    <w:p w14:paraId="6BF6C8C4" w14:textId="77777777" w:rsidR="00B20698" w:rsidRPr="00B20698" w:rsidRDefault="00B20698" w:rsidP="00B20698">
      <w:pPr>
        <w:spacing w:line="360" w:lineRule="auto"/>
        <w:jc w:val="center"/>
        <w:rPr>
          <w:rFonts w:ascii="Arial" w:hAnsi="Arial"/>
          <w:sz w:val="28"/>
          <w:szCs w:val="28"/>
          <w:rtl/>
        </w:rPr>
      </w:pPr>
    </w:p>
    <w:p w14:paraId="75810A8D" w14:textId="77777777" w:rsidR="00D20C7A" w:rsidRPr="00D20C7A" w:rsidRDefault="00D20C7A" w:rsidP="00D20C7A">
      <w:pPr>
        <w:spacing w:before="120" w:after="120" w:line="240" w:lineRule="exact"/>
        <w:ind w:left="283" w:hanging="283"/>
        <w:jc w:val="both"/>
        <w:rPr>
          <w:rFonts w:ascii="FrankRuehl" w:hAnsi="FrankRuehl" w:cs="FrankRuehl"/>
          <w:rtl/>
        </w:rPr>
      </w:pPr>
      <w:bookmarkStart w:id="3" w:name="LawTable"/>
      <w:bookmarkEnd w:id="3"/>
    </w:p>
    <w:p w14:paraId="727EAD18" w14:textId="77777777" w:rsidR="00D20C7A" w:rsidRPr="00D20C7A" w:rsidRDefault="00D20C7A" w:rsidP="00D20C7A">
      <w:pPr>
        <w:spacing w:before="120" w:after="120" w:line="240" w:lineRule="exact"/>
        <w:ind w:left="283" w:hanging="283"/>
        <w:jc w:val="both"/>
        <w:rPr>
          <w:rFonts w:ascii="FrankRuehl" w:hAnsi="FrankRuehl" w:cs="FrankRuehl"/>
          <w:rtl/>
        </w:rPr>
      </w:pPr>
      <w:r w:rsidRPr="00D20C7A">
        <w:rPr>
          <w:rFonts w:ascii="FrankRuehl" w:hAnsi="FrankRuehl" w:cs="FrankRuehl"/>
          <w:rtl/>
        </w:rPr>
        <w:t xml:space="preserve">חקיקה שאוזכרה: </w:t>
      </w:r>
    </w:p>
    <w:p w14:paraId="00C364E3" w14:textId="77777777" w:rsidR="00D20C7A" w:rsidRPr="00D20C7A" w:rsidRDefault="00D20C7A" w:rsidP="00D20C7A">
      <w:pPr>
        <w:spacing w:before="120" w:after="120" w:line="240" w:lineRule="exact"/>
        <w:ind w:left="283" w:hanging="283"/>
        <w:jc w:val="both"/>
        <w:rPr>
          <w:rFonts w:ascii="FrankRuehl" w:hAnsi="FrankRuehl" w:cs="FrankRuehl"/>
          <w:color w:val="0000FF"/>
          <w:rtl/>
        </w:rPr>
      </w:pPr>
      <w:hyperlink r:id="rId7" w:history="1">
        <w:r w:rsidRPr="00D20C7A">
          <w:rPr>
            <w:rStyle w:val="Hyperlink"/>
            <w:rFonts w:ascii="FrankRuehl" w:hAnsi="FrankRuehl" w:cs="FrankRuehl"/>
            <w:u w:val="none"/>
            <w:rtl/>
          </w:rPr>
          <w:t>חוק העונשין, תשל"ז-1977</w:t>
        </w:r>
      </w:hyperlink>
      <w:r w:rsidRPr="00D20C7A">
        <w:rPr>
          <w:rFonts w:ascii="FrankRuehl" w:hAnsi="FrankRuehl" w:cs="FrankRuehl"/>
          <w:color w:val="0000FF"/>
          <w:rtl/>
        </w:rPr>
        <w:t xml:space="preserve">: סע'  </w:t>
      </w:r>
      <w:hyperlink r:id="rId8" w:history="1">
        <w:r w:rsidRPr="00D20C7A">
          <w:rPr>
            <w:rStyle w:val="Hyperlink"/>
            <w:rFonts w:ascii="FrankRuehl" w:hAnsi="FrankRuehl" w:cs="FrankRuehl"/>
            <w:u w:val="none"/>
          </w:rPr>
          <w:t>144</w:t>
        </w:r>
      </w:hyperlink>
      <w:r w:rsidRPr="00D20C7A">
        <w:rPr>
          <w:rFonts w:ascii="FrankRuehl" w:hAnsi="FrankRuehl" w:cs="FrankRuehl"/>
          <w:color w:val="0000FF"/>
          <w:rtl/>
        </w:rPr>
        <w:t xml:space="preserve">(א), </w:t>
      </w:r>
      <w:hyperlink r:id="rId9" w:history="1">
        <w:r w:rsidRPr="00D20C7A">
          <w:rPr>
            <w:rStyle w:val="Hyperlink"/>
            <w:rFonts w:ascii="FrankRuehl" w:hAnsi="FrankRuehl" w:cs="FrankRuehl"/>
            <w:u w:val="none"/>
          </w:rPr>
          <w:t>144</w:t>
        </w:r>
      </w:hyperlink>
      <w:r w:rsidRPr="00D20C7A">
        <w:rPr>
          <w:rFonts w:ascii="FrankRuehl" w:hAnsi="FrankRuehl" w:cs="FrankRuehl"/>
          <w:color w:val="0000FF"/>
          <w:rtl/>
        </w:rPr>
        <w:t>(ב)</w:t>
      </w:r>
    </w:p>
    <w:p w14:paraId="630212FB" w14:textId="77777777" w:rsidR="00B20698" w:rsidRPr="00D20C7A" w:rsidRDefault="00B20698" w:rsidP="00D20C7A">
      <w:pPr>
        <w:spacing w:line="360" w:lineRule="auto"/>
        <w:jc w:val="center"/>
        <w:rPr>
          <w:rFonts w:ascii="Arial" w:hAnsi="Arial"/>
          <w:sz w:val="28"/>
          <w:szCs w:val="28"/>
          <w:rtl/>
        </w:rPr>
      </w:pPr>
      <w:bookmarkStart w:id="4" w:name="LawTable_End"/>
      <w:bookmarkEnd w:id="4"/>
    </w:p>
    <w:p w14:paraId="619F2211" w14:textId="77777777" w:rsidR="00B20698" w:rsidRPr="00B20698" w:rsidRDefault="00B20698" w:rsidP="00B20698">
      <w:pPr>
        <w:spacing w:line="360" w:lineRule="auto"/>
        <w:jc w:val="center"/>
        <w:rPr>
          <w:rFonts w:ascii="Arial" w:hAnsi="Arial"/>
          <w:b/>
          <w:bCs/>
          <w:sz w:val="28"/>
          <w:szCs w:val="28"/>
          <w:u w:val="single"/>
          <w:rtl/>
        </w:rPr>
      </w:pPr>
      <w:bookmarkStart w:id="5" w:name="PsakDin"/>
      <w:r w:rsidRPr="00B20698">
        <w:rPr>
          <w:rFonts w:ascii="Arial" w:hAnsi="Arial"/>
          <w:b/>
          <w:bCs/>
          <w:sz w:val="28"/>
          <w:szCs w:val="28"/>
          <w:u w:val="single"/>
          <w:rtl/>
        </w:rPr>
        <w:t>גזר דין</w:t>
      </w:r>
    </w:p>
    <w:bookmarkEnd w:id="5"/>
    <w:p w14:paraId="30EAC749" w14:textId="77777777" w:rsidR="00CD09F8" w:rsidRPr="00541330" w:rsidRDefault="00CD09F8" w:rsidP="00DB5F31">
      <w:pPr>
        <w:spacing w:line="360" w:lineRule="auto"/>
        <w:jc w:val="both"/>
      </w:pPr>
    </w:p>
    <w:p w14:paraId="39EBFE95" w14:textId="77777777" w:rsidR="00CD09F8" w:rsidRPr="00DB5F31" w:rsidRDefault="00CD09F8" w:rsidP="00DB5F31">
      <w:pPr>
        <w:spacing w:line="360" w:lineRule="auto"/>
        <w:jc w:val="both"/>
        <w:rPr>
          <w:b/>
          <w:bCs/>
          <w:u w:val="single"/>
        </w:rPr>
      </w:pPr>
      <w:r w:rsidRPr="00DB5F31">
        <w:rPr>
          <w:b/>
          <w:bCs/>
          <w:u w:val="single"/>
          <w:rtl/>
        </w:rPr>
        <w:t>כתב אישום ורקע</w:t>
      </w:r>
    </w:p>
    <w:p w14:paraId="2D926369" w14:textId="77777777" w:rsidR="00CD09F8" w:rsidRPr="00DB5F31" w:rsidRDefault="00CD09F8" w:rsidP="00DB5F31">
      <w:pPr>
        <w:spacing w:line="360" w:lineRule="auto"/>
        <w:jc w:val="both"/>
        <w:rPr>
          <w:b/>
          <w:bCs/>
          <w:u w:val="single"/>
          <w:rtl/>
        </w:rPr>
      </w:pPr>
    </w:p>
    <w:p w14:paraId="63FC7F58" w14:textId="77777777" w:rsidR="00CD09F8" w:rsidRPr="00DB5F31" w:rsidRDefault="00CD09F8" w:rsidP="00DB5F31">
      <w:pPr>
        <w:spacing w:line="360" w:lineRule="auto"/>
        <w:ind w:left="720" w:hanging="720"/>
        <w:jc w:val="both"/>
        <w:rPr>
          <w:rtl/>
        </w:rPr>
      </w:pPr>
      <w:r w:rsidRPr="00DB5F31">
        <w:rPr>
          <w:rtl/>
        </w:rPr>
        <w:t>1.</w:t>
      </w:r>
      <w:r w:rsidR="00B20698">
        <w:rPr>
          <w:rtl/>
        </w:rPr>
        <w:t xml:space="preserve">        </w:t>
      </w:r>
      <w:r w:rsidRPr="00DB5F31">
        <w:rPr>
          <w:rtl/>
        </w:rPr>
        <w:t xml:space="preserve"> </w:t>
      </w:r>
      <w:r w:rsidR="00B20698">
        <w:rPr>
          <w:rtl/>
        </w:rPr>
        <w:t xml:space="preserve"> </w:t>
      </w:r>
      <w:bookmarkStart w:id="6" w:name="ABSTRACT_START"/>
      <w:bookmarkEnd w:id="6"/>
      <w:r w:rsidRPr="00DB5F31">
        <w:rPr>
          <w:rtl/>
        </w:rPr>
        <w:t xml:space="preserve">הנאשם הורשע על-פי הודאתו מיום 24.12.23 בכתב אישום, בעבירת </w:t>
      </w:r>
      <w:r w:rsidRPr="00DB5F31">
        <w:rPr>
          <w:b/>
          <w:bCs/>
          <w:rtl/>
        </w:rPr>
        <w:t xml:space="preserve">החזקת נשק שלא כדין, </w:t>
      </w:r>
      <w:r w:rsidRPr="00DB5F31">
        <w:rPr>
          <w:rtl/>
        </w:rPr>
        <w:t xml:space="preserve">לפי </w:t>
      </w:r>
      <w:hyperlink r:id="rId10" w:history="1">
        <w:r w:rsidR="00D20C7A" w:rsidRPr="00D20C7A">
          <w:rPr>
            <w:rStyle w:val="Hyperlink"/>
            <w:color w:val="0000FF"/>
            <w:rtl/>
          </w:rPr>
          <w:t>סעיף 144(א)</w:t>
        </w:r>
      </w:hyperlink>
      <w:r w:rsidRPr="00DB5F31">
        <w:rPr>
          <w:rtl/>
        </w:rPr>
        <w:t xml:space="preserve"> רישא ל</w:t>
      </w:r>
      <w:hyperlink r:id="rId11" w:history="1">
        <w:r w:rsidR="00B20698" w:rsidRPr="00B20698">
          <w:rPr>
            <w:color w:val="0000FF"/>
            <w:u w:val="single"/>
            <w:rtl/>
          </w:rPr>
          <w:t>חוק העונשין</w:t>
        </w:r>
      </w:hyperlink>
      <w:r w:rsidRPr="00DB5F31">
        <w:rPr>
          <w:rtl/>
        </w:rPr>
        <w:t>, התשל"ז-1977.</w:t>
      </w:r>
      <w:r w:rsidRPr="00DB5F31">
        <w:rPr>
          <w:b/>
          <w:bCs/>
          <w:rtl/>
        </w:rPr>
        <w:t xml:space="preserve"> </w:t>
      </w:r>
      <w:bookmarkStart w:id="7" w:name="ABSTRACT_END"/>
      <w:bookmarkEnd w:id="7"/>
    </w:p>
    <w:p w14:paraId="68AE48C1" w14:textId="77777777" w:rsidR="00CD09F8" w:rsidRPr="00DB5F31" w:rsidRDefault="00CD09F8" w:rsidP="00DB5F31">
      <w:pPr>
        <w:spacing w:line="360" w:lineRule="auto"/>
        <w:jc w:val="both"/>
        <w:rPr>
          <w:rtl/>
        </w:rPr>
      </w:pPr>
    </w:p>
    <w:p w14:paraId="012A02A3" w14:textId="77777777" w:rsidR="00CD09F8" w:rsidRPr="00DB5F31" w:rsidRDefault="00CD09F8" w:rsidP="00DB5F31">
      <w:pPr>
        <w:spacing w:line="360" w:lineRule="auto"/>
        <w:ind w:left="720" w:hanging="720"/>
        <w:jc w:val="both"/>
        <w:rPr>
          <w:rtl/>
        </w:rPr>
      </w:pPr>
      <w:r w:rsidRPr="00DB5F31">
        <w:rPr>
          <w:rtl/>
        </w:rPr>
        <w:t>2.</w:t>
      </w:r>
      <w:r w:rsidR="00B20698">
        <w:rPr>
          <w:rtl/>
        </w:rPr>
        <w:t xml:space="preserve">         </w:t>
      </w:r>
      <w:r w:rsidRPr="00DB5F31">
        <w:rPr>
          <w:rtl/>
        </w:rPr>
        <w:t xml:space="preserve"> בהתאם לכתב האישום, בתאריך 12.4.22 בשעה 15:10 בערך, החזיק הנאשם רימון הלם בביתו שברחוב החרצית 8 דירה 2 ביקנעם עלית.</w:t>
      </w:r>
    </w:p>
    <w:p w14:paraId="43B3D79E" w14:textId="77777777" w:rsidR="00CD09F8" w:rsidRPr="00DB5F31" w:rsidRDefault="00CD09F8" w:rsidP="00DB5F31">
      <w:pPr>
        <w:spacing w:line="360" w:lineRule="auto"/>
        <w:ind w:left="720" w:hanging="720"/>
        <w:jc w:val="both"/>
      </w:pPr>
    </w:p>
    <w:p w14:paraId="6563AF46" w14:textId="77777777" w:rsidR="00CD09F8" w:rsidRPr="00DB5F31" w:rsidRDefault="00CD09F8" w:rsidP="00DB5F31">
      <w:pPr>
        <w:spacing w:line="360" w:lineRule="auto"/>
        <w:ind w:left="720" w:hanging="720"/>
        <w:jc w:val="both"/>
        <w:rPr>
          <w:rtl/>
        </w:rPr>
      </w:pPr>
      <w:r w:rsidRPr="00DB5F31">
        <w:rPr>
          <w:rtl/>
        </w:rPr>
        <w:lastRenderedPageBreak/>
        <w:t>3.</w:t>
      </w:r>
      <w:r w:rsidR="00B20698">
        <w:rPr>
          <w:rtl/>
        </w:rPr>
        <w:t xml:space="preserve">        </w:t>
      </w:r>
      <w:r w:rsidRPr="00DB5F31">
        <w:rPr>
          <w:rtl/>
        </w:rPr>
        <w:t xml:space="preserve"> </w:t>
      </w:r>
      <w:r w:rsidR="00B20698">
        <w:rPr>
          <w:rtl/>
        </w:rPr>
        <w:t xml:space="preserve"> </w:t>
      </w:r>
      <w:r w:rsidRPr="00DB5F31">
        <w:rPr>
          <w:rtl/>
        </w:rPr>
        <w:t xml:space="preserve">ביום 24.12.23 הודה הנאשם, הורשע בעבירה המיוחסת לו, והופנה לקבלת תסקיר שרות המבחן, שהתבקש להתייחס גם לשאלת ההרשעה, ללא כל התחייבות בעניין זה. בהמשך הופנה הנאשם גם לקבלת חוות דעת מטעם הממונה על עבודות השרות. </w:t>
      </w:r>
    </w:p>
    <w:p w14:paraId="3C4804CB" w14:textId="77777777" w:rsidR="00CD09F8" w:rsidRDefault="00CD09F8" w:rsidP="00DB5F31">
      <w:pPr>
        <w:spacing w:line="360" w:lineRule="auto"/>
        <w:jc w:val="both"/>
        <w:rPr>
          <w:rtl/>
        </w:rPr>
      </w:pPr>
    </w:p>
    <w:p w14:paraId="31ECBCF5" w14:textId="77777777" w:rsidR="00CD09F8" w:rsidRDefault="00CD09F8" w:rsidP="00DB5F31">
      <w:pPr>
        <w:spacing w:line="360" w:lineRule="auto"/>
        <w:jc w:val="both"/>
        <w:rPr>
          <w:rtl/>
        </w:rPr>
      </w:pPr>
    </w:p>
    <w:p w14:paraId="6219DB58" w14:textId="77777777" w:rsidR="00CD09F8" w:rsidRPr="00DB5F31" w:rsidRDefault="00CD09F8" w:rsidP="00DB5F31">
      <w:pPr>
        <w:spacing w:line="360" w:lineRule="auto"/>
        <w:jc w:val="both"/>
        <w:rPr>
          <w:rtl/>
        </w:rPr>
      </w:pPr>
    </w:p>
    <w:p w14:paraId="15009EBB" w14:textId="77777777" w:rsidR="00CD09F8" w:rsidRPr="00DB5F31" w:rsidRDefault="00CD09F8" w:rsidP="00DB5F31">
      <w:pPr>
        <w:spacing w:line="360" w:lineRule="auto"/>
        <w:ind w:left="720" w:hanging="720"/>
        <w:jc w:val="both"/>
        <w:rPr>
          <w:b/>
          <w:bCs/>
          <w:u w:val="single"/>
          <w:rtl/>
        </w:rPr>
      </w:pPr>
      <w:r w:rsidRPr="00DB5F31">
        <w:rPr>
          <w:b/>
          <w:bCs/>
          <w:u w:val="single"/>
          <w:rtl/>
        </w:rPr>
        <w:t>תסקיר שרות המבחן</w:t>
      </w:r>
    </w:p>
    <w:p w14:paraId="53D624A7" w14:textId="77777777" w:rsidR="00CD09F8" w:rsidRPr="00DB5F31" w:rsidRDefault="00CD09F8" w:rsidP="00DB5F31">
      <w:pPr>
        <w:spacing w:line="360" w:lineRule="auto"/>
        <w:ind w:left="720" w:hanging="720"/>
        <w:jc w:val="both"/>
        <w:rPr>
          <w:b/>
          <w:bCs/>
          <w:u w:val="single"/>
          <w:rtl/>
        </w:rPr>
      </w:pPr>
    </w:p>
    <w:p w14:paraId="594907C3" w14:textId="77777777" w:rsidR="00CD09F8" w:rsidRPr="00DB5F31" w:rsidRDefault="00CD09F8" w:rsidP="00DB5F31">
      <w:pPr>
        <w:spacing w:line="360" w:lineRule="auto"/>
        <w:ind w:left="720" w:hanging="720"/>
        <w:jc w:val="both"/>
        <w:rPr>
          <w:b/>
          <w:bCs/>
          <w:rtl/>
        </w:rPr>
      </w:pPr>
      <w:r w:rsidRPr="00DB5F31">
        <w:rPr>
          <w:rtl/>
        </w:rPr>
        <w:t>4.</w:t>
      </w:r>
      <w:r w:rsidR="00B20698">
        <w:rPr>
          <w:rtl/>
        </w:rPr>
        <w:t xml:space="preserve">        </w:t>
      </w:r>
      <w:r w:rsidRPr="00DB5F31">
        <w:rPr>
          <w:rtl/>
        </w:rPr>
        <w:t xml:space="preserve"> </w:t>
      </w:r>
      <w:r w:rsidRPr="00DB5F31">
        <w:rPr>
          <w:b/>
          <w:bCs/>
          <w:rtl/>
        </w:rPr>
        <w:t>שרות המבחן התרשם כי הנאשם לוקח אחריות, משתף פעולה ואינו מהווה סיכון, אלא</w:t>
      </w:r>
      <w:r w:rsidR="00B20698">
        <w:rPr>
          <w:b/>
          <w:bCs/>
          <w:rtl/>
        </w:rPr>
        <w:t xml:space="preserve"> </w:t>
      </w:r>
      <w:r w:rsidRPr="00DB5F31">
        <w:rPr>
          <w:b/>
          <w:bCs/>
          <w:rtl/>
        </w:rPr>
        <w:t xml:space="preserve"> רק ברמה נמוכה, והמליץ על הטלת ענישה חינוכית מוחשית בדמוי צו של"צ בהיקף של 200 שעות, לצד </w:t>
      </w:r>
      <w:r w:rsidRPr="00DB5F31">
        <w:rPr>
          <w:b/>
          <w:bCs/>
          <w:u w:val="single"/>
          <w:rtl/>
        </w:rPr>
        <w:t>ביטול ההרשעה בדין</w:t>
      </w:r>
      <w:r w:rsidRPr="00DB5F31">
        <w:rPr>
          <w:b/>
          <w:bCs/>
          <w:rtl/>
        </w:rPr>
        <w:t>.</w:t>
      </w:r>
      <w:r w:rsidR="00B20698">
        <w:rPr>
          <w:b/>
          <w:bCs/>
          <w:rtl/>
        </w:rPr>
        <w:t xml:space="preserve"> </w:t>
      </w:r>
      <w:r w:rsidRPr="00DB5F31">
        <w:rPr>
          <w:b/>
          <w:bCs/>
          <w:rtl/>
        </w:rPr>
        <w:t xml:space="preserve"> </w:t>
      </w:r>
    </w:p>
    <w:p w14:paraId="61BBAFA9" w14:textId="77777777" w:rsidR="00CD09F8" w:rsidRPr="00DB5F31" w:rsidRDefault="00CD09F8" w:rsidP="00DB5F31">
      <w:pPr>
        <w:spacing w:line="360" w:lineRule="auto"/>
        <w:ind w:left="720" w:hanging="720"/>
        <w:jc w:val="both"/>
        <w:rPr>
          <w:b/>
          <w:bCs/>
        </w:rPr>
      </w:pPr>
    </w:p>
    <w:p w14:paraId="784ECED7" w14:textId="77777777" w:rsidR="00CD09F8" w:rsidRPr="00DB5F31" w:rsidRDefault="00CD09F8" w:rsidP="00DB5F31">
      <w:pPr>
        <w:spacing w:line="360" w:lineRule="auto"/>
        <w:ind w:left="720"/>
        <w:jc w:val="both"/>
        <w:rPr>
          <w:rtl/>
        </w:rPr>
      </w:pPr>
      <w:r w:rsidRPr="00DB5F31">
        <w:rPr>
          <w:b/>
          <w:bCs/>
          <w:rtl/>
        </w:rPr>
        <w:t xml:space="preserve">בתסקיר מיום 31.10.24 </w:t>
      </w:r>
      <w:r w:rsidRPr="00DB5F31">
        <w:rPr>
          <w:rtl/>
        </w:rPr>
        <w:t>נמסר כי הנאשם בן 37, נשוי ואב לשני ילדים (6,8). יליד ברית המועצות לשעבר, עלה לישראל בשנת 1994. מתגורר עם משפחתו ביקנעם. משפחת מוצאו מונה הורים ואחות, ללא רקע פלילי, דווח על יחסים תקינים. הנאשם נשר מבית הספר בכיתה ט', לאחר שהתמודד עם בעיות לימודיות ובעיות משמעת, ומיעט להגיע למסגרת. אובחן כסובל מבעיות קשב וריכוז. בגיל המתאים התגייס לצבא ושירת שרות צבאי מלא כטבח. מסר כי במהלך שירותו נשפט פעמיים למאסר קצר בכלא צבאי.</w:t>
      </w:r>
      <w:r w:rsidR="00B20698">
        <w:rPr>
          <w:rtl/>
        </w:rPr>
        <w:t xml:space="preserve"> </w:t>
      </w:r>
      <w:r w:rsidRPr="00DB5F31">
        <w:rPr>
          <w:rtl/>
        </w:rPr>
        <w:t xml:space="preserve"> לאחר שחרורו עבד בעבודות שונות, וכיום עובד כנהג בחברת קייטרינג.</w:t>
      </w:r>
      <w:r w:rsidR="00B20698">
        <w:rPr>
          <w:rtl/>
        </w:rPr>
        <w:t xml:space="preserve"> </w:t>
      </w:r>
      <w:r w:rsidRPr="00DB5F31">
        <w:rPr>
          <w:rtl/>
        </w:rPr>
        <w:t xml:space="preserve"> </w:t>
      </w:r>
    </w:p>
    <w:p w14:paraId="02621641" w14:textId="77777777" w:rsidR="00CD09F8" w:rsidRPr="00DB5F31" w:rsidRDefault="00CD09F8" w:rsidP="00DB5F31">
      <w:pPr>
        <w:spacing w:line="360" w:lineRule="auto"/>
        <w:ind w:left="720"/>
        <w:jc w:val="both"/>
        <w:rPr>
          <w:rtl/>
        </w:rPr>
      </w:pPr>
      <w:r w:rsidRPr="00DB5F31">
        <w:rPr>
          <w:rtl/>
        </w:rPr>
        <w:t>באשר לשימוש בחומרים ממכרים, הנאשם מסר כי צרך בעבר קנביס בנסיבות חברתיות ולאחר מכן באופן מזדמן למיסוך כאבים (ללא רישיון מוסדר). בנוסף נהג לצרוך אלכוהול בנסיבות חברתיות. שלל התנהגות חוצת גבולות בעקבות שימוש מופרז. הנאשם זומן 3 פעמים לעריכת בדיקת שתן, הגיע לבדיקה אחת אשר העידה על ניקיון מסמים. שלל נזקקות טיפולית בתחום זה.</w:t>
      </w:r>
      <w:r w:rsidR="00B20698">
        <w:rPr>
          <w:rtl/>
        </w:rPr>
        <w:t xml:space="preserve"> </w:t>
      </w:r>
      <w:r w:rsidRPr="00DB5F31">
        <w:rPr>
          <w:rtl/>
        </w:rPr>
        <w:t xml:space="preserve"> </w:t>
      </w:r>
    </w:p>
    <w:p w14:paraId="07FC70BE" w14:textId="77777777" w:rsidR="00CD09F8" w:rsidRPr="00DB5F31" w:rsidRDefault="00CD09F8" w:rsidP="00DB5F31">
      <w:pPr>
        <w:spacing w:line="360" w:lineRule="auto"/>
        <w:ind w:left="720"/>
        <w:jc w:val="both"/>
        <w:rPr>
          <w:rtl/>
        </w:rPr>
      </w:pPr>
      <w:r w:rsidRPr="00DB5F31">
        <w:rPr>
          <w:rtl/>
        </w:rPr>
        <w:t xml:space="preserve">אין לחובת הנאשם הרשעות קודמות. </w:t>
      </w:r>
    </w:p>
    <w:p w14:paraId="7A7DD42E" w14:textId="77777777" w:rsidR="00CD09F8" w:rsidRPr="00DB5F31" w:rsidRDefault="00CD09F8" w:rsidP="00DB5F31">
      <w:pPr>
        <w:spacing w:line="360" w:lineRule="auto"/>
        <w:ind w:left="720"/>
        <w:jc w:val="both"/>
      </w:pPr>
      <w:r w:rsidRPr="00DB5F31">
        <w:rPr>
          <w:rtl/>
        </w:rPr>
        <w:t>הנאשם מוכר לשירותי הרווחה בעירו, לאחר שמתוך בחירה השתלב בטיפול זוגי ופרטני, על רקע בעיות וקשיים במערכת הזוגית עם אשתו. דווח על שיתוף פעולה, מוטיבציה ונוכחות מלאה בכל המפגשים. הנאשם הביע שביעות רצון מהטיפול, ומסר כי הוא מעבד תכנים מחייו ומעולמו, ומקדם רוגע והקלה עבורו.</w:t>
      </w:r>
      <w:r w:rsidR="00B20698">
        <w:rPr>
          <w:rtl/>
        </w:rPr>
        <w:t xml:space="preserve"> </w:t>
      </w:r>
      <w:r w:rsidRPr="00DB5F31">
        <w:rPr>
          <w:rtl/>
        </w:rPr>
        <w:t xml:space="preserve"> </w:t>
      </w:r>
    </w:p>
    <w:p w14:paraId="4841F185" w14:textId="77777777" w:rsidR="00CD09F8" w:rsidRPr="00DB5F31" w:rsidRDefault="00CD09F8" w:rsidP="00DB5F31">
      <w:pPr>
        <w:spacing w:line="360" w:lineRule="auto"/>
        <w:ind w:left="720"/>
        <w:jc w:val="both"/>
        <w:rPr>
          <w:rtl/>
        </w:rPr>
      </w:pPr>
      <w:r w:rsidRPr="00DB5F31">
        <w:rPr>
          <w:rtl/>
        </w:rPr>
        <w:t>בהתייחסותו לנסיבות ביצוע העבירה, הנאשם שיתף כי לקראת שחרורו מהצבא מצא רימון הלם בבסיס, ולקח אותו לביתו, תוך שהדבר מהווה אצלו חווית ריגוש. מדבריו עלה כי לא הייתה לו כל כוונה לבצע שימוש ברימון, וכי הוא מבין שפעל בחוסר זהירות וללא הפעלת שיקול דעת. הנאשם הביע חרטה והכרה בבעייתיות ובסכנה שבהתנהגותו.</w:t>
      </w:r>
      <w:r w:rsidR="00B20698">
        <w:rPr>
          <w:rtl/>
        </w:rPr>
        <w:t xml:space="preserve"> </w:t>
      </w:r>
      <w:r w:rsidRPr="00DB5F31">
        <w:rPr>
          <w:rtl/>
        </w:rPr>
        <w:t xml:space="preserve"> </w:t>
      </w:r>
    </w:p>
    <w:p w14:paraId="24DB5FF2" w14:textId="77777777" w:rsidR="00CD09F8" w:rsidRPr="00DB5F31" w:rsidRDefault="00CD09F8" w:rsidP="00DB5F31">
      <w:pPr>
        <w:spacing w:line="360" w:lineRule="auto"/>
        <w:ind w:left="720"/>
        <w:jc w:val="both"/>
        <w:rPr>
          <w:b/>
          <w:bCs/>
          <w:u w:val="single"/>
          <w:rtl/>
        </w:rPr>
      </w:pPr>
      <w:r w:rsidRPr="00DB5F31">
        <w:rPr>
          <w:rtl/>
        </w:rPr>
        <w:t xml:space="preserve">שרות המבחן התרשם כי מדובר באדם שהתפתח בנסיבות משפחתיות מורכבות והתמודד עם חוסר יציבות וחסכים רגשיים מגיל צעיר. מנגד, דווח על יכולת הסתגלות, שמירה על יציבות תעסוקתית ועריכת מאמצים לשמר את התא הזוגי והמשפחתי. עוד נמסר, על העדר קיומם של דפוסים אלימים ועברייניים מושרשים באישיותו. מאז ביצוע העבירה חלפו </w:t>
      </w:r>
      <w:r w:rsidRPr="00DB5F31">
        <w:rPr>
          <w:rtl/>
        </w:rPr>
        <w:lastRenderedPageBreak/>
        <w:t xml:space="preserve">כשנתיים, בהן לא נפתחו נגד הנאשם תיקים נוספים. שרות המבחן רואה בחיוב וזוקף לזכותו של הנאשם את פנייתו העצמאית לטיפול במסגרת מחלקת הרווחה ואת שיתוף הפעולה הרציף שלו מעל לחצי שנה במסגרת הטיפולית. לאור כל האמור, </w:t>
      </w:r>
      <w:r w:rsidRPr="00DB5F31">
        <w:rPr>
          <w:b/>
          <w:bCs/>
          <w:u w:val="single"/>
          <w:rtl/>
        </w:rPr>
        <w:t>הוערך סיכון נמוך להישנות התנהגות דומה מצד הנאשם בעתיד.</w:t>
      </w:r>
      <w:r w:rsidR="00B20698">
        <w:rPr>
          <w:b/>
          <w:bCs/>
          <w:u w:val="single"/>
          <w:rtl/>
        </w:rPr>
        <w:t xml:space="preserve">  </w:t>
      </w:r>
      <w:r w:rsidRPr="00DB5F31">
        <w:rPr>
          <w:b/>
          <w:bCs/>
          <w:u w:val="single"/>
          <w:rtl/>
        </w:rPr>
        <w:t xml:space="preserve"> </w:t>
      </w:r>
    </w:p>
    <w:p w14:paraId="0EFC9E95" w14:textId="77777777" w:rsidR="00CD09F8" w:rsidRPr="00DB5F31" w:rsidRDefault="00CD09F8" w:rsidP="00DB5F31">
      <w:pPr>
        <w:spacing w:line="360" w:lineRule="auto"/>
        <w:ind w:left="720"/>
        <w:jc w:val="both"/>
        <w:rPr>
          <w:rtl/>
        </w:rPr>
      </w:pPr>
      <w:r w:rsidRPr="00DB5F31">
        <w:rPr>
          <w:rtl/>
        </w:rPr>
        <w:t xml:space="preserve">הנאשם הביע חשש כי הרשעתו עלולה לצמצם את האפשרויות התעסוקתיות עבורו בעתיד, אולם לא הוצגו אישורים המעידים על פגיעה קונקרטית. לאור ההתרשמות החיובית מהנאשם, שיתוף הפעולה, רמת הסיכון הנמוכה ויתר השיקולים, </w:t>
      </w:r>
      <w:r w:rsidRPr="00DB5F31">
        <w:rPr>
          <w:b/>
          <w:bCs/>
          <w:rtl/>
        </w:rPr>
        <w:t>המליץ שרות המבחן שלא למצות אתו את הדין, לבטל את הרשעתו בדין ולהטיל עליו של"צ בהיקף של 200 שעות.</w:t>
      </w:r>
      <w:r w:rsidR="00B20698">
        <w:rPr>
          <w:rtl/>
        </w:rPr>
        <w:t xml:space="preserve"> </w:t>
      </w:r>
      <w:r w:rsidRPr="00DB5F31">
        <w:rPr>
          <w:rtl/>
        </w:rPr>
        <w:t xml:space="preserve"> </w:t>
      </w:r>
    </w:p>
    <w:p w14:paraId="0C5C818A" w14:textId="77777777" w:rsidR="00CD09F8" w:rsidRPr="00DB5F31" w:rsidRDefault="00CD09F8" w:rsidP="00DB5F31">
      <w:pPr>
        <w:spacing w:line="360" w:lineRule="auto"/>
        <w:jc w:val="both"/>
        <w:rPr>
          <w:b/>
          <w:bCs/>
          <w:u w:val="single"/>
          <w:rtl/>
        </w:rPr>
      </w:pPr>
    </w:p>
    <w:p w14:paraId="53E24294" w14:textId="77777777" w:rsidR="00CD09F8" w:rsidRPr="00DB5F31" w:rsidRDefault="00CD09F8" w:rsidP="00DB5F31">
      <w:pPr>
        <w:spacing w:line="360" w:lineRule="auto"/>
        <w:jc w:val="both"/>
        <w:rPr>
          <w:u w:val="single"/>
          <w:rtl/>
        </w:rPr>
      </w:pPr>
      <w:r w:rsidRPr="00DB5F31">
        <w:rPr>
          <w:b/>
          <w:bCs/>
          <w:u w:val="single"/>
          <w:rtl/>
        </w:rPr>
        <w:t>טיעונים לעונש</w:t>
      </w:r>
    </w:p>
    <w:p w14:paraId="2A21117E" w14:textId="77777777" w:rsidR="00CD09F8" w:rsidRPr="00DB5F31" w:rsidRDefault="00CD09F8" w:rsidP="00DB5F31">
      <w:pPr>
        <w:spacing w:line="360" w:lineRule="auto"/>
        <w:ind w:left="720"/>
        <w:contextualSpacing/>
        <w:jc w:val="both"/>
        <w:rPr>
          <w:rtl/>
        </w:rPr>
      </w:pPr>
    </w:p>
    <w:p w14:paraId="51A8CD90" w14:textId="77777777" w:rsidR="00CD09F8" w:rsidRPr="00DB5F31" w:rsidRDefault="00CD09F8" w:rsidP="00DB5F31">
      <w:pPr>
        <w:spacing w:line="360" w:lineRule="auto"/>
        <w:ind w:left="720" w:hanging="720"/>
        <w:contextualSpacing/>
        <w:jc w:val="both"/>
        <w:rPr>
          <w:rtl/>
        </w:rPr>
      </w:pPr>
      <w:r w:rsidRPr="00DB5F31">
        <w:rPr>
          <w:rtl/>
        </w:rPr>
        <w:t>5.</w:t>
      </w:r>
      <w:r w:rsidR="00B20698">
        <w:rPr>
          <w:rtl/>
        </w:rPr>
        <w:t xml:space="preserve">        </w:t>
      </w:r>
      <w:r w:rsidRPr="00DB5F31">
        <w:rPr>
          <w:rtl/>
        </w:rPr>
        <w:t xml:space="preserve"> ביום 5.11.24 טענו הצדדים לעונש. ב"כ המאשימה הגישה טיעוניה בכתב, ואילו ב"כ הנאשם טען בעל-פה בפניי. </w:t>
      </w:r>
    </w:p>
    <w:p w14:paraId="53E2EF65" w14:textId="77777777" w:rsidR="00CD09F8" w:rsidRPr="00DB5F31" w:rsidRDefault="00CD09F8" w:rsidP="00DB5F31">
      <w:pPr>
        <w:spacing w:line="360" w:lineRule="auto"/>
        <w:ind w:left="720"/>
        <w:contextualSpacing/>
        <w:jc w:val="both"/>
        <w:rPr>
          <w:rtl/>
        </w:rPr>
      </w:pPr>
    </w:p>
    <w:p w14:paraId="4406C69D" w14:textId="77777777" w:rsidR="00CD09F8" w:rsidRPr="00DB5F31" w:rsidRDefault="00CD09F8" w:rsidP="00DB5F31">
      <w:pPr>
        <w:spacing w:line="360" w:lineRule="auto"/>
        <w:jc w:val="both"/>
        <w:rPr>
          <w:u w:val="single"/>
          <w:rtl/>
        </w:rPr>
      </w:pPr>
      <w:r w:rsidRPr="00DB5F31">
        <w:rPr>
          <w:rtl/>
        </w:rPr>
        <w:t>6.</w:t>
      </w:r>
      <w:r w:rsidR="00B20698">
        <w:rPr>
          <w:b/>
          <w:bCs/>
          <w:rtl/>
        </w:rPr>
        <w:t xml:space="preserve">        </w:t>
      </w:r>
      <w:r w:rsidRPr="00DB5F31">
        <w:rPr>
          <w:b/>
          <w:bCs/>
          <w:rtl/>
        </w:rPr>
        <w:t xml:space="preserve"> </w:t>
      </w:r>
      <w:r w:rsidR="00B20698">
        <w:rPr>
          <w:rtl/>
        </w:rPr>
        <w:t xml:space="preserve">  </w:t>
      </w:r>
      <w:r w:rsidRPr="00DB5F31">
        <w:rPr>
          <w:u w:val="single"/>
          <w:rtl/>
        </w:rPr>
        <w:t xml:space="preserve">טיעוני ב"כ המאשימה </w:t>
      </w:r>
    </w:p>
    <w:p w14:paraId="52FE5578" w14:textId="77777777" w:rsidR="00CD09F8" w:rsidRPr="00DB5F31" w:rsidRDefault="00CD09F8" w:rsidP="00DB5F31">
      <w:pPr>
        <w:spacing w:line="360" w:lineRule="auto"/>
        <w:ind w:left="720"/>
        <w:jc w:val="both"/>
        <w:rPr>
          <w:b/>
          <w:bCs/>
          <w:rtl/>
        </w:rPr>
      </w:pPr>
      <w:r w:rsidRPr="00DB5F31">
        <w:rPr>
          <w:b/>
          <w:bCs/>
          <w:rtl/>
        </w:rPr>
        <w:t>ב"כ המאשימה טענה כי מתחם העונש ההולם בנסיבות המקרה נע בין 9 ועד 24 חודשי מאסר בפועל לצד ענישה נלווית, וביקשה להטיל על הנאשם מאסר בפועל ברף הנמוך של המתחם לו טענה, הניתן לנשיאה בעבודות שרות, לצד מאסר על תנאי, התחייבות וקנס גבוה.</w:t>
      </w:r>
    </w:p>
    <w:p w14:paraId="0221ADAC" w14:textId="77777777" w:rsidR="00CD09F8" w:rsidRPr="00DB5F31" w:rsidRDefault="00CD09F8" w:rsidP="00DB5F31">
      <w:pPr>
        <w:spacing w:line="360" w:lineRule="auto"/>
        <w:ind w:left="720"/>
        <w:jc w:val="both"/>
        <w:rPr>
          <w:b/>
          <w:bCs/>
          <w:rtl/>
        </w:rPr>
      </w:pPr>
    </w:p>
    <w:p w14:paraId="61104120" w14:textId="77777777" w:rsidR="00CD09F8" w:rsidRPr="00DB5F31" w:rsidRDefault="00CD09F8" w:rsidP="00DB5F31">
      <w:pPr>
        <w:spacing w:line="360" w:lineRule="auto"/>
        <w:ind w:left="720"/>
        <w:jc w:val="both"/>
        <w:rPr>
          <w:rtl/>
        </w:rPr>
      </w:pPr>
      <w:r w:rsidRPr="00DB5F31">
        <w:rPr>
          <w:rtl/>
        </w:rPr>
        <w:t>נטען, כי עבירות של החזקת אמצעי לחימה הן עבירות חמורות, המגינות על ערכים חברתיים מוגנים</w:t>
      </w:r>
      <w:r w:rsidR="00B20698">
        <w:rPr>
          <w:rtl/>
        </w:rPr>
        <w:t xml:space="preserve"> </w:t>
      </w:r>
      <w:r w:rsidRPr="00DB5F31">
        <w:rPr>
          <w:rtl/>
        </w:rPr>
        <w:t xml:space="preserve"> בעלי חשיבות ראשונה במעלה – חיי אדם, שלומו, גופו ובטחונו, וכן של שמירה על הסדר הציבורי ובטחונו של הציבור. נטען כי עבירות הנשק הוכרו בפסיקה כ"מכת מדינה" בימינו, ופגיעתן בציבור היא קשה ביותר. נטען כי העונשים המוטלים כיום בבתי המשפט לא נותנים מענה הולם לסיכון הרב הנשקף מעבירות אלה, ולאינטרס הציבורי המובהק במיגור הבעיה, ועל כן, המאשימה רואה חשיבות רבה בהעלאת רמת הענישה הנוהגת בעבירות אלה. בהמשך לאמור, הפנתה ב"כ המאשימה להנחיית פרקליט המדינה מס' 9.16 – </w:t>
      </w:r>
      <w:r w:rsidRPr="00DB5F31">
        <w:rPr>
          <w:u w:val="single"/>
          <w:rtl/>
        </w:rPr>
        <w:t>מדיניות ענישה בעבירות נשק ומטעני חבלה</w:t>
      </w:r>
      <w:r w:rsidRPr="00DB5F31">
        <w:rPr>
          <w:rtl/>
        </w:rPr>
        <w:t xml:space="preserve"> (להלן: "</w:t>
      </w:r>
      <w:r w:rsidRPr="00DB5F31">
        <w:rPr>
          <w:b/>
          <w:bCs/>
          <w:rtl/>
        </w:rPr>
        <w:t>הנחיה 9.16</w:t>
      </w:r>
      <w:r w:rsidRPr="00DB5F31">
        <w:rPr>
          <w:rtl/>
        </w:rPr>
        <w:t xml:space="preserve">" הוגש </w:t>
      </w:r>
      <w:r w:rsidRPr="00DB5F31">
        <w:rPr>
          <w:b/>
          <w:bCs/>
          <w:rtl/>
        </w:rPr>
        <w:t>וסומן ע/1</w:t>
      </w:r>
      <w:r w:rsidRPr="00DB5F31">
        <w:rPr>
          <w:rtl/>
        </w:rPr>
        <w:t xml:space="preserve">), בה הותוו מתחמי מוצא, במדיניות התביעה, לתקופות מאסר בעבירות החזקת נשק ומטעני חבלה, שם נקבע כי "מתחם המוצא" בעבירה של החזקת רימון הלם עומד על 9 עד 24 חודשי מאסר בפועל. עוד הפנתה ב"כ המאשימה לתיקון 140 לחוק מיום 8.12.21, בו נקבע עונש מינימום של רבע מהעונש המרבי לעבירות נשק. יצוין כי מדובר בהוראת שעה אשר פקע תוקפה ביום 8.12.24. </w:t>
      </w:r>
    </w:p>
    <w:p w14:paraId="479F57D2" w14:textId="77777777" w:rsidR="00CD09F8" w:rsidRPr="00DB5F31" w:rsidRDefault="00CD09F8" w:rsidP="00DB5F31">
      <w:pPr>
        <w:spacing w:line="360" w:lineRule="auto"/>
        <w:ind w:left="720"/>
        <w:jc w:val="both"/>
        <w:rPr>
          <w:rtl/>
        </w:rPr>
      </w:pPr>
    </w:p>
    <w:p w14:paraId="46F8F30C" w14:textId="77777777" w:rsidR="00CD09F8" w:rsidRPr="00DB5F31" w:rsidRDefault="00CD09F8" w:rsidP="00DB5F31">
      <w:pPr>
        <w:spacing w:line="360" w:lineRule="auto"/>
        <w:ind w:left="720"/>
        <w:jc w:val="both"/>
        <w:rPr>
          <w:rtl/>
        </w:rPr>
      </w:pPr>
      <w:r w:rsidRPr="00DB5F31">
        <w:rPr>
          <w:rtl/>
        </w:rPr>
        <w:t>באשר לנסיבות הקשורות בביצוע העבירה, נטען כי הנזק הפוטנציאלי עצום. נטען כי</w:t>
      </w:r>
      <w:r w:rsidR="00B20698">
        <w:rPr>
          <w:rtl/>
        </w:rPr>
        <w:t xml:space="preserve"> </w:t>
      </w:r>
      <w:r w:rsidRPr="00DB5F31">
        <w:rPr>
          <w:rtl/>
        </w:rPr>
        <w:t xml:space="preserve"> אמנם כאן מדובר בהחזקת הנשק ולא בשימושו, אולם נשק ללא רישיון או פיקוח עלול בקלות להגיע לידי עבריינים ולקטול חיים של חפים מפשע. בנוסף, נטען כי הסיכון הכרוך בהחזקת רימון הלם הוא שעצם החזקתו בתנאים לא מתאימים עשוי להוביל לתאונות קטלניות. נטען כי הנאשם ביצע את העבירה לבדו, ללא שותפים, ואחריותו היא בלעדית ומלאה. עוד נטען, כי מתקיים אלמנט של תכנון, גם אם נעדר תחכום, כאשר הנשק לא הגיע לידי הנאשם בדרך הטבע.</w:t>
      </w:r>
      <w:r w:rsidR="00B20698">
        <w:rPr>
          <w:rtl/>
        </w:rPr>
        <w:t xml:space="preserve"> </w:t>
      </w:r>
      <w:r w:rsidRPr="00DB5F31">
        <w:rPr>
          <w:rtl/>
        </w:rPr>
        <w:t xml:space="preserve"> </w:t>
      </w:r>
    </w:p>
    <w:p w14:paraId="5790F271" w14:textId="77777777" w:rsidR="00CD09F8" w:rsidRPr="00DB5F31" w:rsidRDefault="00B20698" w:rsidP="00DB5F31">
      <w:pPr>
        <w:spacing w:line="360" w:lineRule="auto"/>
        <w:ind w:left="720"/>
        <w:jc w:val="both"/>
        <w:rPr>
          <w:rtl/>
        </w:rPr>
      </w:pPr>
      <w:r>
        <w:rPr>
          <w:rtl/>
        </w:rPr>
        <w:t xml:space="preserve"> </w:t>
      </w:r>
    </w:p>
    <w:p w14:paraId="6EB1C625" w14:textId="77777777" w:rsidR="00CD09F8" w:rsidRPr="00DB5F31" w:rsidRDefault="00CD09F8" w:rsidP="00DB5F31">
      <w:pPr>
        <w:spacing w:line="360" w:lineRule="auto"/>
        <w:ind w:left="720"/>
        <w:jc w:val="both"/>
        <w:rPr>
          <w:rtl/>
        </w:rPr>
      </w:pPr>
      <w:r w:rsidRPr="00DB5F31">
        <w:rPr>
          <w:rtl/>
        </w:rPr>
        <w:t xml:space="preserve">באשר לנסיבות שאינן קשורות בביצוע העבירה, נטען כי הנאשם צעיר ללא עבר פלילי, שהודה וחסך זמן ציבורי יקר. נטען כי ההמלצות שרות המבחן בתסקירו לביטול ההרשעה והטלת של"צ על הנאשם - הינן בניגוד להלכה. נטען כי הרשעה יש לבטל רק במקרים החריגים, בהם אין יחס סביר בין הנזק הצפוי לנאשם מן ההרשעה לבין חומרת העבירה, וכי המקרה שבפנינו אינו נמנה על המקרים האלה. בנוסף, נטען כי לא הוכח נזק קונקרטי לנאשם, כנדרש על פי הפסיקה. נטען כי יש צורך בהרתעה ובהעדפת האינטרס הציבורי על פני הנסיבות האישיות, בשים לב לפסיקת בית המשפט העליון בעבירות מסוג זה, וכי יש לתת דגש לעיקרון הרתעת הרבים. </w:t>
      </w:r>
    </w:p>
    <w:p w14:paraId="350B6544" w14:textId="77777777" w:rsidR="00CD09F8" w:rsidRPr="00DB5F31" w:rsidRDefault="00CD09F8" w:rsidP="00DB5F31">
      <w:pPr>
        <w:spacing w:line="360" w:lineRule="auto"/>
        <w:ind w:left="720"/>
        <w:jc w:val="both"/>
        <w:rPr>
          <w:rtl/>
        </w:rPr>
      </w:pPr>
      <w:r w:rsidRPr="00DB5F31">
        <w:rPr>
          <w:rtl/>
        </w:rPr>
        <w:t>לסיכום ובשקלול הנסיבות, בקשה ב"כ המאשימה להטיל על הנאשם עונש מאסר הניתן לנשיאה בעבודות שרות ועונשים נלווים, כמפורט ברישה.</w:t>
      </w:r>
    </w:p>
    <w:p w14:paraId="1138A3DE" w14:textId="77777777" w:rsidR="00CD09F8" w:rsidRPr="00DB5F31" w:rsidRDefault="00CD09F8" w:rsidP="00DB5F31">
      <w:pPr>
        <w:spacing w:line="360" w:lineRule="auto"/>
        <w:ind w:left="720" w:hanging="720"/>
        <w:jc w:val="both"/>
        <w:rPr>
          <w:rtl/>
        </w:rPr>
      </w:pPr>
    </w:p>
    <w:p w14:paraId="44F33E09" w14:textId="77777777" w:rsidR="00CD09F8" w:rsidRPr="00DB5F31" w:rsidRDefault="00CD09F8" w:rsidP="00DB5F31">
      <w:pPr>
        <w:spacing w:line="360" w:lineRule="auto"/>
        <w:jc w:val="both"/>
        <w:rPr>
          <w:u w:val="single"/>
          <w:rtl/>
        </w:rPr>
      </w:pPr>
      <w:r w:rsidRPr="00DB5F31">
        <w:rPr>
          <w:rtl/>
        </w:rPr>
        <w:t>7.</w:t>
      </w:r>
      <w:r w:rsidR="00B20698">
        <w:rPr>
          <w:rtl/>
        </w:rPr>
        <w:t xml:space="preserve">        </w:t>
      </w:r>
      <w:r w:rsidRPr="00DB5F31">
        <w:rPr>
          <w:rtl/>
        </w:rPr>
        <w:t xml:space="preserve"> </w:t>
      </w:r>
      <w:r w:rsidRPr="00DB5F31">
        <w:rPr>
          <w:u w:val="single"/>
          <w:rtl/>
        </w:rPr>
        <w:t>טיעוני ב"כ הנאשם</w:t>
      </w:r>
    </w:p>
    <w:p w14:paraId="429FB690" w14:textId="77777777" w:rsidR="00CD09F8" w:rsidRPr="00DB5F31" w:rsidRDefault="00CD09F8" w:rsidP="00DB5F31">
      <w:pPr>
        <w:spacing w:line="360" w:lineRule="auto"/>
        <w:ind w:left="720"/>
        <w:contextualSpacing/>
        <w:jc w:val="both"/>
        <w:rPr>
          <w:b/>
          <w:bCs/>
          <w:highlight w:val="yellow"/>
          <w:rtl/>
        </w:rPr>
      </w:pPr>
      <w:r w:rsidRPr="00DB5F31">
        <w:rPr>
          <w:b/>
          <w:bCs/>
          <w:rtl/>
        </w:rPr>
        <w:t>ב"כ הנאשם טען כי מתחם העונש ההולם מצוי בין של"צ ללא הרשעה לבין מאסר של חודשים ספורים לנשיאה בעבודות שרות, וביקש מבית המשפט לאמץ את המלצות שרות המבחן במלואן, קרי לבטל את ההרשעה ולהשית על הנאשם צו של"צ בהיקף 200 שעות.</w:t>
      </w:r>
    </w:p>
    <w:p w14:paraId="042B7D3F" w14:textId="77777777" w:rsidR="00CD09F8" w:rsidRPr="00DB5F31" w:rsidRDefault="00CD09F8" w:rsidP="00DB5F31">
      <w:pPr>
        <w:spacing w:line="360" w:lineRule="auto"/>
        <w:ind w:left="720"/>
        <w:contextualSpacing/>
        <w:jc w:val="both"/>
        <w:rPr>
          <w:b/>
          <w:bCs/>
          <w:highlight w:val="yellow"/>
          <w:rtl/>
        </w:rPr>
      </w:pPr>
    </w:p>
    <w:p w14:paraId="13707F94" w14:textId="77777777" w:rsidR="00CD09F8" w:rsidRPr="00DB5F31" w:rsidRDefault="00CD09F8" w:rsidP="00DB5F31">
      <w:pPr>
        <w:spacing w:line="360" w:lineRule="auto"/>
        <w:ind w:left="720"/>
        <w:contextualSpacing/>
        <w:jc w:val="both"/>
        <w:rPr>
          <w:rtl/>
        </w:rPr>
      </w:pPr>
      <w:r w:rsidRPr="00DB5F31">
        <w:rPr>
          <w:rtl/>
        </w:rPr>
        <w:t xml:space="preserve">הוגשה הודעת הנאשם מיום 12.4.22, שם קיבל אחריות על מעשיו בהזדמנות הראשונה, וכן </w:t>
      </w:r>
    </w:p>
    <w:p w14:paraId="5DDB1240" w14:textId="77777777" w:rsidR="00CD09F8" w:rsidRPr="00DB5F31" w:rsidRDefault="00CD09F8" w:rsidP="00DB5F31">
      <w:pPr>
        <w:spacing w:line="360" w:lineRule="auto"/>
        <w:ind w:left="720"/>
        <w:contextualSpacing/>
        <w:jc w:val="both"/>
        <w:rPr>
          <w:rtl/>
        </w:rPr>
      </w:pPr>
      <w:r w:rsidRPr="00DB5F31">
        <w:rPr>
          <w:rtl/>
        </w:rPr>
        <w:t xml:space="preserve">הוגשו תלושי שכר של הנאשם ומכתב פיטורין עקב צמצומים מיום 30.10.24 – </w:t>
      </w:r>
      <w:r w:rsidRPr="00DB5F31">
        <w:rPr>
          <w:b/>
          <w:bCs/>
          <w:rtl/>
        </w:rPr>
        <w:t xml:space="preserve">סומן נ/1. </w:t>
      </w:r>
    </w:p>
    <w:p w14:paraId="38581803" w14:textId="77777777" w:rsidR="00CD09F8" w:rsidRPr="00DB5F31" w:rsidRDefault="00CD09F8" w:rsidP="00DB5F31">
      <w:pPr>
        <w:spacing w:line="360" w:lineRule="auto"/>
        <w:ind w:left="720"/>
        <w:contextualSpacing/>
        <w:jc w:val="both"/>
        <w:rPr>
          <w:rtl/>
        </w:rPr>
      </w:pPr>
      <w:r w:rsidRPr="00DB5F31">
        <w:rPr>
          <w:rtl/>
        </w:rPr>
        <w:t>נטען כי הנאשם שיתף מלכתחילה בנסיבות הגעת הרימון לביתו, בשנת 2007, לפני שנים רבות, את העובדה שהדבר נעשה ללא מחשבה ובתמימות על גבול הטיפשות, עת שהנאשם היה צעיר וללא מחשבה. נטען כי הנאשם הינו אדם נורמטיבי, איננו עבריין ונעדר עבר פלילי. נטען כי הרימון היה מונח על המדף במשך שנים, העלה אבק, ולנאשם לא היו כל כוונות להשתמש בו או להפיק ממנו תועלת כלשהי או רווח.</w:t>
      </w:r>
      <w:r w:rsidR="00B20698">
        <w:rPr>
          <w:rtl/>
        </w:rPr>
        <w:t xml:space="preserve"> </w:t>
      </w:r>
      <w:r w:rsidRPr="00DB5F31">
        <w:rPr>
          <w:rtl/>
        </w:rPr>
        <w:t xml:space="preserve"> הנאשם חי עם אישה ושתי בנות קטנות בביתו, עובד, ואם היה משקיע מחשבה, לא היה מסכן את בנות ביתו. נטען כי שרות המבחן התרשם לטובה מהנאשם והגיש תסקיר חיובי בעניינו, הממליץ, בין היתר, על ביטול ההרשעה. בעניין זה נטען כי בית המשפט הגמיש את דרישותיו וביטל לאחרונה הרשעות גם ללא הוכחת נזק קונקרטי (הוגשה פסיקה). נטען כי כאן מדובר בסוג עבירה שניתן להימנע מהרשעה בגינה, וכן נטען כי לנאשם עלול להיגרם נזק מהרשעה, כיוון שבכוונתו להגיש מועמדות למשרת עבודה כמאבטח במוסדות ציבוריים או ברכבת. נטען כי לסוג עבודות אלה יש צורך להוציא רישיון נשק, דבר שיבצר מהנאשם אם יורשע בדין. צוין כי הנאשם עבד לאורך כל השנים אולם בעת המלחמה פוטר עקב צמצומים בחברת הקייטרינג, ועל כן כיום הוא זקוק למצוא עבודה חדשה ולהתפתח בה, והרשעה תסגור בפניו דלתות הרלוונטיות לעבודה בה הוא מתכוון לעסוק. נטען כי יש לתת משקל הולם להמלצת שרות המבחן בעניינו של הנאשם, בדגש על הכיוון החיובי שהנאשם הולך בו בהקשר לטיפול הזוגי שמשתתף בו לאורך תקופה. נטען כי אשת הנאשם עובדת, אך אינה יכולה לפרנס את הנאשם ובנותיהם כמפרנסת יחידה, ומכאן שהנאשם זקוק לצאת ולפרנס והרשעתו תחסום בפניו אפשרויות פרנסה רבות.</w:t>
      </w:r>
      <w:r w:rsidR="00B20698">
        <w:rPr>
          <w:rtl/>
        </w:rPr>
        <w:t xml:space="preserve">         </w:t>
      </w:r>
      <w:r w:rsidRPr="00DB5F31">
        <w:rPr>
          <w:rtl/>
        </w:rPr>
        <w:t xml:space="preserve"> </w:t>
      </w:r>
    </w:p>
    <w:p w14:paraId="269E011C" w14:textId="77777777" w:rsidR="00CD09F8" w:rsidRPr="00DB5F31" w:rsidRDefault="00CD09F8" w:rsidP="00DB5F31">
      <w:pPr>
        <w:spacing w:line="360" w:lineRule="auto"/>
        <w:ind w:left="720"/>
        <w:contextualSpacing/>
        <w:jc w:val="both"/>
        <w:rPr>
          <w:rtl/>
        </w:rPr>
      </w:pPr>
      <w:r w:rsidRPr="00DB5F31">
        <w:rPr>
          <w:rtl/>
        </w:rPr>
        <w:t xml:space="preserve">בשקלול הנסיבות, נטען כי הכף נוטה במקרה הזה לביטול ההרשעה וסיום ההליך בצו של"צ כפי שהמליץ שרות המבחן בתסקירו. </w:t>
      </w:r>
    </w:p>
    <w:p w14:paraId="169D56BB" w14:textId="77777777" w:rsidR="00CD09F8" w:rsidRPr="00DB5F31" w:rsidRDefault="00CD09F8" w:rsidP="00DB5F31">
      <w:pPr>
        <w:spacing w:line="360" w:lineRule="auto"/>
        <w:ind w:left="720"/>
        <w:contextualSpacing/>
        <w:jc w:val="both"/>
        <w:rPr>
          <w:rtl/>
        </w:rPr>
      </w:pPr>
    </w:p>
    <w:p w14:paraId="2D150952" w14:textId="77777777" w:rsidR="00CD09F8" w:rsidRPr="00DB5F31" w:rsidRDefault="00CD09F8" w:rsidP="00DB5F31">
      <w:pPr>
        <w:spacing w:line="360" w:lineRule="auto"/>
        <w:jc w:val="both"/>
        <w:rPr>
          <w:rtl/>
        </w:rPr>
      </w:pPr>
    </w:p>
    <w:p w14:paraId="1B1349E9" w14:textId="77777777" w:rsidR="00CD09F8" w:rsidRPr="00DB5F31" w:rsidRDefault="00CD09F8" w:rsidP="00DB5F31">
      <w:pPr>
        <w:spacing w:line="360" w:lineRule="auto"/>
        <w:jc w:val="both"/>
        <w:rPr>
          <w:u w:val="single"/>
          <w:rtl/>
        </w:rPr>
      </w:pPr>
      <w:r w:rsidRPr="00DB5F31">
        <w:rPr>
          <w:rtl/>
        </w:rPr>
        <w:t>8.</w:t>
      </w:r>
      <w:r w:rsidR="00B20698">
        <w:rPr>
          <w:rtl/>
        </w:rPr>
        <w:t xml:space="preserve">        </w:t>
      </w:r>
      <w:r w:rsidRPr="00DB5F31">
        <w:rPr>
          <w:rtl/>
        </w:rPr>
        <w:t xml:space="preserve"> </w:t>
      </w:r>
      <w:r w:rsidRPr="00DB5F31">
        <w:rPr>
          <w:u w:val="single"/>
          <w:rtl/>
        </w:rPr>
        <w:t>דברי הנאשם</w:t>
      </w:r>
    </w:p>
    <w:p w14:paraId="4E072F2F" w14:textId="77777777" w:rsidR="00CD09F8" w:rsidRPr="00DB5F31" w:rsidRDefault="00CD09F8" w:rsidP="00DB5F31">
      <w:pPr>
        <w:spacing w:line="360" w:lineRule="auto"/>
        <w:ind w:left="720"/>
        <w:jc w:val="both"/>
        <w:rPr>
          <w:rtl/>
        </w:rPr>
      </w:pPr>
      <w:r w:rsidRPr="00DB5F31">
        <w:rPr>
          <w:rtl/>
        </w:rPr>
        <w:t xml:space="preserve">הנאשם מסר כי הוא מבין את מה שעשה והוא מצטער מאוד. עוד מסר כי בשעתו לא הבין את חשיבות הדברים כפי שהוא מבין היום, הוא שואף להתקדם בחיים ולצאת לעבוד. </w:t>
      </w:r>
    </w:p>
    <w:p w14:paraId="04A9F91E" w14:textId="77777777" w:rsidR="00CD09F8" w:rsidRPr="00DB5F31" w:rsidRDefault="00CD09F8" w:rsidP="00DB5F31">
      <w:pPr>
        <w:spacing w:line="360" w:lineRule="auto"/>
        <w:jc w:val="both"/>
        <w:rPr>
          <w:b/>
          <w:bCs/>
          <w:u w:val="single"/>
          <w:rtl/>
        </w:rPr>
      </w:pPr>
    </w:p>
    <w:p w14:paraId="07C69B9D" w14:textId="77777777" w:rsidR="00CD09F8" w:rsidRPr="00DB5F31" w:rsidRDefault="00CD09F8" w:rsidP="00DB5F31">
      <w:pPr>
        <w:spacing w:line="360" w:lineRule="auto"/>
        <w:jc w:val="both"/>
        <w:rPr>
          <w:b/>
          <w:bCs/>
          <w:u w:val="single"/>
          <w:rtl/>
        </w:rPr>
      </w:pPr>
      <w:r w:rsidRPr="00DB5F31">
        <w:rPr>
          <w:b/>
          <w:bCs/>
          <w:u w:val="single"/>
          <w:rtl/>
        </w:rPr>
        <w:t>דיון והכרעה</w:t>
      </w:r>
    </w:p>
    <w:p w14:paraId="694C93D9" w14:textId="77777777" w:rsidR="00CD09F8" w:rsidRPr="00DB5F31" w:rsidRDefault="00CD09F8" w:rsidP="00DB5F31">
      <w:pPr>
        <w:spacing w:line="360" w:lineRule="auto"/>
        <w:jc w:val="both"/>
        <w:rPr>
          <w:b/>
          <w:bCs/>
          <w:u w:val="single"/>
          <w:rtl/>
        </w:rPr>
      </w:pPr>
    </w:p>
    <w:p w14:paraId="39D0E66A" w14:textId="77777777" w:rsidR="00CD09F8" w:rsidRPr="00DB5F31" w:rsidRDefault="00CD09F8" w:rsidP="00DB5F31">
      <w:pPr>
        <w:spacing w:line="360" w:lineRule="auto"/>
        <w:jc w:val="both"/>
        <w:rPr>
          <w:u w:val="single"/>
          <w:rtl/>
        </w:rPr>
      </w:pPr>
      <w:r w:rsidRPr="00DB5F31">
        <w:rPr>
          <w:u w:val="single"/>
          <w:rtl/>
        </w:rPr>
        <w:t>שאלת ההרשעה</w:t>
      </w:r>
    </w:p>
    <w:p w14:paraId="1E2450A5" w14:textId="77777777" w:rsidR="00CD09F8" w:rsidRPr="00DB5F31" w:rsidRDefault="00CD09F8" w:rsidP="00DB5F31">
      <w:pPr>
        <w:spacing w:line="360" w:lineRule="auto"/>
        <w:jc w:val="both"/>
        <w:rPr>
          <w:u w:val="single"/>
          <w:rtl/>
        </w:rPr>
      </w:pPr>
    </w:p>
    <w:p w14:paraId="72367F23" w14:textId="77777777" w:rsidR="00CD09F8" w:rsidRPr="00DB5F31" w:rsidRDefault="00CD09F8" w:rsidP="00DB5F31">
      <w:pPr>
        <w:spacing w:line="360" w:lineRule="auto"/>
        <w:ind w:left="720" w:hanging="720"/>
        <w:jc w:val="both"/>
        <w:rPr>
          <w:rtl/>
        </w:rPr>
      </w:pPr>
      <w:r w:rsidRPr="00DB5F31">
        <w:rPr>
          <w:rtl/>
        </w:rPr>
        <w:t>9.</w:t>
      </w:r>
      <w:r w:rsidR="00B20698">
        <w:rPr>
          <w:rtl/>
        </w:rPr>
        <w:t xml:space="preserve">        </w:t>
      </w:r>
      <w:r w:rsidRPr="00DB5F31">
        <w:rPr>
          <w:rtl/>
        </w:rPr>
        <w:t xml:space="preserve"> הכלל בהליך הפלילי הנו כי נאשם בגיר, שהוכחה אשמתו - יורשע בדין. הכלל המנחה לגבי הימנעות מהרשעה, שנקבע ב</w:t>
      </w:r>
      <w:hyperlink r:id="rId12" w:history="1">
        <w:r w:rsidR="00B20698" w:rsidRPr="00B20698">
          <w:rPr>
            <w:color w:val="0000FF"/>
            <w:u w:val="single"/>
            <w:rtl/>
          </w:rPr>
          <w:t>ע"פ 2083-96</w:t>
        </w:r>
      </w:hyperlink>
      <w:r w:rsidRPr="00DB5F31">
        <w:rPr>
          <w:rtl/>
        </w:rPr>
        <w:t xml:space="preserve"> </w:t>
      </w:r>
      <w:r w:rsidRPr="00DB5F31">
        <w:rPr>
          <w:b/>
          <w:bCs/>
          <w:rtl/>
        </w:rPr>
        <w:t>תמר כתב נ' מדינת ישראל</w:t>
      </w:r>
      <w:r w:rsidRPr="00DB5F31">
        <w:rPr>
          <w:rtl/>
        </w:rPr>
        <w:t xml:space="preserve">, פ"ד נב(3) 337 (21.8.97) (להלן: </w:t>
      </w:r>
      <w:r w:rsidRPr="00DB5F31">
        <w:rPr>
          <w:b/>
          <w:bCs/>
          <w:rtl/>
        </w:rPr>
        <w:t>"הלכת כתב"</w:t>
      </w:r>
      <w:r w:rsidRPr="00DB5F31">
        <w:rPr>
          <w:rtl/>
        </w:rPr>
        <w:t>)</w:t>
      </w:r>
      <w:r w:rsidRPr="00DB5F31">
        <w:rPr>
          <w:b/>
          <w:bCs/>
          <w:rtl/>
        </w:rPr>
        <w:t>,</w:t>
      </w:r>
      <w:r w:rsidRPr="00DB5F31">
        <w:rPr>
          <w:rtl/>
        </w:rPr>
        <w:t xml:space="preserve"> קובע כי זו תהיה מוצדקת רק בהתקיים שני תנאים מצטברים - על ההרשעה לפגוע פגיעה חמורה בשיקום הנאשם, ושנית, סוג העבירה מאפשר לוותר בנסיבות המקרה המסוים על ההרשעה בלי לפגוע באופן מהותי בשיקולי הענישה. </w:t>
      </w:r>
    </w:p>
    <w:p w14:paraId="2FB86092" w14:textId="77777777" w:rsidR="00CD09F8" w:rsidRPr="00DB5F31" w:rsidRDefault="00CD09F8" w:rsidP="00DB5F31">
      <w:pPr>
        <w:spacing w:line="360" w:lineRule="auto"/>
        <w:jc w:val="both"/>
        <w:rPr>
          <w:rtl/>
        </w:rPr>
      </w:pPr>
    </w:p>
    <w:p w14:paraId="4F5D8872" w14:textId="77777777" w:rsidR="00CD09F8" w:rsidRPr="00DB5F31" w:rsidRDefault="00CD09F8" w:rsidP="00DB5F31">
      <w:pPr>
        <w:spacing w:line="360" w:lineRule="auto"/>
        <w:ind w:left="720" w:hanging="720"/>
        <w:jc w:val="both"/>
        <w:rPr>
          <w:rtl/>
        </w:rPr>
      </w:pPr>
      <w:r w:rsidRPr="00DB5F31">
        <w:rPr>
          <w:rtl/>
        </w:rPr>
        <w:t>10.</w:t>
      </w:r>
      <w:r w:rsidR="00B20698">
        <w:rPr>
          <w:rtl/>
        </w:rPr>
        <w:t xml:space="preserve">      </w:t>
      </w:r>
      <w:r w:rsidRPr="00DB5F31">
        <w:rPr>
          <w:rtl/>
        </w:rPr>
        <w:t xml:space="preserve"> ב</w:t>
      </w:r>
      <w:hyperlink r:id="rId13" w:history="1">
        <w:r w:rsidR="00B20698" w:rsidRPr="00B20698">
          <w:rPr>
            <w:color w:val="0000FF"/>
            <w:u w:val="single"/>
            <w:rtl/>
          </w:rPr>
          <w:t>רע"פ 2644/23</w:t>
        </w:r>
      </w:hyperlink>
      <w:r w:rsidRPr="00DB5F31">
        <w:rPr>
          <w:rtl/>
        </w:rPr>
        <w:t xml:space="preserve"> </w:t>
      </w:r>
      <w:r w:rsidRPr="00DB5F31">
        <w:rPr>
          <w:b/>
          <w:bCs/>
          <w:rtl/>
        </w:rPr>
        <w:t xml:space="preserve">עמירן עזרן נ' מדינת ישראל </w:t>
      </w:r>
      <w:r w:rsidRPr="00DB5F31">
        <w:rPr>
          <w:rtl/>
        </w:rPr>
        <w:t>(17.5.23), חזר בית המשפט העליון על ההלכה שנקבעה בהלכת כתב:</w:t>
      </w:r>
    </w:p>
    <w:p w14:paraId="52485B39" w14:textId="77777777" w:rsidR="00CD09F8" w:rsidRPr="00DB5F31" w:rsidRDefault="00CD09F8" w:rsidP="00DB5F31">
      <w:pPr>
        <w:spacing w:line="360" w:lineRule="auto"/>
        <w:ind w:left="720" w:hanging="720"/>
        <w:jc w:val="both"/>
        <w:rPr>
          <w:rtl/>
        </w:rPr>
      </w:pPr>
    </w:p>
    <w:p w14:paraId="3CE0836E" w14:textId="77777777" w:rsidR="00CD09F8" w:rsidRPr="00DB5F31" w:rsidRDefault="00CD09F8" w:rsidP="00DB5F31">
      <w:pPr>
        <w:spacing w:line="360" w:lineRule="auto"/>
        <w:ind w:left="1417" w:right="1417"/>
        <w:jc w:val="both"/>
        <w:rPr>
          <w:i/>
          <w:iCs/>
          <w:rtl/>
        </w:rPr>
      </w:pPr>
      <w:r w:rsidRPr="00DB5F31">
        <w:rPr>
          <w:b/>
          <w:bCs/>
          <w:rtl/>
        </w:rPr>
        <w:t xml:space="preserve">"החלטה להימנע מהרשעה כאמור, מהווה חריג לכלל המחייב בהרשעה ולפיכך ממוקדת מטבעה באיזון שבין שיקולי שיקומו של הנאשם ובין שיקולי הענישה הנוספים הקשורים לעניין, ובפרט שיקולי ההרתעה והגמול (ראו: </w:t>
      </w:r>
      <w:hyperlink r:id="rId14" w:history="1">
        <w:r w:rsidR="00B20698" w:rsidRPr="00B20698">
          <w:rPr>
            <w:b/>
            <w:bCs/>
            <w:color w:val="0000FF"/>
            <w:u w:val="single"/>
            <w:rtl/>
          </w:rPr>
          <w:t>רע"פ 9177/20</w:t>
        </w:r>
      </w:hyperlink>
      <w:r w:rsidRPr="00DB5F31">
        <w:rPr>
          <w:b/>
          <w:bCs/>
          <w:rtl/>
        </w:rPr>
        <w:t xml:space="preserve"> אלזאם נ' מדינת ישראל, פסקה 8 [פורסם בנבו] (26.01.2021); </w:t>
      </w:r>
      <w:hyperlink r:id="rId15" w:history="1">
        <w:r w:rsidR="00B20698" w:rsidRPr="00B20698">
          <w:rPr>
            <w:b/>
            <w:bCs/>
            <w:color w:val="0000FF"/>
            <w:u w:val="single"/>
            <w:rtl/>
          </w:rPr>
          <w:t>רע"פ 172/21</w:t>
        </w:r>
      </w:hyperlink>
      <w:r w:rsidRPr="00DB5F31">
        <w:rPr>
          <w:b/>
          <w:bCs/>
          <w:rtl/>
        </w:rPr>
        <w:t xml:space="preserve"> פלוני נ' מדינת ישראל, פסקה 5 [פורסם בנבו] (12.01.2021); ע"פ 3515/12‏‏ מדינת ישראל נ' שבתאי, פסקאות 18-17 [פורסם בנבו] (10.09.2013)).</w:t>
      </w:r>
    </w:p>
    <w:p w14:paraId="0C1EF81E" w14:textId="77777777" w:rsidR="00CD09F8" w:rsidRPr="00DB5F31" w:rsidRDefault="00CD09F8" w:rsidP="00DB5F31">
      <w:pPr>
        <w:spacing w:line="360" w:lineRule="auto"/>
        <w:ind w:left="1417" w:right="1417"/>
        <w:jc w:val="both"/>
        <w:rPr>
          <w:b/>
          <w:bCs/>
          <w:rtl/>
        </w:rPr>
      </w:pPr>
      <w:r w:rsidRPr="00DB5F31">
        <w:rPr>
          <w:b/>
          <w:bCs/>
          <w:rtl/>
        </w:rPr>
        <w:t xml:space="preserve">כפי שהובהר בפסיקה לא אחת, הימנעות מהרשעה תהא אפשרית בהצטברם של שני תנאים: הראשון, כי ההרשעה תפגע באופן ממשי בשיקום הנאשם בהתחשב בנסיבותיו הפרטניות; השני, כי סוג העבירה מאפשר לוותר בנסיבות המקרה המסוים על ההרשעה מבלי לפגוע באופן מהותי בשיקולי הענישה האחרים, ובפרט בשיקולי הגמול וההרתעה (ראו: הלכת כתב, בפסקה 7; </w:t>
      </w:r>
      <w:hyperlink r:id="rId16" w:history="1">
        <w:r w:rsidR="00B20698" w:rsidRPr="00B20698">
          <w:rPr>
            <w:b/>
            <w:bCs/>
            <w:color w:val="0000FF"/>
            <w:u w:val="single"/>
            <w:rtl/>
          </w:rPr>
          <w:t>רע"פ 2020/23</w:t>
        </w:r>
      </w:hyperlink>
      <w:r w:rsidRPr="00DB5F31">
        <w:rPr>
          <w:b/>
          <w:bCs/>
          <w:rtl/>
        </w:rPr>
        <w:t xml:space="preserve"> סוויסה נ' מדינת ישראל, פסקה 8 [פורסם בנבו] (12.03.2023); </w:t>
      </w:r>
      <w:hyperlink r:id="rId17" w:history="1">
        <w:r w:rsidR="00B20698" w:rsidRPr="00B20698">
          <w:rPr>
            <w:b/>
            <w:bCs/>
            <w:color w:val="0000FF"/>
            <w:u w:val="single"/>
            <w:rtl/>
          </w:rPr>
          <w:t>רע"פ 6002/22</w:t>
        </w:r>
      </w:hyperlink>
      <w:r w:rsidRPr="00DB5F31">
        <w:rPr>
          <w:b/>
          <w:bCs/>
          <w:rtl/>
        </w:rPr>
        <w:t xml:space="preserve"> ריאבנקו נ' מדינת ישראל, פסקה 14 [פורסם בנבו] (19.09.2022))".</w:t>
      </w:r>
    </w:p>
    <w:p w14:paraId="1B21529E" w14:textId="77777777" w:rsidR="00CD09F8" w:rsidRPr="00DB5F31" w:rsidRDefault="00CD09F8" w:rsidP="00DB5F31">
      <w:pPr>
        <w:spacing w:line="360" w:lineRule="auto"/>
        <w:ind w:left="1417" w:right="1417"/>
        <w:jc w:val="both"/>
        <w:rPr>
          <w:b/>
          <w:bCs/>
          <w:rtl/>
        </w:rPr>
      </w:pPr>
    </w:p>
    <w:p w14:paraId="686B4852" w14:textId="77777777" w:rsidR="00CD09F8" w:rsidRPr="00DB5F31" w:rsidRDefault="00CD09F8" w:rsidP="00DB5F31">
      <w:pPr>
        <w:spacing w:line="360" w:lineRule="auto"/>
        <w:ind w:left="720" w:hanging="720"/>
        <w:jc w:val="both"/>
        <w:rPr>
          <w:b/>
          <w:bCs/>
          <w:rtl/>
        </w:rPr>
      </w:pPr>
      <w:r w:rsidRPr="00DB5F31">
        <w:rPr>
          <w:rtl/>
        </w:rPr>
        <w:t>11.</w:t>
      </w:r>
      <w:r w:rsidR="00B20698">
        <w:rPr>
          <w:b/>
          <w:bCs/>
          <w:rtl/>
        </w:rPr>
        <w:t xml:space="preserve">      </w:t>
      </w:r>
      <w:r w:rsidRPr="00DB5F31">
        <w:rPr>
          <w:b/>
          <w:bCs/>
          <w:rtl/>
        </w:rPr>
        <w:t xml:space="preserve"> </w:t>
      </w:r>
      <w:r w:rsidRPr="00DB5F31">
        <w:rPr>
          <w:rtl/>
        </w:rPr>
        <w:t>בהתאם לדברים, יש לערוך איזון הדדי בין שני שיקולים שמשקלם משפיע זה על זה – ככל שהעבירה חמורה יותר, נסיבותיה קשות, ופגיעתה בערכים ובמוסכמות החברתיות גבוהה יותר, אזי הימנעות מהרשעת מבצעה תהיה פחות סבירה ומוצדקת, ותתאפשר, אם בכלל, רק מקום בו תוכח פגיעה ניכרת וקשה בעתידו של הנאשם.</w:t>
      </w:r>
    </w:p>
    <w:p w14:paraId="76C25238" w14:textId="77777777" w:rsidR="00CD09F8" w:rsidRPr="00DB5F31" w:rsidRDefault="00CD09F8" w:rsidP="00DB5F31">
      <w:pPr>
        <w:spacing w:line="360" w:lineRule="auto"/>
        <w:ind w:left="720" w:hanging="720"/>
        <w:jc w:val="both"/>
        <w:rPr>
          <w:b/>
          <w:bCs/>
        </w:rPr>
      </w:pPr>
    </w:p>
    <w:p w14:paraId="17D925C8" w14:textId="77777777" w:rsidR="00CD09F8" w:rsidRPr="00DB5F31" w:rsidRDefault="00CD09F8" w:rsidP="00DB5F31">
      <w:pPr>
        <w:spacing w:line="360" w:lineRule="auto"/>
        <w:ind w:left="720" w:hanging="720"/>
        <w:jc w:val="both"/>
        <w:rPr>
          <w:rtl/>
        </w:rPr>
      </w:pPr>
      <w:r w:rsidRPr="00DB5F31">
        <w:rPr>
          <w:rtl/>
        </w:rPr>
        <w:t>12</w:t>
      </w:r>
      <w:r w:rsidRPr="00DB5F31">
        <w:rPr>
          <w:b/>
          <w:bCs/>
          <w:rtl/>
        </w:rPr>
        <w:t>.</w:t>
      </w:r>
      <w:r w:rsidR="00B20698">
        <w:rPr>
          <w:b/>
          <w:bCs/>
          <w:rtl/>
        </w:rPr>
        <w:t xml:space="preserve">      </w:t>
      </w:r>
      <w:r w:rsidRPr="00DB5F31">
        <w:rPr>
          <w:b/>
          <w:bCs/>
          <w:rtl/>
        </w:rPr>
        <w:t xml:space="preserve"> </w:t>
      </w:r>
      <w:r w:rsidRPr="00DB5F31">
        <w:rPr>
          <w:rtl/>
        </w:rPr>
        <w:t>ב"כ הנאשם הפנה לפסקי דין רבים וטען כי הפסיקה הגמישה את התנאים לביטול ההרשעה, ואמנם בחלק מהמקרים אליהם הפנתה ההגנה,</w:t>
      </w:r>
      <w:r w:rsidR="00B20698">
        <w:rPr>
          <w:rtl/>
        </w:rPr>
        <w:t xml:space="preserve"> </w:t>
      </w:r>
      <w:r w:rsidRPr="00DB5F31">
        <w:rPr>
          <w:rtl/>
        </w:rPr>
        <w:t>מצא בית המשפט לבטל הרשעת נאשמים בדין בעבירות החזקת נשק מסוגים שונים ובחלקם עבירות אחרות, גם כשלא תמיד הוכחה פגיעה קונקרטית וודאית בנאשם. בין היתר, הפנתה ההגנה ל</w:t>
      </w:r>
      <w:hyperlink r:id="rId18" w:history="1">
        <w:r w:rsidR="00B20698" w:rsidRPr="00B20698">
          <w:rPr>
            <w:color w:val="0000FF"/>
            <w:u w:val="single"/>
            <w:rtl/>
          </w:rPr>
          <w:t>ת"פ (שלום פתח תקווה) 6640-11-19</w:t>
        </w:r>
      </w:hyperlink>
      <w:r w:rsidRPr="00DB5F31">
        <w:rPr>
          <w:b/>
          <w:bCs/>
          <w:rtl/>
        </w:rPr>
        <w:t xml:space="preserve"> מדינת ישראל נ' גנם</w:t>
      </w:r>
      <w:r w:rsidRPr="00DB5F31">
        <w:rPr>
          <w:rtl/>
        </w:rPr>
        <w:t xml:space="preserve"> (28.10.20); </w:t>
      </w:r>
      <w:hyperlink r:id="rId19" w:history="1">
        <w:r w:rsidR="00B20698" w:rsidRPr="00B20698">
          <w:rPr>
            <w:color w:val="0000FF"/>
            <w:u w:val="single"/>
            <w:rtl/>
          </w:rPr>
          <w:t>ת"פ (שלום חדרה) 21526-07-19</w:t>
        </w:r>
      </w:hyperlink>
      <w:r w:rsidRPr="00DB5F31">
        <w:rPr>
          <w:rtl/>
        </w:rPr>
        <w:t xml:space="preserve"> </w:t>
      </w:r>
      <w:r w:rsidRPr="00DB5F31">
        <w:rPr>
          <w:b/>
          <w:bCs/>
          <w:rtl/>
        </w:rPr>
        <w:t>מדינת ישראל נ' קוקולייב</w:t>
      </w:r>
      <w:r w:rsidRPr="00DB5F31">
        <w:rPr>
          <w:rtl/>
        </w:rPr>
        <w:t xml:space="preserve"> (2.8.21); </w:t>
      </w:r>
      <w:hyperlink r:id="rId20" w:history="1">
        <w:r w:rsidR="00B20698" w:rsidRPr="00B20698">
          <w:rPr>
            <w:color w:val="0000FF"/>
            <w:u w:val="single"/>
            <w:rtl/>
          </w:rPr>
          <w:t>ת"פ (שלום ק"ש) 50630-11-16</w:t>
        </w:r>
      </w:hyperlink>
      <w:r w:rsidRPr="00DB5F31">
        <w:rPr>
          <w:rtl/>
        </w:rPr>
        <w:t xml:space="preserve"> </w:t>
      </w:r>
      <w:r w:rsidRPr="00DB5F31">
        <w:rPr>
          <w:b/>
          <w:bCs/>
          <w:rtl/>
        </w:rPr>
        <w:t>שלוחת תביעות מרום גולן והגליל נ' ניסנבוים</w:t>
      </w:r>
      <w:r w:rsidRPr="00DB5F31">
        <w:rPr>
          <w:rtl/>
        </w:rPr>
        <w:t xml:space="preserve"> (21.11.17))</w:t>
      </w:r>
      <w:r w:rsidRPr="00DB5F31">
        <w:rPr>
          <w:b/>
          <w:bCs/>
          <w:rtl/>
        </w:rPr>
        <w:t xml:space="preserve">; </w:t>
      </w:r>
      <w:hyperlink r:id="rId21" w:history="1">
        <w:r w:rsidR="00B20698" w:rsidRPr="00B20698">
          <w:rPr>
            <w:color w:val="0000FF"/>
            <w:u w:val="single"/>
            <w:rtl/>
          </w:rPr>
          <w:t>רע"פ 8215-16</w:t>
        </w:r>
      </w:hyperlink>
      <w:r w:rsidRPr="00DB5F31">
        <w:rPr>
          <w:rtl/>
        </w:rPr>
        <w:t xml:space="preserve"> </w:t>
      </w:r>
      <w:r w:rsidRPr="00DB5F31">
        <w:rPr>
          <w:b/>
          <w:bCs/>
          <w:rtl/>
        </w:rPr>
        <w:t xml:space="preserve">אברהם יצחק נ' מדינת ישראל </w:t>
      </w:r>
      <w:r w:rsidRPr="00DB5F31">
        <w:rPr>
          <w:rtl/>
        </w:rPr>
        <w:t xml:space="preserve">(29.3.17); </w:t>
      </w:r>
      <w:hyperlink r:id="rId22" w:history="1">
        <w:r w:rsidR="00B20698" w:rsidRPr="00B20698">
          <w:rPr>
            <w:color w:val="0000FF"/>
            <w:u w:val="single"/>
            <w:rtl/>
          </w:rPr>
          <w:t>רע"פ 3446-10</w:t>
        </w:r>
      </w:hyperlink>
      <w:r w:rsidRPr="00DB5F31">
        <w:rPr>
          <w:rtl/>
        </w:rPr>
        <w:t xml:space="preserve"> </w:t>
      </w:r>
      <w:r w:rsidRPr="00DB5F31">
        <w:rPr>
          <w:b/>
          <w:bCs/>
          <w:rtl/>
        </w:rPr>
        <w:t>סאלח עבד אלחלים נ' מדינת ישראל</w:t>
      </w:r>
      <w:r w:rsidRPr="00DB5F31">
        <w:rPr>
          <w:rtl/>
        </w:rPr>
        <w:t xml:space="preserve"> (6.4.11); </w:t>
      </w:r>
      <w:hyperlink r:id="rId23" w:history="1">
        <w:r w:rsidR="00B20698" w:rsidRPr="00B20698">
          <w:rPr>
            <w:color w:val="0000FF"/>
            <w:u w:val="single"/>
            <w:rtl/>
          </w:rPr>
          <w:t>ע"פ (מחוזי נצרת) 70442-02-19</w:t>
        </w:r>
      </w:hyperlink>
      <w:r w:rsidRPr="00DB5F31">
        <w:rPr>
          <w:rtl/>
        </w:rPr>
        <w:t xml:space="preserve"> </w:t>
      </w:r>
      <w:r w:rsidRPr="00DB5F31">
        <w:rPr>
          <w:b/>
          <w:bCs/>
          <w:rtl/>
        </w:rPr>
        <w:t>אמיר ספורי נ' מדינת ישראל</w:t>
      </w:r>
      <w:r w:rsidRPr="00DB5F31">
        <w:rPr>
          <w:rtl/>
        </w:rPr>
        <w:t xml:space="preserve"> (30.10.19).</w:t>
      </w:r>
    </w:p>
    <w:p w14:paraId="008B31D1" w14:textId="77777777" w:rsidR="00CD09F8" w:rsidRPr="00DB5F31" w:rsidRDefault="00CD09F8" w:rsidP="00DB5F31">
      <w:pPr>
        <w:spacing w:line="360" w:lineRule="auto"/>
        <w:ind w:left="720" w:hanging="720"/>
        <w:jc w:val="both"/>
        <w:rPr>
          <w:b/>
          <w:bCs/>
          <w:rtl/>
        </w:rPr>
      </w:pPr>
    </w:p>
    <w:p w14:paraId="7702CF54" w14:textId="77777777" w:rsidR="00CD09F8" w:rsidRPr="00DB5F31" w:rsidRDefault="00CD09F8" w:rsidP="00DB5F31">
      <w:pPr>
        <w:spacing w:line="360" w:lineRule="auto"/>
        <w:ind w:left="720" w:hanging="720"/>
        <w:jc w:val="both"/>
        <w:rPr>
          <w:b/>
          <w:bCs/>
          <w:rtl/>
        </w:rPr>
      </w:pPr>
      <w:r w:rsidRPr="00DB5F31">
        <w:rPr>
          <w:rtl/>
        </w:rPr>
        <w:t>13.</w:t>
      </w:r>
      <w:r w:rsidR="00B20698">
        <w:rPr>
          <w:b/>
          <w:bCs/>
          <w:rtl/>
        </w:rPr>
        <w:t xml:space="preserve">      </w:t>
      </w:r>
      <w:r w:rsidRPr="00DB5F31">
        <w:rPr>
          <w:b/>
          <w:bCs/>
          <w:rtl/>
        </w:rPr>
        <w:t xml:space="preserve"> </w:t>
      </w:r>
      <w:r w:rsidRPr="00DB5F31">
        <w:rPr>
          <w:rtl/>
        </w:rPr>
        <w:t>מנגד, המאשימה טענה כי לא מתקיימים במקרה שלפנינו התנאים שנקבעו בפסיקה לביטול ההרשעה; מדובר על עבירת נשק המחייבת הרתעה וענישה חמורה, ואף לא הוכחה פגיעה קונקרטית מהותית בנאשם ככל שההרשעה תיוותר על כנה.</w:t>
      </w:r>
    </w:p>
    <w:p w14:paraId="41D8B065" w14:textId="77777777" w:rsidR="00CD09F8" w:rsidRPr="00DB5F31" w:rsidRDefault="00CD09F8" w:rsidP="00DB5F31">
      <w:pPr>
        <w:spacing w:line="360" w:lineRule="auto"/>
        <w:ind w:left="720" w:hanging="720"/>
        <w:jc w:val="both"/>
        <w:rPr>
          <w:b/>
          <w:bCs/>
          <w:rtl/>
        </w:rPr>
      </w:pPr>
    </w:p>
    <w:p w14:paraId="30F3E0D8" w14:textId="77777777" w:rsidR="00CD09F8" w:rsidRPr="00DB5F31" w:rsidRDefault="00CD09F8" w:rsidP="00DB5F31">
      <w:pPr>
        <w:spacing w:line="360" w:lineRule="auto"/>
        <w:ind w:left="720" w:hanging="720"/>
        <w:jc w:val="both"/>
        <w:rPr>
          <w:b/>
          <w:bCs/>
          <w:rtl/>
        </w:rPr>
      </w:pPr>
      <w:r w:rsidRPr="00DB5F31">
        <w:rPr>
          <w:rtl/>
        </w:rPr>
        <w:t>14.</w:t>
      </w:r>
      <w:r w:rsidR="00B20698">
        <w:rPr>
          <w:b/>
          <w:bCs/>
          <w:rtl/>
        </w:rPr>
        <w:t xml:space="preserve">      </w:t>
      </w:r>
      <w:r w:rsidRPr="00DB5F31">
        <w:rPr>
          <w:b/>
          <w:bCs/>
          <w:rtl/>
        </w:rPr>
        <w:t xml:space="preserve"> שקלתי את נסיבותיו של כתב האישום, ומצאתי כי מקרה זה אינו מתאים לביטול ההרשעה.</w:t>
      </w:r>
      <w:r w:rsidRPr="00DB5F31">
        <w:rPr>
          <w:rtl/>
        </w:rPr>
        <w:t xml:space="preserve"> מעשי הנאשם פגעו בערכים חברתיים חשובים, שעניינם ביטחון הציבור ושלמות גוף האדם. נדרש מסר ברור בגנות תופעה של החזקת נשק מכל סוג ללא רישיון בביתו של מי שאינו מורשה לכך, ומסר זה אינו מאפשר ביטול הרשעה. החזקת רימון הלם בבית, מה עוד שנגנב בזמנו, אליבא גרסת הנאשם, מצה"ל, הנה התנהגות חמורה המחייבת הרשעה. באשר לנזק לנאשם – לא שוכנעתי כי מדובר בפגיעה וודאית בנאשם, שתיגרם לו בשל ההרשעה. שאיפה לעסוק בתחום האבטחה בעתיד (או בכל תחום אחר) אינה עונה על הגדרת "נזק קונקרטי", ומסתכמת בהשערה תיאורטית בלבד כי ייגרם נזק.</w:t>
      </w:r>
      <w:r w:rsidR="00B20698">
        <w:rPr>
          <w:rtl/>
        </w:rPr>
        <w:t xml:space="preserve"> </w:t>
      </w:r>
      <w:r w:rsidRPr="00DB5F31">
        <w:rPr>
          <w:rtl/>
        </w:rPr>
        <w:t xml:space="preserve"> </w:t>
      </w:r>
    </w:p>
    <w:p w14:paraId="17058341" w14:textId="77777777" w:rsidR="00CD09F8" w:rsidRPr="00DB5F31" w:rsidRDefault="00CD09F8" w:rsidP="00DB5F31">
      <w:pPr>
        <w:spacing w:line="360" w:lineRule="auto"/>
        <w:ind w:left="720"/>
        <w:jc w:val="both"/>
        <w:rPr>
          <w:b/>
          <w:bCs/>
          <w:rtl/>
        </w:rPr>
      </w:pPr>
      <w:r w:rsidRPr="00DB5F31">
        <w:rPr>
          <w:rtl/>
        </w:rPr>
        <w:t xml:space="preserve">לסיכום הדברים, לא מצאתי כי הנזק שיגרם לנאשם, אשר מידתו איננה ברורה, עולה על הנזק שייגרם לאינטרס הציבורי בהימנעות מהרשעה. </w:t>
      </w:r>
      <w:r w:rsidR="00B20698">
        <w:rPr>
          <w:rtl/>
        </w:rPr>
        <w:t xml:space="preserve">           </w:t>
      </w:r>
      <w:r w:rsidRPr="00DB5F31">
        <w:rPr>
          <w:rtl/>
        </w:rPr>
        <w:t xml:space="preserve"> </w:t>
      </w:r>
    </w:p>
    <w:p w14:paraId="498924B6" w14:textId="77777777" w:rsidR="00CD09F8" w:rsidRPr="00DB5F31" w:rsidRDefault="00CD09F8" w:rsidP="00DB5F31">
      <w:pPr>
        <w:spacing w:line="360" w:lineRule="auto"/>
        <w:ind w:left="363"/>
        <w:jc w:val="both"/>
        <w:rPr>
          <w:b/>
          <w:bCs/>
          <w:rtl/>
        </w:rPr>
      </w:pPr>
    </w:p>
    <w:p w14:paraId="2D523AA0" w14:textId="77777777" w:rsidR="00CD09F8" w:rsidRPr="00DB5F31" w:rsidRDefault="00CD09F8" w:rsidP="00DB5F31">
      <w:pPr>
        <w:spacing w:line="360" w:lineRule="auto"/>
        <w:ind w:left="363" w:firstLine="357"/>
        <w:jc w:val="both"/>
        <w:rPr>
          <w:b/>
          <w:bCs/>
          <w:rtl/>
        </w:rPr>
      </w:pPr>
      <w:r w:rsidRPr="00DB5F31">
        <w:rPr>
          <w:b/>
          <w:bCs/>
          <w:rtl/>
        </w:rPr>
        <w:t>לאור האמור לעיל, הרשעת הנאשם נותרת על כנה.</w:t>
      </w:r>
    </w:p>
    <w:p w14:paraId="469FE42A" w14:textId="77777777" w:rsidR="00CD09F8" w:rsidRPr="00DB5F31" w:rsidRDefault="00CD09F8" w:rsidP="00DB5F31">
      <w:pPr>
        <w:spacing w:line="360" w:lineRule="auto"/>
        <w:ind w:left="363" w:firstLine="357"/>
        <w:jc w:val="both"/>
        <w:rPr>
          <w:b/>
          <w:bCs/>
          <w:rtl/>
        </w:rPr>
      </w:pPr>
    </w:p>
    <w:p w14:paraId="7F010981" w14:textId="77777777" w:rsidR="00CD09F8" w:rsidRPr="00DB5F31" w:rsidRDefault="00CD09F8" w:rsidP="00DB5F31">
      <w:pPr>
        <w:spacing w:line="360" w:lineRule="auto"/>
        <w:jc w:val="both"/>
        <w:rPr>
          <w:b/>
          <w:bCs/>
          <w:u w:val="single"/>
        </w:rPr>
      </w:pPr>
    </w:p>
    <w:p w14:paraId="65D6896E" w14:textId="77777777" w:rsidR="00CD09F8" w:rsidRPr="00DB5F31" w:rsidRDefault="00CD09F8" w:rsidP="00DB5F31">
      <w:pPr>
        <w:spacing w:line="360" w:lineRule="auto"/>
        <w:jc w:val="both"/>
        <w:rPr>
          <w:u w:val="single"/>
          <w:rtl/>
        </w:rPr>
      </w:pPr>
      <w:r w:rsidRPr="00DB5F31">
        <w:rPr>
          <w:u w:val="single"/>
          <w:rtl/>
        </w:rPr>
        <w:t>מתחם העונש ההולם</w:t>
      </w:r>
    </w:p>
    <w:p w14:paraId="72632CA1" w14:textId="77777777" w:rsidR="00CD09F8" w:rsidRPr="00DB5F31" w:rsidRDefault="00CD09F8" w:rsidP="00DB5F31">
      <w:pPr>
        <w:spacing w:line="360" w:lineRule="auto"/>
        <w:jc w:val="both"/>
        <w:rPr>
          <w:u w:val="single"/>
          <w:rtl/>
        </w:rPr>
      </w:pPr>
    </w:p>
    <w:p w14:paraId="61B41D5D" w14:textId="77777777" w:rsidR="00CD09F8" w:rsidRPr="00DB5F31" w:rsidRDefault="00CD09F8" w:rsidP="00DB5F31">
      <w:pPr>
        <w:spacing w:line="360" w:lineRule="auto"/>
        <w:ind w:left="720" w:hanging="720"/>
        <w:jc w:val="both"/>
        <w:rPr>
          <w:rtl/>
        </w:rPr>
      </w:pPr>
      <w:r w:rsidRPr="00DB5F31">
        <w:rPr>
          <w:rtl/>
        </w:rPr>
        <w:t>15.</w:t>
      </w:r>
      <w:r w:rsidR="00B20698">
        <w:rPr>
          <w:rtl/>
        </w:rPr>
        <w:t xml:space="preserve">      </w:t>
      </w:r>
      <w:r w:rsidRPr="00DB5F31">
        <w:rPr>
          <w:rtl/>
        </w:rPr>
        <w:t xml:space="preserve"> הערכים החברתיים המוגנים הנפגעים כתוצאה מעבירות של </w:t>
      </w:r>
      <w:r w:rsidRPr="00DB5F31">
        <w:rPr>
          <w:b/>
          <w:bCs/>
          <w:rtl/>
        </w:rPr>
        <w:t>החזקת נשק ותחמושת</w:t>
      </w:r>
      <w:r w:rsidRPr="00DB5F31">
        <w:rPr>
          <w:rtl/>
        </w:rPr>
        <w:t xml:space="preserve"> הנם שלום הציבור ובטחונו. בתי המשפט עמדו לא אחת על חומרתן של עבירות הנשק, תוך הדגשת הסיכון הממשי לציבור הנובע מעבירות אלה. החזקת נשק על ידי אזרחים יוצרת מטבעה פוטנציאל להסלמה עבריינית או לפעילות עוינת. בהתאם להלכה הפסוקה, חומרת עבירות הנשק מחייבת מתן ביטוי עונשי הולם ומרתיע באמצעות הטלת עונשי מאסר בפועל, כשנסיבות אישיות נדחות בפני האינטרס הציבורי. </w:t>
      </w:r>
    </w:p>
    <w:p w14:paraId="55D762CF" w14:textId="77777777" w:rsidR="00CD09F8" w:rsidRPr="00DB5F31" w:rsidRDefault="00B20698" w:rsidP="00DB5F31">
      <w:pPr>
        <w:spacing w:line="360" w:lineRule="auto"/>
        <w:ind w:left="720" w:hanging="720"/>
        <w:jc w:val="both"/>
      </w:pPr>
      <w:r>
        <w:rPr>
          <w:rtl/>
        </w:rPr>
        <w:t xml:space="preserve">           </w:t>
      </w:r>
      <w:r w:rsidR="00CD09F8" w:rsidRPr="00DB5F31">
        <w:rPr>
          <w:rtl/>
        </w:rPr>
        <w:t xml:space="preserve"> </w:t>
      </w:r>
    </w:p>
    <w:p w14:paraId="42F679DD" w14:textId="77777777" w:rsidR="00CD09F8" w:rsidRPr="00DB5F31" w:rsidRDefault="00CD09F8" w:rsidP="00DB5F31">
      <w:pPr>
        <w:spacing w:line="360" w:lineRule="auto"/>
        <w:ind w:left="800"/>
        <w:contextualSpacing/>
        <w:jc w:val="both"/>
        <w:rPr>
          <w:rtl/>
        </w:rPr>
      </w:pPr>
    </w:p>
    <w:p w14:paraId="04ADE4E3" w14:textId="77777777" w:rsidR="00CD09F8" w:rsidRPr="00DB5F31" w:rsidRDefault="00CD09F8" w:rsidP="00DB5F31">
      <w:pPr>
        <w:spacing w:line="360" w:lineRule="auto"/>
        <w:ind w:left="800"/>
        <w:contextualSpacing/>
        <w:jc w:val="both"/>
        <w:rPr>
          <w:rtl/>
        </w:rPr>
      </w:pPr>
      <w:r w:rsidRPr="00DB5F31">
        <w:rPr>
          <w:rtl/>
        </w:rPr>
        <w:t>המדינה עותרת להחמרה משמעותית של הענישה בעבירות נשק, ואולם גם בעבר הרחוק, לדוגמא ב</w:t>
      </w:r>
      <w:hyperlink r:id="rId24" w:history="1">
        <w:r w:rsidR="00B20698" w:rsidRPr="00B20698">
          <w:rPr>
            <w:color w:val="0000FF"/>
            <w:u w:val="single"/>
            <w:rtl/>
          </w:rPr>
          <w:t>ע"פ 5220/09</w:t>
        </w:r>
      </w:hyperlink>
      <w:r w:rsidRPr="00DB5F31">
        <w:rPr>
          <w:rtl/>
        </w:rPr>
        <w:t xml:space="preserve"> </w:t>
      </w:r>
      <w:r w:rsidRPr="00DB5F31">
        <w:rPr>
          <w:b/>
          <w:bCs/>
          <w:rtl/>
        </w:rPr>
        <w:t>עוואודה נ' מדינת ישראל</w:t>
      </w:r>
      <w:r w:rsidRPr="00DB5F31">
        <w:rPr>
          <w:rtl/>
        </w:rPr>
        <w:t xml:space="preserve"> (30.12.09) נקבע כי דרך המלך בעבירות נשק צריכה להיות ככלל מאסר מאחורי סורג ובריח. </w:t>
      </w:r>
    </w:p>
    <w:p w14:paraId="1E328486" w14:textId="77777777" w:rsidR="00CD09F8" w:rsidRPr="00DB5F31" w:rsidRDefault="00CD09F8" w:rsidP="00DB5F31">
      <w:pPr>
        <w:spacing w:line="360" w:lineRule="auto"/>
        <w:ind w:left="800"/>
        <w:contextualSpacing/>
        <w:jc w:val="both"/>
        <w:rPr>
          <w:b/>
          <w:bCs/>
          <w:rtl/>
        </w:rPr>
      </w:pPr>
    </w:p>
    <w:p w14:paraId="1312DB07" w14:textId="77777777" w:rsidR="00CD09F8" w:rsidRPr="00DB5F31" w:rsidRDefault="00CD09F8" w:rsidP="00DB5F31">
      <w:pPr>
        <w:overflowPunct w:val="0"/>
        <w:autoSpaceDE w:val="0"/>
        <w:autoSpaceDN w:val="0"/>
        <w:spacing w:after="420" w:line="360" w:lineRule="auto"/>
        <w:ind w:left="720"/>
        <w:jc w:val="both"/>
        <w:textAlignment w:val="baseline"/>
        <w:rPr>
          <w:rtl/>
        </w:rPr>
      </w:pPr>
      <w:r w:rsidRPr="00DB5F31">
        <w:rPr>
          <w:rtl/>
        </w:rPr>
        <w:t>המלחמה בתופעת החזקת הנשק הלא חוקי מתנהלת בין היתר בבתי המשפט המחויבים להבהיר בקול ברור כי מי שמתעסק בנשק חם דינו מאסר בפועל בבית הסוהר. מסר זה הכרחי להרתעת הרבים.</w:t>
      </w:r>
    </w:p>
    <w:p w14:paraId="556966EB" w14:textId="77777777" w:rsidR="00CD09F8" w:rsidRPr="00DB5F31" w:rsidRDefault="00CD09F8" w:rsidP="00DB5F31">
      <w:pPr>
        <w:spacing w:line="360" w:lineRule="auto"/>
        <w:jc w:val="both"/>
        <w:rPr>
          <w:u w:val="single"/>
          <w:rtl/>
        </w:rPr>
      </w:pPr>
      <w:r w:rsidRPr="00DB5F31">
        <w:rPr>
          <w:u w:val="single"/>
          <w:rtl/>
        </w:rPr>
        <w:t>נסיבות הקשורות בביצוע העבירה</w:t>
      </w:r>
    </w:p>
    <w:p w14:paraId="479E3B3C" w14:textId="77777777" w:rsidR="00CD09F8" w:rsidRPr="00DB5F31" w:rsidRDefault="00CD09F8" w:rsidP="00DB5F31">
      <w:pPr>
        <w:spacing w:line="360" w:lineRule="auto"/>
        <w:jc w:val="both"/>
        <w:rPr>
          <w:u w:val="single"/>
          <w:rtl/>
        </w:rPr>
      </w:pPr>
    </w:p>
    <w:p w14:paraId="1C533BEC" w14:textId="77777777" w:rsidR="00CD09F8" w:rsidRPr="00DB5F31" w:rsidRDefault="00CD09F8" w:rsidP="00DB5F31">
      <w:pPr>
        <w:spacing w:line="360" w:lineRule="auto"/>
        <w:ind w:left="720" w:hanging="720"/>
        <w:jc w:val="both"/>
        <w:rPr>
          <w:u w:val="single"/>
          <w:rtl/>
        </w:rPr>
      </w:pPr>
      <w:r w:rsidRPr="00DB5F31">
        <w:rPr>
          <w:rtl/>
        </w:rPr>
        <w:t>16.</w:t>
      </w:r>
      <w:r w:rsidR="00B20698">
        <w:rPr>
          <w:rtl/>
        </w:rPr>
        <w:t xml:space="preserve">      </w:t>
      </w:r>
      <w:r w:rsidRPr="00DB5F31">
        <w:rPr>
          <w:rtl/>
        </w:rPr>
        <w:t xml:space="preserve"> על פי כתב האישום, הנאשם החזיק רימון הלם בביתו. על פי הידוע, הנאשם פעל לבדו, ובמעשיו קיים מימד של תכנון, כאשר לקח את הרימון ממקום הימצאו והחביאו בביתו. נסיבות קבלת הרימון והחזקתו לא פורטו בכתב האישום. הנאשם טען כי נטל את הרימון מבסיס צבאי לפני שנים רבות (מעל 15 שנים), מאז החזיק אותו במגירה ואח"כ על מדף בחדרו, מבלי כוונה לעשות בו שימוש וללא מחשבה. טענות אלה אינן מוסכמות, וחורגות מעובדות כתב אישום, אשר הן והן בלבד מבססות את הענישה, ואולם גם אם אקבל את הטענה כלשונה, אין בכך כדי לעודד גישה סלחנית. נטילה וגניבה של רימון הלם מצה"ל רחוקה מלהוות התנהגות נורמטיבית. החזקה של רימון הלם צהלי גנוב על מדף בבית משפחה, </w:t>
      </w:r>
    </w:p>
    <w:p w14:paraId="402E9F61" w14:textId="77777777" w:rsidR="00CD09F8" w:rsidRPr="00DB5F31" w:rsidRDefault="00B20698" w:rsidP="00DB5F31">
      <w:pPr>
        <w:overflowPunct w:val="0"/>
        <w:autoSpaceDE w:val="0"/>
        <w:autoSpaceDN w:val="0"/>
        <w:spacing w:line="360" w:lineRule="auto"/>
        <w:ind w:left="795" w:hanging="795"/>
        <w:jc w:val="both"/>
        <w:rPr>
          <w:rtl/>
        </w:rPr>
      </w:pPr>
      <w:r>
        <w:rPr>
          <w:rtl/>
        </w:rPr>
        <w:t xml:space="preserve">            </w:t>
      </w:r>
      <w:r w:rsidR="00CD09F8" w:rsidRPr="00DB5F31">
        <w:rPr>
          <w:rtl/>
        </w:rPr>
        <w:t xml:space="preserve"> </w:t>
      </w:r>
      <w:r>
        <w:rPr>
          <w:rtl/>
        </w:rPr>
        <w:t xml:space="preserve"> </w:t>
      </w:r>
      <w:r w:rsidR="00CD09F8" w:rsidRPr="00DB5F31">
        <w:rPr>
          <w:rtl/>
        </w:rPr>
        <w:t xml:space="preserve">היא חריגה וחמורה, והייתה עלולה לגרום לנזק. </w:t>
      </w:r>
    </w:p>
    <w:p w14:paraId="57A5337D" w14:textId="77777777" w:rsidR="00CD09F8" w:rsidRPr="00DB5F31" w:rsidRDefault="00CD09F8" w:rsidP="00DB5F31">
      <w:pPr>
        <w:overflowPunct w:val="0"/>
        <w:autoSpaceDE w:val="0"/>
        <w:autoSpaceDN w:val="0"/>
        <w:spacing w:line="360" w:lineRule="auto"/>
        <w:ind w:left="795" w:hanging="75"/>
        <w:jc w:val="both"/>
        <w:rPr>
          <w:rtl/>
        </w:rPr>
      </w:pPr>
      <w:r w:rsidRPr="00DB5F31">
        <w:rPr>
          <w:rtl/>
        </w:rPr>
        <w:t xml:space="preserve">לקולא יש לציין כי קיים משקל לכך שלא מדובר בנשק קטלני, שיכול להמית, אלא ברימון הלם בלתי מורשה, אשר עלול להזיק לאדם, אך אינו נמנה עם קבוצת הנשקים הממיתים שבה אקדחים, רובים, רימוני רסס וכיוצ"ב. </w:t>
      </w:r>
    </w:p>
    <w:p w14:paraId="77B527C9" w14:textId="77777777" w:rsidR="00CD09F8" w:rsidRPr="00DB5F31" w:rsidRDefault="00CD09F8" w:rsidP="00DB5F31">
      <w:pPr>
        <w:overflowPunct w:val="0"/>
        <w:autoSpaceDE w:val="0"/>
        <w:autoSpaceDN w:val="0"/>
        <w:spacing w:line="360" w:lineRule="auto"/>
        <w:ind w:left="795" w:hanging="75"/>
        <w:jc w:val="both"/>
        <w:rPr>
          <w:rtl/>
        </w:rPr>
      </w:pPr>
      <w:r w:rsidRPr="00DB5F31">
        <w:rPr>
          <w:rtl/>
        </w:rPr>
        <w:t>בתי המשפט התייחסו לכך שסוג כלי הנשק הבלתי חוקי ומידת הסיכון שלו משפיעים על רמת הענישה בגין החזקתו.</w:t>
      </w:r>
      <w:r w:rsidR="00B20698">
        <w:rPr>
          <w:rtl/>
        </w:rPr>
        <w:t xml:space="preserve"> </w:t>
      </w:r>
      <w:r w:rsidRPr="00DB5F31">
        <w:rPr>
          <w:rtl/>
        </w:rPr>
        <w:t xml:space="preserve"> </w:t>
      </w:r>
    </w:p>
    <w:p w14:paraId="7BC44101" w14:textId="77777777" w:rsidR="00CD09F8" w:rsidRPr="00DB5F31" w:rsidRDefault="00CD09F8" w:rsidP="00DB5F31">
      <w:pPr>
        <w:overflowPunct w:val="0"/>
        <w:autoSpaceDE w:val="0"/>
        <w:autoSpaceDN w:val="0"/>
        <w:spacing w:line="360" w:lineRule="auto"/>
        <w:ind w:left="795"/>
        <w:jc w:val="both"/>
        <w:rPr>
          <w:rtl/>
        </w:rPr>
      </w:pPr>
      <w:r w:rsidRPr="00DB5F31">
        <w:rPr>
          <w:rtl/>
        </w:rPr>
        <w:t>ב</w:t>
      </w:r>
      <w:hyperlink r:id="rId25" w:history="1">
        <w:r w:rsidR="00B20698" w:rsidRPr="00B20698">
          <w:rPr>
            <w:color w:val="0000FF"/>
            <w:u w:val="single"/>
            <w:rtl/>
          </w:rPr>
          <w:t>עפ"ג (נצרת) 21260-10-19</w:t>
        </w:r>
      </w:hyperlink>
      <w:r w:rsidRPr="00DB5F31">
        <w:rPr>
          <w:rtl/>
        </w:rPr>
        <w:t xml:space="preserve"> </w:t>
      </w:r>
      <w:r w:rsidRPr="00DB5F31">
        <w:rPr>
          <w:b/>
          <w:bCs/>
          <w:rtl/>
        </w:rPr>
        <w:t>מדינת ישראל נ' מוסא מזאריב</w:t>
      </w:r>
      <w:r w:rsidRPr="00DB5F31">
        <w:rPr>
          <w:rtl/>
        </w:rPr>
        <w:t xml:space="preserve"> (24.11.19) (להלן: "</w:t>
      </w:r>
      <w:r w:rsidRPr="00DB5F31">
        <w:rPr>
          <w:b/>
          <w:bCs/>
          <w:rtl/>
        </w:rPr>
        <w:t>עניין מזאריב</w:t>
      </w:r>
      <w:r w:rsidRPr="00DB5F31">
        <w:rPr>
          <w:rtl/>
        </w:rPr>
        <w:t>") קבע בית-המשפט המחוזי, בהתייחס למדרג החומרה בעבירות נשק ולשיקולים בקביעת מתחם העונש ההולם:</w:t>
      </w:r>
    </w:p>
    <w:p w14:paraId="32FEAE49" w14:textId="77777777" w:rsidR="00CD09F8" w:rsidRPr="00DB5F31" w:rsidRDefault="00CD09F8" w:rsidP="00DB5F31">
      <w:pPr>
        <w:spacing w:line="360" w:lineRule="auto"/>
        <w:ind w:left="1417" w:right="1417"/>
        <w:contextualSpacing/>
        <w:jc w:val="both"/>
        <w:rPr>
          <w:b/>
          <w:bCs/>
          <w:color w:val="000000"/>
          <w:rtl/>
        </w:rPr>
      </w:pPr>
      <w:r w:rsidRPr="00DB5F31">
        <w:rPr>
          <w:b/>
          <w:bCs/>
          <w:rtl/>
        </w:rPr>
        <w:t>"</w:t>
      </w:r>
      <w:r w:rsidRPr="00DB5F31">
        <w:rPr>
          <w:b/>
          <w:bCs/>
          <w:color w:val="000000"/>
          <w:rtl/>
        </w:rPr>
        <w:t>נסיבות החזקת הנשק יכולות להשתנות וללמד על מידת החומרה והסיכון הפוטנציאלי לפגיעה באחרים. כפועל יוצא מכך, יש להן השלכה על המתחם שיקבע. בהקשר זה, לא דומה למשל החזקת אקדח להחזקתו של תת מקלע. הנחיית פרקליט המדינה אליה הפנתה המערערת מדברת על קריטריונים רלוונטיים להבחנה בנסיבות הקונקרטיות של כל מקרה, כמו מאפייני הנשק, ריבוי כלי נשק, היות הנשק טעון, המיקום הספציפי בו הוחזק, הרקע להחזקתו ומטרתו. אלה הם רק חלק מן הנסיבות שניתן וצריך לשקול בקביעת המתחם בהתייחס לנסיבות הכרוכות בביצוע העבירה...</w:t>
      </w:r>
    </w:p>
    <w:p w14:paraId="6F710826" w14:textId="77777777" w:rsidR="00CD09F8" w:rsidRPr="00DB5F31" w:rsidRDefault="00CD09F8" w:rsidP="00DB5F31">
      <w:pPr>
        <w:spacing w:line="360" w:lineRule="auto"/>
        <w:ind w:left="1417" w:right="1417"/>
        <w:contextualSpacing/>
        <w:jc w:val="both"/>
        <w:rPr>
          <w:b/>
          <w:bCs/>
          <w:rtl/>
        </w:rPr>
      </w:pPr>
      <w:r w:rsidRPr="00DB5F31">
        <w:rPr>
          <w:b/>
          <w:bCs/>
          <w:color w:val="000000"/>
          <w:rtl/>
        </w:rPr>
        <w:t>אנו ערים לכך שבפסיקה ניתן למצוא מנעד רחב של מתחמי ענישה בעבירות נשק</w:t>
      </w:r>
      <w:r w:rsidR="00B20698">
        <w:rPr>
          <w:b/>
          <w:bCs/>
          <w:color w:val="000000"/>
          <w:rtl/>
        </w:rPr>
        <w:t xml:space="preserve"> </w:t>
      </w:r>
      <w:r w:rsidRPr="00DB5F31">
        <w:rPr>
          <w:b/>
          <w:bCs/>
          <w:color w:val="000000"/>
          <w:rtl/>
        </w:rPr>
        <w:t>ובעבירות של החזקת נשק, בכלל זה. יחד עם זאת, אנו סבורים כי נכון היה לנקוט בקו המתחייב בשעה זו, של העלאת רף הענישה, כפי שעתרה המערערת. החמרה זו צריכה לבוא לידי ביטוי בהחמרת מתחמי הענישה, תוך מתן דגש לשיקולים הנוגעים לערכים החברתיים הנפגעים ומידת הפגיעה בהם, כמו גם בשים לב למדיניות הענישה הנוהגת. כמו כן, לצורך במיגור תופעת האלימות הגואה, שמאפייניה שימוש בנשק חם, יש ליתן משקל לשיקולי הרתעה בקביעת העונש בתוך המתחם</w:t>
      </w:r>
      <w:r w:rsidRPr="00DB5F31">
        <w:rPr>
          <w:b/>
          <w:bCs/>
          <w:color w:val="000000"/>
        </w:rPr>
        <w:t>".</w:t>
      </w:r>
    </w:p>
    <w:p w14:paraId="5E528DA4" w14:textId="77777777" w:rsidR="00CD09F8" w:rsidRPr="00DB5F31" w:rsidRDefault="00CD09F8" w:rsidP="00DB5F31">
      <w:pPr>
        <w:spacing w:line="360" w:lineRule="auto"/>
        <w:ind w:right="1417"/>
        <w:contextualSpacing/>
        <w:jc w:val="both"/>
        <w:rPr>
          <w:b/>
          <w:bCs/>
          <w:rtl/>
        </w:rPr>
      </w:pPr>
    </w:p>
    <w:p w14:paraId="2010C5E4" w14:textId="77777777" w:rsidR="00CD09F8" w:rsidRPr="00DB5F31" w:rsidRDefault="00CD09F8" w:rsidP="00DB5F31">
      <w:pPr>
        <w:overflowPunct w:val="0"/>
        <w:autoSpaceDE w:val="0"/>
        <w:autoSpaceDN w:val="0"/>
        <w:spacing w:line="360" w:lineRule="auto"/>
        <w:ind w:left="1417" w:right="1417"/>
        <w:jc w:val="both"/>
        <w:rPr>
          <w:rtl/>
        </w:rPr>
      </w:pPr>
    </w:p>
    <w:p w14:paraId="3E84723A" w14:textId="77777777" w:rsidR="00CD09F8" w:rsidRPr="00DB5F31" w:rsidRDefault="00CD09F8" w:rsidP="00DB5F31">
      <w:pPr>
        <w:overflowPunct w:val="0"/>
        <w:autoSpaceDE w:val="0"/>
        <w:autoSpaceDN w:val="0"/>
        <w:spacing w:line="360" w:lineRule="auto"/>
        <w:ind w:left="720" w:hanging="720"/>
        <w:jc w:val="both"/>
        <w:rPr>
          <w:rtl/>
        </w:rPr>
      </w:pPr>
      <w:r w:rsidRPr="00DB5F31">
        <w:rPr>
          <w:rtl/>
        </w:rPr>
        <w:t>17.</w:t>
      </w:r>
      <w:r w:rsidR="00B20698">
        <w:rPr>
          <w:rtl/>
        </w:rPr>
        <w:t xml:space="preserve">      </w:t>
      </w:r>
      <w:r w:rsidRPr="00DB5F31">
        <w:rPr>
          <w:rtl/>
        </w:rPr>
        <w:t xml:space="preserve"> כאמור, ב"כ המאשימה הפנתה להנחית פרקליט המדינה 9.16, בה פורטו מתחמי ענישה בעבירות הנשק, אשר נגזרו מפסיקת בית-המשפט העליון (על הצד המחמיר), ואשר בהתאם להם מונחית התביעה לטעון לעונש. נקודת המוצא העונשית, כך נקבע בהנחיה, הנה דרישה להטלת עונש הכולל רכיב של מאסר בפועל לתקופה ממשית, גם אם מדובר בעבירה ראשונה, למעט במקרים חריגים. בהתאם להנחיה, מתחם המוצא על פי נהלי המאשימה בעבירת החזקת רימון הלם (הנמוך ממתחמי המוצא של נשק אוטומטי או אקדח) עומד על 9 עד 24 חודשי מאסר בפועל. עוד צוין בהנחיה, כי המיקום שבו הוחזק הנשק הנו בעל חשיבות, ובפרט אם מדובר במקום המאפשר עשיית שימוש מידי בו על ידי המחזיק או על ידי אדם אחר. בענייננו, התביעה טוענת למתחם מוצא זהה לזה שבהנחיה. מנגד, כאמור, ההגנה טוענת כי מדובר במקרה שחומרתו נמוכה באופן יחסי, הן בשל סוג הנשק, הן בהתחשב במיקומו והן ביתר נסיבות המקרה.</w:t>
      </w:r>
    </w:p>
    <w:p w14:paraId="7A1EEFF6" w14:textId="77777777" w:rsidR="00CD09F8" w:rsidRPr="00DB5F31" w:rsidRDefault="00CD09F8" w:rsidP="00DB5F31">
      <w:pPr>
        <w:overflowPunct w:val="0"/>
        <w:autoSpaceDE w:val="0"/>
        <w:autoSpaceDN w:val="0"/>
        <w:spacing w:line="360" w:lineRule="auto"/>
        <w:jc w:val="both"/>
        <w:rPr>
          <w:rtl/>
        </w:rPr>
      </w:pPr>
    </w:p>
    <w:p w14:paraId="0FE8A8DB" w14:textId="77777777" w:rsidR="00CD09F8" w:rsidRPr="00DB5F31" w:rsidRDefault="00CD09F8" w:rsidP="00DB5F31">
      <w:pPr>
        <w:overflowPunct w:val="0"/>
        <w:autoSpaceDE w:val="0"/>
        <w:autoSpaceDN w:val="0"/>
        <w:spacing w:line="360" w:lineRule="auto"/>
        <w:ind w:left="720" w:hanging="720"/>
        <w:jc w:val="both"/>
        <w:rPr>
          <w:rtl/>
        </w:rPr>
      </w:pPr>
      <w:r w:rsidRPr="00DB5F31">
        <w:rPr>
          <w:u w:val="single"/>
          <w:rtl/>
        </w:rPr>
        <w:t>מדיניות הענישה הנוהגת</w:t>
      </w:r>
    </w:p>
    <w:p w14:paraId="6BA29007" w14:textId="77777777" w:rsidR="00CD09F8" w:rsidRPr="00DB5F31" w:rsidRDefault="00CD09F8" w:rsidP="00DB5F31">
      <w:pPr>
        <w:overflowPunct w:val="0"/>
        <w:autoSpaceDE w:val="0"/>
        <w:autoSpaceDN w:val="0"/>
        <w:spacing w:line="360" w:lineRule="auto"/>
        <w:ind w:left="720" w:hanging="720"/>
        <w:jc w:val="both"/>
        <w:rPr>
          <w:rtl/>
        </w:rPr>
      </w:pPr>
    </w:p>
    <w:p w14:paraId="567C5EC4" w14:textId="77777777" w:rsidR="00CD09F8" w:rsidRPr="00DB5F31" w:rsidRDefault="00CD09F8" w:rsidP="00DB5F31">
      <w:pPr>
        <w:overflowPunct w:val="0"/>
        <w:autoSpaceDE w:val="0"/>
        <w:autoSpaceDN w:val="0"/>
        <w:spacing w:line="360" w:lineRule="auto"/>
        <w:ind w:left="720" w:hanging="720"/>
        <w:jc w:val="both"/>
        <w:rPr>
          <w:rtl/>
        </w:rPr>
      </w:pPr>
      <w:r w:rsidRPr="00DB5F31">
        <w:rPr>
          <w:rtl/>
        </w:rPr>
        <w:t xml:space="preserve">18. </w:t>
      </w:r>
      <w:r w:rsidR="00B20698">
        <w:rPr>
          <w:rtl/>
        </w:rPr>
        <w:t xml:space="preserve">     </w:t>
      </w:r>
      <w:r w:rsidRPr="00DB5F31">
        <w:rPr>
          <w:rtl/>
        </w:rPr>
        <w:t xml:space="preserve"> מגמת הענישה של בתי המשפט בעבירות של החזקת רימון הלם או כלי נשק דומים, אשר אינם מהקטלניים שבהם כוללת לרוב רכיב של מאסר בפועל, ולו בעבודות שרות.</w:t>
      </w:r>
    </w:p>
    <w:p w14:paraId="7C4C79B7" w14:textId="77777777" w:rsidR="00CD09F8" w:rsidRPr="00DB5F31" w:rsidRDefault="00CD09F8" w:rsidP="00DB5F31">
      <w:pPr>
        <w:spacing w:line="360" w:lineRule="auto"/>
        <w:jc w:val="both"/>
        <w:rPr>
          <w:rtl/>
        </w:rPr>
      </w:pPr>
      <w:r w:rsidRPr="00DB5F31">
        <w:rPr>
          <w:rtl/>
        </w:rPr>
        <w:t>19.</w:t>
      </w:r>
      <w:r w:rsidR="00B20698">
        <w:rPr>
          <w:rtl/>
        </w:rPr>
        <w:t xml:space="preserve">      </w:t>
      </w:r>
      <w:r w:rsidRPr="00DB5F31">
        <w:rPr>
          <w:rtl/>
        </w:rPr>
        <w:t xml:space="preserve"> </w:t>
      </w:r>
      <w:r w:rsidRPr="00DB5F31">
        <w:rPr>
          <w:u w:val="single"/>
          <w:rtl/>
        </w:rPr>
        <w:t>ב"כ המאשימה הפנתה לפסקי-הדין הבאים</w:t>
      </w:r>
      <w:r w:rsidRPr="00DB5F31">
        <w:rPr>
          <w:rtl/>
        </w:rPr>
        <w:t xml:space="preserve">: </w:t>
      </w:r>
    </w:p>
    <w:p w14:paraId="1CE64CA1" w14:textId="77777777" w:rsidR="00CD09F8" w:rsidRPr="00DB5F31" w:rsidRDefault="00CD09F8" w:rsidP="00DB5F31">
      <w:pPr>
        <w:spacing w:line="360" w:lineRule="auto"/>
        <w:jc w:val="both"/>
        <w:rPr>
          <w:rtl/>
        </w:rPr>
      </w:pPr>
    </w:p>
    <w:p w14:paraId="4A168CBC" w14:textId="77777777" w:rsidR="00CD09F8" w:rsidRPr="00DB5F31" w:rsidRDefault="00B20698" w:rsidP="00DB5F31">
      <w:pPr>
        <w:numPr>
          <w:ilvl w:val="0"/>
          <w:numId w:val="18"/>
        </w:numPr>
        <w:spacing w:line="360" w:lineRule="auto"/>
        <w:contextualSpacing/>
        <w:jc w:val="both"/>
        <w:rPr>
          <w:rtl/>
        </w:rPr>
      </w:pPr>
      <w:hyperlink r:id="rId26" w:history="1">
        <w:r w:rsidRPr="00B20698">
          <w:rPr>
            <w:color w:val="0000FF"/>
            <w:u w:val="single"/>
            <w:rtl/>
          </w:rPr>
          <w:t>ת"פ (מחוזי חיפה) 43957-09-20</w:t>
        </w:r>
      </w:hyperlink>
      <w:r w:rsidR="00CD09F8" w:rsidRPr="00DB5F31">
        <w:rPr>
          <w:rtl/>
        </w:rPr>
        <w:t xml:space="preserve"> </w:t>
      </w:r>
      <w:r w:rsidR="00CD09F8" w:rsidRPr="00DB5F31">
        <w:rPr>
          <w:b/>
          <w:bCs/>
          <w:rtl/>
        </w:rPr>
        <w:t>מדינת ישראל נ' מוחמד חוסיין</w:t>
      </w:r>
      <w:r w:rsidR="00CD09F8" w:rsidRPr="00DB5F31">
        <w:rPr>
          <w:rtl/>
        </w:rPr>
        <w:t xml:space="preserve"> (19.7.21) הנאשם הורשע על יסוד הודאתו בעובדות כתב האישום בביצוע העבירות: נשיאת והובלת נשק (מסוג רימון הלם); שיבוש מהלכי משפט; מעשי פזיזות או רשלנות ואיומים. נקבע כי מתחם העונש ההולם נע בין 9 חודשי מאסר הניתנים לנשיאה בעבודות שרות ועד 24 חודשי מאסר בפועל. על הנאשם, צעיר ללא עבר פלילי שבעניינו הוגש תסקיר חיובי משרות המבחן, </w:t>
      </w:r>
      <w:r w:rsidR="00CD09F8" w:rsidRPr="00DB5F31">
        <w:rPr>
          <w:b/>
          <w:bCs/>
          <w:rtl/>
        </w:rPr>
        <w:t>נגזרו 9 עבודות שרות ועונשים נלווים.</w:t>
      </w:r>
      <w:r>
        <w:rPr>
          <w:rtl/>
        </w:rPr>
        <w:t xml:space="preserve"> </w:t>
      </w:r>
      <w:r w:rsidR="00CD09F8" w:rsidRPr="00DB5F31">
        <w:rPr>
          <w:rtl/>
        </w:rPr>
        <w:t xml:space="preserve"> </w:t>
      </w:r>
    </w:p>
    <w:p w14:paraId="5E21F6BD" w14:textId="77777777" w:rsidR="00CD09F8" w:rsidRPr="00DB5F31" w:rsidRDefault="00CD09F8" w:rsidP="00DB5F31">
      <w:pPr>
        <w:spacing w:line="360" w:lineRule="auto"/>
        <w:ind w:left="1440"/>
        <w:contextualSpacing/>
        <w:jc w:val="both"/>
        <w:rPr>
          <w:rtl/>
        </w:rPr>
      </w:pPr>
      <w:r w:rsidRPr="00DB5F31">
        <w:rPr>
          <w:rtl/>
        </w:rPr>
        <w:t>מדובר במקרה חמור בנסיבותיו מאשר בענייננו, שכן שם הייתה כוונה להשליך את הרימון לעבר דמות ידועה בעקבות הפסד במכרז.</w:t>
      </w:r>
    </w:p>
    <w:p w14:paraId="5803A6D2" w14:textId="77777777" w:rsidR="00CD09F8" w:rsidRPr="00DB5F31" w:rsidRDefault="00CD09F8" w:rsidP="00DB5F31">
      <w:pPr>
        <w:spacing w:line="360" w:lineRule="auto"/>
        <w:jc w:val="both"/>
        <w:rPr>
          <w:rtl/>
        </w:rPr>
      </w:pPr>
    </w:p>
    <w:p w14:paraId="1F23B14A" w14:textId="77777777" w:rsidR="00CD09F8" w:rsidRPr="00DB5F31" w:rsidRDefault="00B20698" w:rsidP="00DB5F31">
      <w:pPr>
        <w:numPr>
          <w:ilvl w:val="0"/>
          <w:numId w:val="18"/>
        </w:numPr>
        <w:spacing w:line="360" w:lineRule="auto"/>
        <w:contextualSpacing/>
        <w:jc w:val="both"/>
        <w:rPr>
          <w:rtl/>
        </w:rPr>
      </w:pPr>
      <w:hyperlink r:id="rId27" w:history="1">
        <w:r w:rsidRPr="00B20698">
          <w:rPr>
            <w:color w:val="0000FF"/>
            <w:u w:val="single"/>
            <w:rtl/>
          </w:rPr>
          <w:t>ת"פ (שלום עכו) 3256-09-21</w:t>
        </w:r>
      </w:hyperlink>
      <w:r w:rsidR="00CD09F8" w:rsidRPr="00DB5F31">
        <w:rPr>
          <w:rtl/>
        </w:rPr>
        <w:t xml:space="preserve"> </w:t>
      </w:r>
      <w:r w:rsidR="00CD09F8" w:rsidRPr="00DB5F31">
        <w:rPr>
          <w:b/>
          <w:bCs/>
          <w:rtl/>
        </w:rPr>
        <w:t>מדינת ישראל נ' ראזי סואעד</w:t>
      </w:r>
      <w:r w:rsidR="00CD09F8" w:rsidRPr="00DB5F31">
        <w:rPr>
          <w:rtl/>
        </w:rPr>
        <w:t xml:space="preserve"> (15.3.22) - הנאשם הורשע, על פי הודאתו, בעבירת רכישת/החזקת נשק שלא כדין, לאחר שבחיפוש בביתו נמצא כי החזיק בחדרו רימון הלם/סינוור. בנוסף צוין בכתב האישום כי במכשיר הסלולרי של הנאשם נמצאו תמונות רבות בהן הוא מצולם מחזיק חפץ הנחזה להיות כלי נשק מסוג קלאצ'ניקוב. נקבע כי מתחם העונש ההולם נע בין 9 - 20 חודשי מאסר בפועל ועל הנאשם, צעיר נעדר עבר פלילי, </w:t>
      </w:r>
      <w:r w:rsidR="00CD09F8" w:rsidRPr="00DB5F31">
        <w:rPr>
          <w:b/>
          <w:bCs/>
          <w:rtl/>
        </w:rPr>
        <w:t>נגזרו 9 חודשי מאסר בפועל ועונשים נלווים.</w:t>
      </w:r>
    </w:p>
    <w:p w14:paraId="3755260C" w14:textId="77777777" w:rsidR="00CD09F8" w:rsidRPr="00DB5F31" w:rsidRDefault="00CD09F8" w:rsidP="00DB5F31">
      <w:pPr>
        <w:spacing w:line="360" w:lineRule="auto"/>
        <w:ind w:left="1440"/>
        <w:contextualSpacing/>
        <w:jc w:val="both"/>
      </w:pPr>
      <w:r w:rsidRPr="00DB5F31">
        <w:rPr>
          <w:rtl/>
        </w:rPr>
        <w:t>גם כאן נסיבות חמורות יותר בהשוואה בענייננו.</w:t>
      </w:r>
    </w:p>
    <w:p w14:paraId="58A15CBF" w14:textId="77777777" w:rsidR="00CD09F8" w:rsidRPr="00DB5F31" w:rsidRDefault="00CD09F8" w:rsidP="00DB5F31">
      <w:pPr>
        <w:spacing w:line="360" w:lineRule="auto"/>
        <w:ind w:left="1440"/>
        <w:contextualSpacing/>
        <w:jc w:val="both"/>
        <w:rPr>
          <w:rtl/>
        </w:rPr>
      </w:pPr>
    </w:p>
    <w:p w14:paraId="416FE2AE" w14:textId="77777777" w:rsidR="00CD09F8" w:rsidRPr="00DB5F31" w:rsidRDefault="00B20698" w:rsidP="00DB5F31">
      <w:pPr>
        <w:numPr>
          <w:ilvl w:val="0"/>
          <w:numId w:val="18"/>
        </w:numPr>
        <w:spacing w:line="360" w:lineRule="auto"/>
        <w:contextualSpacing/>
        <w:jc w:val="both"/>
      </w:pPr>
      <w:hyperlink r:id="rId28" w:history="1">
        <w:r w:rsidRPr="00B20698">
          <w:rPr>
            <w:color w:val="0000FF"/>
            <w:u w:val="single"/>
            <w:rtl/>
          </w:rPr>
          <w:t>ת"פ (שלום עכו) 24982-11-20</w:t>
        </w:r>
      </w:hyperlink>
      <w:r w:rsidR="00CD09F8" w:rsidRPr="00DB5F31">
        <w:rPr>
          <w:rtl/>
        </w:rPr>
        <w:t xml:space="preserve"> </w:t>
      </w:r>
      <w:r w:rsidR="00CD09F8" w:rsidRPr="00DB5F31">
        <w:rPr>
          <w:b/>
          <w:bCs/>
          <w:rtl/>
        </w:rPr>
        <w:t>מדינת ישראל נ' חמזי אבראהים</w:t>
      </w:r>
      <w:r w:rsidR="00CD09F8" w:rsidRPr="00DB5F31">
        <w:rPr>
          <w:rtl/>
        </w:rPr>
        <w:t xml:space="preserve"> (14.12.20) – הנאשם הורשע בהחזקת נשק לאחר שבתוך תיק בביתו נמצאו 2 רימוני סינוואר ו-91 כדורים 9 מ"מ. נקבע מתחם הנע בין 6 – 24 חודשי מאסר, ועל הנאשם בעל עבר פלילי, </w:t>
      </w:r>
      <w:r w:rsidR="00CD09F8" w:rsidRPr="00DB5F31">
        <w:rPr>
          <w:b/>
          <w:bCs/>
          <w:rtl/>
        </w:rPr>
        <w:t>נגזרו 10 חודשי מאסר בפועל ועונשים נלווים.</w:t>
      </w:r>
      <w:r w:rsidR="00CD09F8" w:rsidRPr="00DB5F31">
        <w:rPr>
          <w:rtl/>
        </w:rPr>
        <w:t xml:space="preserve"> </w:t>
      </w:r>
    </w:p>
    <w:p w14:paraId="7C57F823" w14:textId="77777777" w:rsidR="00CD09F8" w:rsidRPr="00DB5F31" w:rsidRDefault="00CD09F8" w:rsidP="00DB5F31">
      <w:pPr>
        <w:spacing w:line="360" w:lineRule="auto"/>
        <w:ind w:left="1440"/>
        <w:contextualSpacing/>
        <w:jc w:val="both"/>
      </w:pPr>
    </w:p>
    <w:p w14:paraId="55D74921" w14:textId="77777777" w:rsidR="00CD09F8" w:rsidRPr="00DB5F31" w:rsidRDefault="00B20698" w:rsidP="00DB5F31">
      <w:pPr>
        <w:numPr>
          <w:ilvl w:val="0"/>
          <w:numId w:val="18"/>
        </w:numPr>
        <w:spacing w:line="360" w:lineRule="auto"/>
        <w:contextualSpacing/>
        <w:jc w:val="both"/>
      </w:pPr>
      <w:hyperlink r:id="rId29" w:history="1">
        <w:r w:rsidRPr="00B20698">
          <w:rPr>
            <w:color w:val="0000FF"/>
            <w:u w:val="single"/>
            <w:rtl/>
          </w:rPr>
          <w:t>ת"פ (עכו) 61020-09-19</w:t>
        </w:r>
      </w:hyperlink>
      <w:r w:rsidR="00CD09F8" w:rsidRPr="00DB5F31">
        <w:rPr>
          <w:rtl/>
        </w:rPr>
        <w:t xml:space="preserve"> </w:t>
      </w:r>
      <w:r w:rsidR="00CD09F8" w:rsidRPr="00DB5F31">
        <w:rPr>
          <w:b/>
          <w:bCs/>
          <w:rtl/>
        </w:rPr>
        <w:t>מדינת ישראל נ' זיאד ח'טיב</w:t>
      </w:r>
      <w:r w:rsidR="00CD09F8" w:rsidRPr="00DB5F31">
        <w:rPr>
          <w:rtl/>
        </w:rPr>
        <w:t xml:space="preserve"> (16.7.23) – הנאשם הורשע, </w:t>
      </w:r>
      <w:r w:rsidR="00CD09F8" w:rsidRPr="00DB5F31">
        <w:rPr>
          <w:u w:val="single"/>
          <w:rtl/>
        </w:rPr>
        <w:t>לאחר שמיעת ראיות</w:t>
      </w:r>
      <w:r w:rsidR="00CD09F8" w:rsidRPr="00DB5F31">
        <w:rPr>
          <w:rtl/>
        </w:rPr>
        <w:t xml:space="preserve">, בעבירת החזקת נשק שלא כדין, לאחר שנמצא כי החזיק בגג ביתו 8 בקבוקי תבערה. מתחם העונש ההולם נקבע כנע בין מספר חודשי מאסר ועד ל 24 חודשי מאסר לצד עונשים נלווים. על הנאשם </w:t>
      </w:r>
      <w:r w:rsidR="00CD09F8" w:rsidRPr="00DB5F31">
        <w:rPr>
          <w:b/>
          <w:bCs/>
          <w:rtl/>
        </w:rPr>
        <w:t xml:space="preserve">הוטלו 9 חודשי מאסר לנשיאה בעבודות שרות ועונשים נלווים. </w:t>
      </w:r>
      <w:r w:rsidR="00CD09F8" w:rsidRPr="00DB5F31">
        <w:rPr>
          <w:rtl/>
        </w:rPr>
        <w:t>ערעור שהגיש הנאשם על גזר הדין – נדחה (</w:t>
      </w:r>
      <w:hyperlink r:id="rId30" w:history="1">
        <w:r w:rsidRPr="00B20698">
          <w:rPr>
            <w:color w:val="0000FF"/>
            <w:u w:val="single"/>
            <w:rtl/>
          </w:rPr>
          <w:t>עפ"ג 67127-08-23</w:t>
        </w:r>
      </w:hyperlink>
      <w:r w:rsidR="00CD09F8" w:rsidRPr="00DB5F31">
        <w:rPr>
          <w:rtl/>
        </w:rPr>
        <w:t xml:space="preserve"> </w:t>
      </w:r>
      <w:r w:rsidR="00CD09F8" w:rsidRPr="00DB5F31">
        <w:rPr>
          <w:b/>
          <w:bCs/>
          <w:rtl/>
        </w:rPr>
        <w:t>מ"י נ' חטיב</w:t>
      </w:r>
      <w:r w:rsidR="00CD09F8" w:rsidRPr="00DB5F31">
        <w:rPr>
          <w:rtl/>
        </w:rPr>
        <w:t xml:space="preserve"> (11.1.24)).</w:t>
      </w:r>
    </w:p>
    <w:p w14:paraId="3F1D5EEA" w14:textId="77777777" w:rsidR="00CD09F8" w:rsidRPr="00DB5F31" w:rsidRDefault="00CD09F8" w:rsidP="00DB5F31">
      <w:pPr>
        <w:spacing w:line="360" w:lineRule="auto"/>
        <w:ind w:left="1440"/>
        <w:contextualSpacing/>
        <w:jc w:val="both"/>
      </w:pPr>
    </w:p>
    <w:p w14:paraId="64CF0E5F" w14:textId="77777777" w:rsidR="00CD09F8" w:rsidRPr="00DB5F31" w:rsidRDefault="00CD09F8" w:rsidP="00DB5F31">
      <w:pPr>
        <w:spacing w:line="360" w:lineRule="auto"/>
        <w:ind w:left="1440"/>
        <w:contextualSpacing/>
        <w:jc w:val="both"/>
      </w:pPr>
    </w:p>
    <w:p w14:paraId="76674AC5" w14:textId="77777777" w:rsidR="00CD09F8" w:rsidRPr="00DB5F31" w:rsidRDefault="00CD09F8" w:rsidP="00DB5F31">
      <w:pPr>
        <w:spacing w:line="360" w:lineRule="auto"/>
        <w:ind w:left="720" w:hanging="720"/>
        <w:contextualSpacing/>
        <w:jc w:val="both"/>
      </w:pPr>
      <w:r w:rsidRPr="00DB5F31">
        <w:rPr>
          <w:rtl/>
        </w:rPr>
        <w:t>20.</w:t>
      </w:r>
      <w:r w:rsidR="00B20698">
        <w:rPr>
          <w:rtl/>
        </w:rPr>
        <w:t xml:space="preserve">      </w:t>
      </w:r>
      <w:r w:rsidRPr="00DB5F31">
        <w:rPr>
          <w:rtl/>
        </w:rPr>
        <w:t xml:space="preserve"> </w:t>
      </w:r>
      <w:r w:rsidRPr="00DB5F31">
        <w:rPr>
          <w:u w:val="single"/>
          <w:rtl/>
        </w:rPr>
        <w:t>ב"כ הנאשם לא הפנה בטיעוניו לפסיקה לעניין מתחם העונש ההולם. ניתן לעיין, בנוסף, בפסקי-דין הבאים</w:t>
      </w:r>
      <w:r w:rsidRPr="00DB5F31">
        <w:rPr>
          <w:rtl/>
        </w:rPr>
        <w:t>:</w:t>
      </w:r>
    </w:p>
    <w:p w14:paraId="73AC55DC" w14:textId="77777777" w:rsidR="00CD09F8" w:rsidRPr="00DB5F31" w:rsidRDefault="00B20698" w:rsidP="00DB5F31">
      <w:pPr>
        <w:spacing w:line="360" w:lineRule="auto"/>
        <w:jc w:val="both"/>
      </w:pPr>
      <w:r>
        <w:rPr>
          <w:rtl/>
        </w:rPr>
        <w:t xml:space="preserve"> </w:t>
      </w:r>
      <w:r w:rsidR="00CD09F8" w:rsidRPr="00DB5F31">
        <w:rPr>
          <w:rtl/>
        </w:rPr>
        <w:t xml:space="preserve"> </w:t>
      </w:r>
    </w:p>
    <w:p w14:paraId="3566C126" w14:textId="77777777" w:rsidR="00CD09F8" w:rsidRPr="00DB5F31" w:rsidRDefault="00B20698" w:rsidP="00DB5F31">
      <w:pPr>
        <w:numPr>
          <w:ilvl w:val="0"/>
          <w:numId w:val="19"/>
        </w:numPr>
        <w:spacing w:line="360" w:lineRule="auto"/>
        <w:contextualSpacing/>
        <w:jc w:val="both"/>
        <w:rPr>
          <w:rtl/>
        </w:rPr>
      </w:pPr>
      <w:hyperlink r:id="rId31" w:history="1">
        <w:r w:rsidRPr="00B20698">
          <w:rPr>
            <w:color w:val="0000FF"/>
            <w:u w:val="single"/>
            <w:rtl/>
          </w:rPr>
          <w:t>ע"פ 8181/23</w:t>
        </w:r>
      </w:hyperlink>
      <w:r w:rsidR="00CD09F8" w:rsidRPr="00DB5F31">
        <w:rPr>
          <w:rtl/>
        </w:rPr>
        <w:t xml:space="preserve"> </w:t>
      </w:r>
      <w:r w:rsidR="00CD09F8" w:rsidRPr="00DB5F31">
        <w:rPr>
          <w:b/>
          <w:bCs/>
          <w:rtl/>
        </w:rPr>
        <w:t>מנגיסטו נ' מדינת ישראל</w:t>
      </w:r>
      <w:r w:rsidR="00CD09F8" w:rsidRPr="00DB5F31">
        <w:rPr>
          <w:rtl/>
        </w:rPr>
        <w:t xml:space="preserve"> (25.12.23) – מדובר בפרשה חמורה הרבה יותר מאשר בעניינינו, במסגרתה הוגש ערעור על גזר דינו של בית המשפט המחוזי בירושלים, </w:t>
      </w:r>
      <w:hyperlink r:id="rId32" w:history="1">
        <w:r w:rsidRPr="00B20698">
          <w:rPr>
            <w:color w:val="0000FF"/>
            <w:u w:val="single"/>
            <w:rtl/>
          </w:rPr>
          <w:t>ת"פ 54202-01-23</w:t>
        </w:r>
      </w:hyperlink>
      <w:r w:rsidR="00CD09F8" w:rsidRPr="00DB5F31">
        <w:rPr>
          <w:rtl/>
        </w:rPr>
        <w:t xml:space="preserve"> </w:t>
      </w:r>
      <w:r w:rsidR="00CD09F8" w:rsidRPr="00DB5F31">
        <w:rPr>
          <w:b/>
          <w:bCs/>
          <w:rtl/>
        </w:rPr>
        <w:t>מדינת ישראל נ' מנגיסטו</w:t>
      </w:r>
      <w:r w:rsidR="00CD09F8" w:rsidRPr="00DB5F31">
        <w:rPr>
          <w:rtl/>
        </w:rPr>
        <w:t xml:space="preserve"> (22.10.23), שם גזר בית המשפט את דינו של הנאשם שהודה והורשע בגין עבירות </w:t>
      </w:r>
      <w:r w:rsidR="00CD09F8" w:rsidRPr="00DB5F31">
        <w:rPr>
          <w:u w:val="single"/>
          <w:rtl/>
        </w:rPr>
        <w:t>נשיאת נשק וסחר ברימוני הלם ובתחמושת</w:t>
      </w:r>
      <w:r w:rsidR="00CD09F8" w:rsidRPr="00DB5F31">
        <w:rPr>
          <w:rtl/>
        </w:rPr>
        <w:t>, והטיל עליו</w:t>
      </w:r>
      <w:r w:rsidR="00CD09F8" w:rsidRPr="00DB5F31">
        <w:rPr>
          <w:b/>
          <w:bCs/>
          <w:rtl/>
        </w:rPr>
        <w:t xml:space="preserve"> 25 חודשי מאסר (בניכוי ימי המעצר), שני מאסרים על תנאי וקנס בסך 5,000 ₪. </w:t>
      </w:r>
      <w:r w:rsidR="00CD09F8" w:rsidRPr="00DB5F31">
        <w:rPr>
          <w:rtl/>
        </w:rPr>
        <w:t xml:space="preserve">הערעור נדחה. </w:t>
      </w:r>
    </w:p>
    <w:p w14:paraId="420C9BC2" w14:textId="77777777" w:rsidR="00CD09F8" w:rsidRPr="00DB5F31" w:rsidRDefault="00CD09F8" w:rsidP="00DB5F31">
      <w:pPr>
        <w:spacing w:line="360" w:lineRule="auto"/>
        <w:ind w:left="1440"/>
        <w:contextualSpacing/>
        <w:jc w:val="both"/>
      </w:pPr>
      <w:r w:rsidRPr="00DB5F31">
        <w:rPr>
          <w:rtl/>
        </w:rPr>
        <w:t>בית המשפט המחוזי פסק בגזר הדין:</w:t>
      </w:r>
    </w:p>
    <w:p w14:paraId="78C029DB" w14:textId="77777777" w:rsidR="00CD09F8" w:rsidRPr="00DB5F31" w:rsidRDefault="00CD09F8" w:rsidP="00DB5F31">
      <w:pPr>
        <w:spacing w:line="360" w:lineRule="auto"/>
        <w:ind w:left="1440"/>
        <w:contextualSpacing/>
        <w:jc w:val="both"/>
        <w:rPr>
          <w:rtl/>
        </w:rPr>
      </w:pPr>
      <w:r w:rsidRPr="00DB5F31">
        <w:rPr>
          <w:rtl/>
        </w:rPr>
        <w:t>"</w:t>
      </w:r>
      <w:r w:rsidRPr="00DB5F31">
        <w:rPr>
          <w:b/>
          <w:bCs/>
          <w:rtl/>
        </w:rPr>
        <w:t xml:space="preserve">בקביעת מתחם העונש ההולם בעבירות נשק יש לתת משקל לסוג הנשק, נסיבות תפיסתו, מידת קטלניותו ולכמותו. בחינת מדיניות הענישה הנהוגה מעלה, כי במקרים דומים הוטלו על נאשמים עונשי מאסר בפועל מאחורי סורג ובריח לתקופות משתנות, </w:t>
      </w:r>
      <w:r w:rsidRPr="00DB5F31">
        <w:rPr>
          <w:b/>
          <w:bCs/>
          <w:u w:val="single"/>
          <w:rtl/>
        </w:rPr>
        <w:t>כאשר עסקינן בסחר ברימוני הלם, ועונשי מאסר קצרים שיכול שירוצו בעבודות שרות במקרים של נשיאת רימוני הלם או אף של"צ במקרים של החזקתם</w:t>
      </w:r>
      <w:r w:rsidRPr="00DB5F31">
        <w:rPr>
          <w:b/>
          <w:bCs/>
          <w:rtl/>
        </w:rPr>
        <w:t>"</w:t>
      </w:r>
      <w:r w:rsidRPr="00DB5F31">
        <w:rPr>
          <w:rtl/>
        </w:rPr>
        <w:t>.</w:t>
      </w:r>
    </w:p>
    <w:p w14:paraId="7F12A23A" w14:textId="77777777" w:rsidR="00CD09F8" w:rsidRPr="00DB5F31" w:rsidRDefault="00CD09F8" w:rsidP="00DB5F31">
      <w:pPr>
        <w:spacing w:line="360" w:lineRule="auto"/>
        <w:ind w:left="1440"/>
        <w:contextualSpacing/>
        <w:jc w:val="both"/>
        <w:rPr>
          <w:rtl/>
        </w:rPr>
      </w:pPr>
    </w:p>
    <w:p w14:paraId="08E68C07" w14:textId="77777777" w:rsidR="00CD09F8" w:rsidRPr="00DB5F31" w:rsidRDefault="00B20698" w:rsidP="00DB5F31">
      <w:pPr>
        <w:numPr>
          <w:ilvl w:val="0"/>
          <w:numId w:val="19"/>
        </w:numPr>
        <w:spacing w:line="360" w:lineRule="auto"/>
        <w:contextualSpacing/>
        <w:jc w:val="both"/>
      </w:pPr>
      <w:hyperlink r:id="rId33" w:history="1">
        <w:r w:rsidRPr="00B20698">
          <w:rPr>
            <w:color w:val="0000FF"/>
            <w:u w:val="single"/>
            <w:rtl/>
          </w:rPr>
          <w:t>ע"פ 4059-17</w:t>
        </w:r>
      </w:hyperlink>
      <w:r w:rsidR="00CD09F8" w:rsidRPr="00DB5F31">
        <w:rPr>
          <w:rtl/>
        </w:rPr>
        <w:t xml:space="preserve"> </w:t>
      </w:r>
      <w:r w:rsidR="00CD09F8" w:rsidRPr="00DB5F31">
        <w:rPr>
          <w:b/>
          <w:bCs/>
          <w:rtl/>
        </w:rPr>
        <w:t>אמיר סלמה נ' מדינת ישראל</w:t>
      </w:r>
      <w:r w:rsidR="00CD09F8" w:rsidRPr="00DB5F31">
        <w:rPr>
          <w:rtl/>
        </w:rPr>
        <w:t xml:space="preserve"> (24.4.18) - ערעור על גזר דינו של בית המשפט המחוזי בירושלים ב</w:t>
      </w:r>
      <w:hyperlink r:id="rId34" w:history="1">
        <w:r w:rsidRPr="00B20698">
          <w:rPr>
            <w:color w:val="0000FF"/>
            <w:u w:val="single"/>
            <w:rtl/>
          </w:rPr>
          <w:t>ת"פ 44840-06-16</w:t>
        </w:r>
      </w:hyperlink>
      <w:r w:rsidR="00CD09F8" w:rsidRPr="00DB5F31">
        <w:rPr>
          <w:rtl/>
        </w:rPr>
        <w:t xml:space="preserve"> מיום 18.4.2017 בגדרו הושתו על המערער </w:t>
      </w:r>
      <w:r w:rsidR="00CD09F8" w:rsidRPr="00DB5F31">
        <w:rPr>
          <w:b/>
          <w:bCs/>
          <w:rtl/>
        </w:rPr>
        <w:t>שמונה חודשי מאסר בפועל ושלושה חודשי מאסר על תנאי</w:t>
      </w:r>
      <w:r w:rsidR="00CD09F8" w:rsidRPr="00DB5F31">
        <w:rPr>
          <w:rtl/>
        </w:rPr>
        <w:t xml:space="preserve">, לאחר שהודה והורשע שהחזיק ברשותו, במקום מסתור, </w:t>
      </w:r>
      <w:r w:rsidR="00CD09F8" w:rsidRPr="00DB5F31">
        <w:rPr>
          <w:u w:val="single"/>
          <w:rtl/>
        </w:rPr>
        <w:t>שני רימוני הלם ורימון גז</w:t>
      </w:r>
      <w:r w:rsidR="00CD09F8" w:rsidRPr="00DB5F31">
        <w:rPr>
          <w:rtl/>
        </w:rPr>
        <w:t>, אותם נשא למקום מפגש עם אחר ולבקשת האחר מסר לו רימון גז והסביר לו כיצד להשתמש בו, ביודעו כי האחר מתכוון להשליך את הרימון לעברו של פלוני מתוך כוונה לפגוע בו. לאחר שהאחר השליך את רימון הגז לעבר פלוני, הסתיר המערער את שני רימוני ההלם במקום מסתור. בית המשפט המחוזי קבע כי מתחם הענישה נע בין ששה חודשים שיכול וירוצו בעבודות שרות ל- 20 חודשי מאסר, ודן את המערער, כאמור, למאסר לתקופה של שמונה חודשים בניכוי ימי מעצרו. הערעור נדחה.</w:t>
      </w:r>
    </w:p>
    <w:p w14:paraId="0F968CE3" w14:textId="77777777" w:rsidR="00CD09F8" w:rsidRPr="00DB5F31" w:rsidRDefault="00CD09F8" w:rsidP="00DB5F31">
      <w:pPr>
        <w:spacing w:line="360" w:lineRule="auto"/>
        <w:ind w:left="1440"/>
        <w:contextualSpacing/>
        <w:jc w:val="both"/>
      </w:pPr>
    </w:p>
    <w:p w14:paraId="1DA7979D" w14:textId="77777777" w:rsidR="00CD09F8" w:rsidRPr="00DB5F31" w:rsidRDefault="00B20698" w:rsidP="00DB5F31">
      <w:pPr>
        <w:numPr>
          <w:ilvl w:val="0"/>
          <w:numId w:val="19"/>
        </w:numPr>
        <w:spacing w:line="360" w:lineRule="auto"/>
        <w:contextualSpacing/>
        <w:jc w:val="both"/>
        <w:rPr>
          <w:rtl/>
        </w:rPr>
      </w:pPr>
      <w:hyperlink r:id="rId35" w:history="1">
        <w:r w:rsidRPr="00B20698">
          <w:rPr>
            <w:color w:val="0000FF"/>
            <w:u w:val="single"/>
            <w:rtl/>
          </w:rPr>
          <w:t>ת"פ (מחוזי חיפה) 8338-12-13</w:t>
        </w:r>
      </w:hyperlink>
      <w:r w:rsidR="00CD09F8" w:rsidRPr="00DB5F31">
        <w:rPr>
          <w:rtl/>
        </w:rPr>
        <w:t xml:space="preserve"> </w:t>
      </w:r>
      <w:r w:rsidR="00CD09F8" w:rsidRPr="00DB5F31">
        <w:rPr>
          <w:b/>
          <w:bCs/>
          <w:rtl/>
        </w:rPr>
        <w:t>מדינת ישראל נ' מוחמד זידאן</w:t>
      </w:r>
      <w:r w:rsidR="00CD09F8" w:rsidRPr="00DB5F31">
        <w:rPr>
          <w:rtl/>
        </w:rPr>
        <w:t xml:space="preserve"> (18.9.14) - הנאשם הורשע על פי הודייתו בעובדות כתב האישום, במסגרת הסדר טיעון אשר לא כלל הסכמה לעניין העונש, בעבירות נשק לפי </w:t>
      </w:r>
      <w:hyperlink r:id="rId36" w:history="1">
        <w:r w:rsidR="00D20C7A" w:rsidRPr="00D20C7A">
          <w:rPr>
            <w:rStyle w:val="Hyperlink"/>
            <w:color w:val="0000FF"/>
            <w:rtl/>
          </w:rPr>
          <w:t>סעיפים 144(א)</w:t>
        </w:r>
      </w:hyperlink>
      <w:r w:rsidR="00CD09F8" w:rsidRPr="00DB5F31">
        <w:rPr>
          <w:rtl/>
        </w:rPr>
        <w:t xml:space="preserve"> רישא ו- </w:t>
      </w:r>
      <w:hyperlink r:id="rId37" w:history="1">
        <w:r w:rsidR="00D20C7A" w:rsidRPr="00D20C7A">
          <w:rPr>
            <w:rStyle w:val="Hyperlink"/>
            <w:color w:val="0000FF"/>
            <w:rtl/>
          </w:rPr>
          <w:t>144(ב)</w:t>
        </w:r>
      </w:hyperlink>
      <w:r w:rsidR="00CD09F8" w:rsidRPr="00DB5F31">
        <w:rPr>
          <w:rtl/>
        </w:rPr>
        <w:t xml:space="preserve"> רישא לחוק, לאחר שנסע ברכב השייך לאחר, בו נשא הנאשם והוביל </w:t>
      </w:r>
      <w:r w:rsidR="00CD09F8" w:rsidRPr="00DB5F31">
        <w:rPr>
          <w:u w:val="single"/>
          <w:rtl/>
        </w:rPr>
        <w:t>רימון הלם</w:t>
      </w:r>
      <w:r w:rsidR="00CD09F8" w:rsidRPr="00DB5F31">
        <w:rPr>
          <w:rtl/>
        </w:rPr>
        <w:t xml:space="preserve"> מסוג סינוור 7290</w:t>
      </w:r>
      <w:r w:rsidR="00CD09F8" w:rsidRPr="00DB5F31">
        <w:t>M</w:t>
      </w:r>
      <w:r w:rsidR="00CD09F8" w:rsidRPr="00DB5F31">
        <w:rPr>
          <w:rtl/>
        </w:rPr>
        <w:t xml:space="preserve">. נקבע כי מתחם העונש ההולם בגין החזקה נשיאה והובלה של רימון הלם אחד, נע בין 6 עד 36 חודשי מאסר בפועל. בית המשפט קיבל את המלצת שרות המבחן והשית על הנאשם, צעיר ללא רקע עברייני, </w:t>
      </w:r>
      <w:r w:rsidR="00CD09F8" w:rsidRPr="00DB5F31">
        <w:rPr>
          <w:b/>
          <w:bCs/>
          <w:rtl/>
        </w:rPr>
        <w:t>שישה חודשי מאסר לריצוי בעבודות שרות.</w:t>
      </w:r>
      <w:r>
        <w:rPr>
          <w:rtl/>
        </w:rPr>
        <w:t xml:space="preserve"> </w:t>
      </w:r>
      <w:r w:rsidR="00CD09F8" w:rsidRPr="00DB5F31">
        <w:rPr>
          <w:rtl/>
        </w:rPr>
        <w:t xml:space="preserve"> </w:t>
      </w:r>
    </w:p>
    <w:p w14:paraId="41702FE3" w14:textId="77777777" w:rsidR="00CD09F8" w:rsidRPr="00DB5F31" w:rsidRDefault="00CD09F8" w:rsidP="00DB5F31">
      <w:pPr>
        <w:pStyle w:val="ListParagraph"/>
        <w:jc w:val="both"/>
        <w:rPr>
          <w:rFonts w:ascii="David" w:hAnsi="David" w:cs="David"/>
          <w:rtl/>
        </w:rPr>
      </w:pPr>
    </w:p>
    <w:p w14:paraId="07E9E6BE" w14:textId="77777777" w:rsidR="00CD09F8" w:rsidRPr="00DB5F31" w:rsidRDefault="00CD09F8" w:rsidP="00DB5F31">
      <w:pPr>
        <w:spacing w:line="360" w:lineRule="auto"/>
        <w:ind w:left="1440"/>
        <w:contextualSpacing/>
        <w:jc w:val="both"/>
      </w:pPr>
      <w:r w:rsidRPr="00DB5F31">
        <w:rPr>
          <w:rtl/>
        </w:rPr>
        <w:t>גזר דין זה ניתן לפני למעלה מעשור, טרם החמרה מהותית בענישה בגין עבירות נשק.</w:t>
      </w:r>
    </w:p>
    <w:p w14:paraId="3345C13E" w14:textId="77777777" w:rsidR="00CD09F8" w:rsidRPr="00DB5F31" w:rsidRDefault="00CD09F8" w:rsidP="00DB5F31">
      <w:pPr>
        <w:spacing w:line="360" w:lineRule="auto"/>
        <w:jc w:val="both"/>
      </w:pPr>
    </w:p>
    <w:p w14:paraId="16134689" w14:textId="77777777" w:rsidR="00CD09F8" w:rsidRPr="00DB5F31" w:rsidRDefault="00B20698" w:rsidP="00DB5F31">
      <w:pPr>
        <w:numPr>
          <w:ilvl w:val="0"/>
          <w:numId w:val="19"/>
        </w:numPr>
        <w:spacing w:line="360" w:lineRule="auto"/>
        <w:contextualSpacing/>
        <w:jc w:val="both"/>
        <w:rPr>
          <w:rtl/>
        </w:rPr>
      </w:pPr>
      <w:hyperlink r:id="rId38" w:history="1">
        <w:r w:rsidRPr="00B20698">
          <w:rPr>
            <w:color w:val="0000FF"/>
            <w:u w:val="single"/>
            <w:rtl/>
          </w:rPr>
          <w:t>ת"פ (מחוזי חיפה) 22765-09-19</w:t>
        </w:r>
      </w:hyperlink>
      <w:r w:rsidR="00CD09F8" w:rsidRPr="00DB5F31">
        <w:rPr>
          <w:rtl/>
        </w:rPr>
        <w:t xml:space="preserve"> </w:t>
      </w:r>
      <w:r w:rsidR="00CD09F8" w:rsidRPr="00DB5F31">
        <w:rPr>
          <w:b/>
          <w:bCs/>
          <w:rtl/>
        </w:rPr>
        <w:t>מדינת ישראל נ' מחמוד מטרי</w:t>
      </w:r>
      <w:r w:rsidR="00CD09F8" w:rsidRPr="00DB5F31">
        <w:rPr>
          <w:rtl/>
        </w:rPr>
        <w:t xml:space="preserve"> (5.12.19) - הנאשם הורשע על יסוד הודאתו בעובדות כתב האישום בביצוע עבירות בנשק (נשיאה והובלה של </w:t>
      </w:r>
      <w:r w:rsidR="00CD09F8" w:rsidRPr="00DB5F31">
        <w:rPr>
          <w:u w:val="single"/>
          <w:rtl/>
        </w:rPr>
        <w:t>רימון הלם</w:t>
      </w:r>
      <w:r w:rsidR="00CD09F8" w:rsidRPr="00DB5F31">
        <w:rPr>
          <w:rtl/>
        </w:rPr>
        <w:t xml:space="preserve">), בעבירה של מעשה פזיזות ורשלנות ובעבירת איומים. על הנאשם </w:t>
      </w:r>
      <w:r w:rsidR="00CD09F8" w:rsidRPr="00DB5F31">
        <w:rPr>
          <w:b/>
          <w:bCs/>
          <w:rtl/>
        </w:rPr>
        <w:t xml:space="preserve">נגזר מאסר בפועל למשך 9 חודשים שירוצה בדרך של עבודות שרות, מאסרים על תנאי וקנס בגובה 15,000 ₪. </w:t>
      </w:r>
    </w:p>
    <w:p w14:paraId="7C85B588" w14:textId="77777777" w:rsidR="00CD09F8" w:rsidRPr="00DB5F31" w:rsidRDefault="00CD09F8" w:rsidP="00DB5F31">
      <w:pPr>
        <w:pStyle w:val="ListParagraph"/>
        <w:jc w:val="both"/>
        <w:rPr>
          <w:rFonts w:ascii="David" w:hAnsi="David" w:cs="David"/>
        </w:rPr>
      </w:pPr>
    </w:p>
    <w:p w14:paraId="3092125A" w14:textId="77777777" w:rsidR="00CD09F8" w:rsidRPr="00DB5F31" w:rsidRDefault="00CD09F8" w:rsidP="00DB5F31">
      <w:pPr>
        <w:spacing w:line="360" w:lineRule="auto"/>
        <w:jc w:val="both"/>
        <w:rPr>
          <w:rtl/>
        </w:rPr>
      </w:pPr>
    </w:p>
    <w:p w14:paraId="6ED6C88E" w14:textId="77777777" w:rsidR="00CD09F8" w:rsidRPr="00DB5F31" w:rsidRDefault="00B20698" w:rsidP="00DB5F31">
      <w:pPr>
        <w:numPr>
          <w:ilvl w:val="0"/>
          <w:numId w:val="19"/>
        </w:numPr>
        <w:spacing w:line="360" w:lineRule="auto"/>
        <w:contextualSpacing/>
        <w:jc w:val="both"/>
      </w:pPr>
      <w:hyperlink r:id="rId39" w:history="1">
        <w:r w:rsidRPr="00B20698">
          <w:rPr>
            <w:color w:val="0000FF"/>
            <w:u w:val="single"/>
            <w:rtl/>
          </w:rPr>
          <w:t>עפ"ג (מחוזי ב"ש) 20599-04-17</w:t>
        </w:r>
      </w:hyperlink>
      <w:r w:rsidR="00CD09F8" w:rsidRPr="00DB5F31">
        <w:rPr>
          <w:rtl/>
        </w:rPr>
        <w:t xml:space="preserve"> </w:t>
      </w:r>
      <w:r w:rsidR="00CD09F8" w:rsidRPr="00DB5F31">
        <w:rPr>
          <w:b/>
          <w:bCs/>
          <w:rtl/>
        </w:rPr>
        <w:t>מירילשוילי נ' מדינת ישראל</w:t>
      </w:r>
      <w:r w:rsidR="00CD09F8" w:rsidRPr="00DB5F31">
        <w:rPr>
          <w:rtl/>
        </w:rPr>
        <w:t xml:space="preserve"> (27.9.17) - על פי כתב האישום, המערער החזיק בביתו, בארון בגדיו, בתוך קופסא, </w:t>
      </w:r>
      <w:r w:rsidR="00CD09F8" w:rsidRPr="00DB5F31">
        <w:rPr>
          <w:u w:val="single"/>
          <w:rtl/>
        </w:rPr>
        <w:t>רימון יד הלם</w:t>
      </w:r>
      <w:r w:rsidR="00CD09F8" w:rsidRPr="00DB5F31">
        <w:rPr>
          <w:rtl/>
        </w:rPr>
        <w:t xml:space="preserve"> סנוור 7290 </w:t>
      </w:r>
      <w:r w:rsidR="00CD09F8" w:rsidRPr="00DB5F31">
        <w:t>M</w:t>
      </w:r>
      <w:r w:rsidR="00CD09F8" w:rsidRPr="00DB5F31">
        <w:rPr>
          <w:rtl/>
        </w:rPr>
        <w:t xml:space="preserve">, וכן החזיק בביתו סם מסוכן מסוג חשיש במשקל 0.7033 גרם נטו לצריכה עצמית. המערער הודה בעובדות כתב האישום אך בהתאם להסדר הטיעון לא הורשע בו, אלא נשלח לקבלת תסקיר הדן בעניין ההרשעה. שרות המבחן המליץ על ביטול הרשעה והטלת צו מבחן. אף על פי כן, בית משפט השלום הרשיע את המערער בגזר הדין והוטלו עליו </w:t>
      </w:r>
      <w:r w:rsidR="00CD09F8" w:rsidRPr="00DB5F31">
        <w:rPr>
          <w:b/>
          <w:bCs/>
          <w:rtl/>
        </w:rPr>
        <w:t>מאסר מותנה, התחייבות ופסילה מותנית מלהחזיק ולקבל רישיון נהיגה.</w:t>
      </w:r>
      <w:r w:rsidR="00CD09F8" w:rsidRPr="00DB5F31">
        <w:rPr>
          <w:rtl/>
        </w:rPr>
        <w:t xml:space="preserve"> הערעור, הנוגע לשאלת ההרשעה בלבד, נדחה בדעת רוב. </w:t>
      </w:r>
    </w:p>
    <w:p w14:paraId="40D8E2D3" w14:textId="77777777" w:rsidR="00CD09F8" w:rsidRPr="00DB5F31" w:rsidRDefault="00CD09F8" w:rsidP="00DB5F31">
      <w:pPr>
        <w:pStyle w:val="ListParagraph"/>
        <w:jc w:val="both"/>
        <w:rPr>
          <w:rFonts w:ascii="David" w:hAnsi="David" w:cs="David"/>
        </w:rPr>
      </w:pPr>
    </w:p>
    <w:p w14:paraId="5B82A094" w14:textId="77777777" w:rsidR="00CD09F8" w:rsidRPr="00DB5F31" w:rsidRDefault="00CD09F8" w:rsidP="00DB5F31">
      <w:pPr>
        <w:spacing w:line="360" w:lineRule="auto"/>
        <w:jc w:val="both"/>
      </w:pPr>
    </w:p>
    <w:p w14:paraId="3D572522" w14:textId="77777777" w:rsidR="00CD09F8" w:rsidRPr="00DB5F31" w:rsidRDefault="00B20698" w:rsidP="00DB5F31">
      <w:pPr>
        <w:numPr>
          <w:ilvl w:val="0"/>
          <w:numId w:val="19"/>
        </w:numPr>
        <w:spacing w:line="360" w:lineRule="auto"/>
        <w:contextualSpacing/>
        <w:jc w:val="both"/>
      </w:pPr>
      <w:hyperlink r:id="rId40" w:history="1">
        <w:r w:rsidRPr="00B20698">
          <w:rPr>
            <w:color w:val="0000FF"/>
            <w:u w:val="single"/>
            <w:rtl/>
          </w:rPr>
          <w:t>ת"פ (מחוזי חיפה) 40450-09-15</w:t>
        </w:r>
      </w:hyperlink>
      <w:r w:rsidR="00CD09F8" w:rsidRPr="00DB5F31">
        <w:rPr>
          <w:rtl/>
        </w:rPr>
        <w:t xml:space="preserve"> </w:t>
      </w:r>
      <w:r w:rsidR="00CD09F8" w:rsidRPr="00DB5F31">
        <w:rPr>
          <w:b/>
          <w:bCs/>
          <w:rtl/>
        </w:rPr>
        <w:t>מדינת ישראל נ' עכאווי</w:t>
      </w:r>
      <w:r w:rsidR="00CD09F8" w:rsidRPr="00DB5F31">
        <w:rPr>
          <w:rtl/>
        </w:rPr>
        <w:t xml:space="preserve"> (20.1.16) – הנאשם הורשע על פי הודאתו בהחזקת נשק, מעשה פזיזות ואיומים, לאחר </w:t>
      </w:r>
      <w:r w:rsidR="00CD09F8" w:rsidRPr="00DB5F31">
        <w:rPr>
          <w:u w:val="single"/>
          <w:rtl/>
        </w:rPr>
        <w:t>שהשליך רימון הלם לתוך חנות</w:t>
      </w:r>
      <w:r w:rsidR="00CD09F8" w:rsidRPr="00DB5F31">
        <w:rPr>
          <w:rtl/>
        </w:rPr>
        <w:t xml:space="preserve"> בה עבד המתלונן. מתחם העונש ההולם הועמד</w:t>
      </w:r>
      <w:r>
        <w:rPr>
          <w:rtl/>
        </w:rPr>
        <w:t xml:space="preserve"> </w:t>
      </w:r>
      <w:r w:rsidR="00CD09F8" w:rsidRPr="00DB5F31">
        <w:rPr>
          <w:rtl/>
        </w:rPr>
        <w:t xml:space="preserve"> על 6 עד 24 חודשי מאסר בפועל, ועל הנאשם </w:t>
      </w:r>
      <w:r w:rsidR="00CD09F8" w:rsidRPr="00DB5F31">
        <w:rPr>
          <w:b/>
          <w:bCs/>
          <w:rtl/>
        </w:rPr>
        <w:t>הוטלו 10 חודשי מאסר בפועל ושנת מאסר על תנאי</w:t>
      </w:r>
      <w:r w:rsidR="00CD09F8" w:rsidRPr="00DB5F31">
        <w:rPr>
          <w:rtl/>
        </w:rPr>
        <w:t>, תוך התחשבות בהודאת הנאשם, היותו בחור צעיר, הסכם סולחה שנחתם ולכך שעברו של הנאשם לא היה מכביד.</w:t>
      </w:r>
    </w:p>
    <w:p w14:paraId="53385B3F" w14:textId="77777777" w:rsidR="00CD09F8" w:rsidRPr="00DB5F31" w:rsidRDefault="00CD09F8" w:rsidP="00DB5F31">
      <w:pPr>
        <w:spacing w:line="360" w:lineRule="auto"/>
        <w:jc w:val="both"/>
      </w:pPr>
    </w:p>
    <w:p w14:paraId="34116E2F" w14:textId="77777777" w:rsidR="00CD09F8" w:rsidRPr="00DB5F31" w:rsidRDefault="00CD09F8" w:rsidP="00DB5F31">
      <w:pPr>
        <w:pStyle w:val="ListParagraph"/>
        <w:jc w:val="both"/>
        <w:rPr>
          <w:rFonts w:ascii="David" w:hAnsi="David" w:cs="David"/>
        </w:rPr>
      </w:pPr>
    </w:p>
    <w:p w14:paraId="1BBCC2F0" w14:textId="77777777" w:rsidR="00CD09F8" w:rsidRPr="00DB5F31" w:rsidRDefault="00B20698" w:rsidP="00DB5F31">
      <w:pPr>
        <w:numPr>
          <w:ilvl w:val="0"/>
          <w:numId w:val="19"/>
        </w:numPr>
        <w:spacing w:line="360" w:lineRule="auto"/>
        <w:contextualSpacing/>
        <w:jc w:val="both"/>
      </w:pPr>
      <w:hyperlink r:id="rId41" w:history="1">
        <w:r w:rsidRPr="00B20698">
          <w:rPr>
            <w:color w:val="0000FF"/>
            <w:u w:val="single"/>
            <w:rtl/>
          </w:rPr>
          <w:t>ת"פ (שלום חיפה) 48595-11-18</w:t>
        </w:r>
      </w:hyperlink>
      <w:r w:rsidR="00CD09F8" w:rsidRPr="00DB5F31">
        <w:rPr>
          <w:rtl/>
        </w:rPr>
        <w:t xml:space="preserve"> </w:t>
      </w:r>
      <w:r w:rsidR="00CD09F8" w:rsidRPr="00DB5F31">
        <w:rPr>
          <w:b/>
          <w:bCs/>
          <w:rtl/>
        </w:rPr>
        <w:t>מדינת ישראל נ' זידאן</w:t>
      </w:r>
      <w:r w:rsidR="00CD09F8" w:rsidRPr="00DB5F31">
        <w:rPr>
          <w:rtl/>
        </w:rPr>
        <w:t xml:space="preserve"> (8.1.20) –הנאשם הורשע על פי הודאתו בהחזקת נשק מסוג </w:t>
      </w:r>
      <w:r w:rsidR="00CD09F8" w:rsidRPr="00DB5F31">
        <w:rPr>
          <w:u w:val="single"/>
          <w:rtl/>
        </w:rPr>
        <w:t>רימון הלם</w:t>
      </w:r>
      <w:r w:rsidR="00CD09F8" w:rsidRPr="00DB5F31">
        <w:rPr>
          <w:rtl/>
        </w:rPr>
        <w:t xml:space="preserve"> ובמעשה פזיזות ורשלנות, לאחר </w:t>
      </w:r>
      <w:r w:rsidR="00CD09F8" w:rsidRPr="00DB5F31">
        <w:rPr>
          <w:u w:val="single"/>
          <w:rtl/>
        </w:rPr>
        <w:t>שהשליך את הרימון (אשר התפוצץ) לעבר חצר שכנו</w:t>
      </w:r>
      <w:r w:rsidR="00CD09F8" w:rsidRPr="00DB5F31">
        <w:rPr>
          <w:rtl/>
        </w:rPr>
        <w:t xml:space="preserve"> בתקופת בחירות מקומיות. נקבע כי מתחם העונש ההולם נע בין 6-15 חודשי מאסר בפועל, ועל הנאשם, נעדר עבר פלילי, </w:t>
      </w:r>
      <w:r w:rsidR="00CD09F8" w:rsidRPr="00DB5F31">
        <w:rPr>
          <w:b/>
          <w:bCs/>
          <w:rtl/>
        </w:rPr>
        <w:t>נגזרו בהמלצת שרות המבחן 6 חודשי מאסר בעבודות שרות ומאסר על תנאי.</w:t>
      </w:r>
      <w:r w:rsidR="00CD09F8" w:rsidRPr="00DB5F31">
        <w:rPr>
          <w:rtl/>
        </w:rPr>
        <w:t xml:space="preserve"> </w:t>
      </w:r>
    </w:p>
    <w:p w14:paraId="338F3E11" w14:textId="77777777" w:rsidR="00CD09F8" w:rsidRPr="00DB5F31" w:rsidRDefault="00CD09F8" w:rsidP="00DB5F31">
      <w:pPr>
        <w:spacing w:line="360" w:lineRule="auto"/>
        <w:ind w:left="1440"/>
        <w:contextualSpacing/>
        <w:jc w:val="both"/>
        <w:rPr>
          <w:rtl/>
        </w:rPr>
      </w:pPr>
    </w:p>
    <w:p w14:paraId="194CD397" w14:textId="77777777" w:rsidR="00CD09F8" w:rsidRPr="00DB5F31" w:rsidRDefault="00B20698" w:rsidP="00DB5F31">
      <w:pPr>
        <w:numPr>
          <w:ilvl w:val="0"/>
          <w:numId w:val="19"/>
        </w:numPr>
        <w:spacing w:line="360" w:lineRule="auto"/>
        <w:contextualSpacing/>
        <w:jc w:val="both"/>
      </w:pPr>
      <w:hyperlink r:id="rId42" w:history="1">
        <w:r w:rsidRPr="00B20698">
          <w:rPr>
            <w:color w:val="0000FF"/>
            <w:u w:val="single"/>
            <w:rtl/>
          </w:rPr>
          <w:t>ת"פ (שלום ירושלים) 35629-09-11</w:t>
        </w:r>
      </w:hyperlink>
      <w:r w:rsidR="00CD09F8" w:rsidRPr="00DB5F31">
        <w:rPr>
          <w:rtl/>
        </w:rPr>
        <w:t xml:space="preserve"> </w:t>
      </w:r>
      <w:r w:rsidR="00CD09F8" w:rsidRPr="00DB5F31">
        <w:rPr>
          <w:b/>
          <w:bCs/>
          <w:rtl/>
        </w:rPr>
        <w:t>מדינת ישראל נ' סבירידונוב</w:t>
      </w:r>
      <w:r w:rsidR="00CD09F8" w:rsidRPr="00DB5F31">
        <w:rPr>
          <w:rtl/>
        </w:rPr>
        <w:t xml:space="preserve"> (19.2.15) - הנאשם הורשע בהסדר טיעון ללא הסכמה עונשית, </w:t>
      </w:r>
      <w:r w:rsidR="00CD09F8" w:rsidRPr="00DB5F31">
        <w:rPr>
          <w:u w:val="single"/>
          <w:rtl/>
        </w:rPr>
        <w:t>בהחזקת רימון הלם מפורק שהחזיק בביתו</w:t>
      </w:r>
      <w:r w:rsidR="00CD09F8" w:rsidRPr="00DB5F31">
        <w:rPr>
          <w:rtl/>
        </w:rPr>
        <w:t>. נקבע</w:t>
      </w:r>
      <w:r>
        <w:rPr>
          <w:rtl/>
        </w:rPr>
        <w:t xml:space="preserve"> </w:t>
      </w:r>
      <w:r w:rsidR="00CD09F8" w:rsidRPr="00DB5F31">
        <w:rPr>
          <w:rtl/>
        </w:rPr>
        <w:t xml:space="preserve"> כי מתחם העונש ההולם נע בין שרות לתועלת הציבור בהיקף נרחב לבין מאסר של 6 חודשים. בשל נסיבותיו האישיות, החליט בית המשפט להציב עונשו בתחתית המתחם, ועל הנאשם </w:t>
      </w:r>
      <w:r w:rsidR="00CD09F8" w:rsidRPr="00DB5F31">
        <w:rPr>
          <w:b/>
          <w:bCs/>
          <w:rtl/>
        </w:rPr>
        <w:t>הושתו 400 שעות של"צ ו-6 חודשי מאסר על תנאי.</w:t>
      </w:r>
      <w:r w:rsidR="00CD09F8" w:rsidRPr="00DB5F31">
        <w:rPr>
          <w:rtl/>
        </w:rPr>
        <w:t xml:space="preserve"> </w:t>
      </w:r>
    </w:p>
    <w:p w14:paraId="335E1149" w14:textId="77777777" w:rsidR="00CD09F8" w:rsidRPr="00DB5F31" w:rsidRDefault="00CD09F8" w:rsidP="00DB5F31">
      <w:pPr>
        <w:spacing w:line="360" w:lineRule="auto"/>
        <w:jc w:val="both"/>
        <w:rPr>
          <w:rtl/>
        </w:rPr>
      </w:pPr>
    </w:p>
    <w:p w14:paraId="3AC9F7A9" w14:textId="77777777" w:rsidR="00CD09F8" w:rsidRPr="00DB5F31" w:rsidRDefault="00CD09F8" w:rsidP="00DB5F31">
      <w:pPr>
        <w:spacing w:line="360" w:lineRule="auto"/>
        <w:ind w:left="720" w:hanging="720"/>
        <w:jc w:val="both"/>
        <w:rPr>
          <w:b/>
          <w:bCs/>
        </w:rPr>
      </w:pPr>
      <w:r w:rsidRPr="00DB5F31">
        <w:rPr>
          <w:rtl/>
        </w:rPr>
        <w:t>21.</w:t>
      </w:r>
      <w:r w:rsidR="00B20698">
        <w:rPr>
          <w:b/>
          <w:bCs/>
          <w:rtl/>
        </w:rPr>
        <w:t xml:space="preserve">      </w:t>
      </w:r>
      <w:r w:rsidRPr="00DB5F31">
        <w:rPr>
          <w:b/>
          <w:bCs/>
          <w:rtl/>
        </w:rPr>
        <w:t xml:space="preserve"> </w:t>
      </w:r>
      <w:r w:rsidR="00B20698">
        <w:rPr>
          <w:rtl/>
        </w:rPr>
        <w:t xml:space="preserve"> </w:t>
      </w:r>
      <w:r w:rsidRPr="00DB5F31">
        <w:rPr>
          <w:rtl/>
        </w:rPr>
        <w:t>סבורני כי החזקתו של רימון הלם בודד, ללא נסיבות מחמירות מיוחדות, מאפשרת מתחם ענישה</w:t>
      </w:r>
      <w:r w:rsidR="00B20698">
        <w:rPr>
          <w:rtl/>
        </w:rPr>
        <w:t xml:space="preserve"> </w:t>
      </w:r>
      <w:r w:rsidRPr="00DB5F31">
        <w:rPr>
          <w:rtl/>
        </w:rPr>
        <w:t xml:space="preserve"> אשר מתחיל בשבעה חודשי מאסר אשר ניתן לרצות גם</w:t>
      </w:r>
      <w:r w:rsidR="00B20698">
        <w:rPr>
          <w:rtl/>
        </w:rPr>
        <w:t xml:space="preserve"> </w:t>
      </w:r>
      <w:r w:rsidRPr="00DB5F31">
        <w:rPr>
          <w:rtl/>
        </w:rPr>
        <w:t xml:space="preserve"> בעבודות שרות.</w:t>
      </w:r>
      <w:r w:rsidRPr="00DB5F31">
        <w:rPr>
          <w:b/>
          <w:bCs/>
          <w:rtl/>
        </w:rPr>
        <w:t xml:space="preserve"> לפיכך אני קובעת כי מתחם העונש נע בין 7 חודשי מאסר בפועל הניתנים לריצוי בעבודות שרות במקרים המתאימים, לבין 20 חודשי מאסר בפועל.</w:t>
      </w:r>
    </w:p>
    <w:p w14:paraId="712ED593" w14:textId="77777777" w:rsidR="00CD09F8" w:rsidRPr="00DB5F31" w:rsidRDefault="00CD09F8" w:rsidP="00DB5F31">
      <w:pPr>
        <w:spacing w:line="360" w:lineRule="auto"/>
        <w:ind w:left="424" w:hanging="424"/>
        <w:jc w:val="both"/>
        <w:rPr>
          <w:b/>
          <w:bCs/>
          <w:u w:val="single"/>
        </w:rPr>
      </w:pPr>
    </w:p>
    <w:p w14:paraId="2CC457AC" w14:textId="77777777" w:rsidR="00CD09F8" w:rsidRPr="00DB5F31" w:rsidRDefault="00CD09F8" w:rsidP="00DB5F31">
      <w:pPr>
        <w:spacing w:line="360" w:lineRule="auto"/>
        <w:ind w:left="424" w:hanging="424"/>
        <w:jc w:val="both"/>
        <w:rPr>
          <w:b/>
          <w:bCs/>
          <w:u w:val="single"/>
          <w:rtl/>
        </w:rPr>
      </w:pPr>
      <w:r w:rsidRPr="00DB5F31">
        <w:rPr>
          <w:b/>
          <w:bCs/>
          <w:u w:val="single"/>
          <w:rtl/>
        </w:rPr>
        <w:t>גזירת עונשו של הנאשם</w:t>
      </w:r>
    </w:p>
    <w:p w14:paraId="03643149" w14:textId="77777777" w:rsidR="00CD09F8" w:rsidRPr="00DB5F31" w:rsidRDefault="00CD09F8" w:rsidP="00DB5F31">
      <w:pPr>
        <w:spacing w:line="360" w:lineRule="auto"/>
        <w:ind w:left="424" w:hanging="424"/>
        <w:jc w:val="both"/>
        <w:rPr>
          <w:b/>
          <w:bCs/>
          <w:u w:val="single"/>
        </w:rPr>
      </w:pPr>
    </w:p>
    <w:p w14:paraId="35C38228" w14:textId="77777777" w:rsidR="00CD09F8" w:rsidRPr="00DB5F31" w:rsidRDefault="00CD09F8" w:rsidP="00DB5F31">
      <w:pPr>
        <w:spacing w:line="360" w:lineRule="auto"/>
        <w:ind w:left="720" w:hanging="720"/>
        <w:contextualSpacing/>
        <w:jc w:val="both"/>
      </w:pPr>
      <w:r w:rsidRPr="00DB5F31">
        <w:rPr>
          <w:rtl/>
        </w:rPr>
        <w:t>22.</w:t>
      </w:r>
      <w:r w:rsidR="00B20698">
        <w:rPr>
          <w:b/>
          <w:bCs/>
          <w:rtl/>
        </w:rPr>
        <w:t xml:space="preserve">  </w:t>
      </w:r>
      <w:r w:rsidR="00B20698">
        <w:rPr>
          <w:rtl/>
        </w:rPr>
        <w:t xml:space="preserve">    </w:t>
      </w:r>
      <w:r w:rsidRPr="00DB5F31">
        <w:rPr>
          <w:rtl/>
        </w:rPr>
        <w:t xml:space="preserve"> </w:t>
      </w:r>
      <w:r w:rsidR="00B20698">
        <w:rPr>
          <w:rtl/>
        </w:rPr>
        <w:t xml:space="preserve"> </w:t>
      </w:r>
      <w:r w:rsidRPr="00DB5F31">
        <w:rPr>
          <w:rtl/>
        </w:rPr>
        <w:t>הנאשם צעיר בן 37 נשוי ואב לשתי בנות, הודה</w:t>
      </w:r>
      <w:r w:rsidR="00B20698">
        <w:rPr>
          <w:rtl/>
        </w:rPr>
        <w:t xml:space="preserve"> </w:t>
      </w:r>
      <w:r w:rsidRPr="00DB5F31">
        <w:rPr>
          <w:rtl/>
        </w:rPr>
        <w:t>ונטל אחריות ובכך חסך זמן ציבורי.</w:t>
      </w:r>
    </w:p>
    <w:p w14:paraId="2864FAB2" w14:textId="77777777" w:rsidR="00CD09F8" w:rsidRPr="00DB5F31" w:rsidRDefault="00CD09F8" w:rsidP="00DB5F31">
      <w:pPr>
        <w:spacing w:line="360" w:lineRule="auto"/>
        <w:ind w:left="720"/>
        <w:contextualSpacing/>
        <w:jc w:val="both"/>
      </w:pPr>
      <w:r w:rsidRPr="00DB5F31">
        <w:rPr>
          <w:rtl/>
        </w:rPr>
        <w:t xml:space="preserve">אין לנאשם עבר פלילי. </w:t>
      </w:r>
    </w:p>
    <w:p w14:paraId="44F2410D" w14:textId="77777777" w:rsidR="00CD09F8" w:rsidRPr="00DB5F31" w:rsidRDefault="00CD09F8" w:rsidP="00DB5F31">
      <w:pPr>
        <w:spacing w:line="360" w:lineRule="auto"/>
        <w:ind w:left="720"/>
        <w:contextualSpacing/>
        <w:jc w:val="both"/>
        <w:rPr>
          <w:rtl/>
        </w:rPr>
      </w:pPr>
      <w:r w:rsidRPr="00DB5F31">
        <w:rPr>
          <w:rtl/>
        </w:rPr>
        <w:t>שרות המבחן הגיש תסקיר חיובי מאד בעניינו של הנאשם, והמליץ על ביטול הרשעתו בדין.</w:t>
      </w:r>
      <w:r w:rsidR="00B20698">
        <w:rPr>
          <w:rtl/>
        </w:rPr>
        <w:t xml:space="preserve"> </w:t>
      </w:r>
      <w:r w:rsidRPr="00DB5F31">
        <w:rPr>
          <w:rtl/>
        </w:rPr>
        <w:t xml:space="preserve"> בתסקיר נמסר כי הנאשם נוטל אחריות מלאה על ביצוע העבירה, מכיר בטעותו ומצר על התנהלותו. עוד נמסר כי הנאשם מוכר לרשויות הרווחה בעירו, משתתף מיוזמתו בטיפול זוגי, בעל מוטיבציה, מתייצב בהתמדה ומתקדם. בנוסף, צוין כי מדובר באדם נורמטיבי נעדר עבר פלילי, העובד למחייתו, ורמת הסיכון הנשקפת להישנות עבירות דומות מצדו הוערכה כנמוכה.</w:t>
      </w:r>
      <w:r w:rsidR="00B20698">
        <w:rPr>
          <w:rtl/>
        </w:rPr>
        <w:t xml:space="preserve"> </w:t>
      </w:r>
      <w:r w:rsidRPr="00DB5F31">
        <w:rPr>
          <w:rtl/>
        </w:rPr>
        <w:t xml:space="preserve"> </w:t>
      </w:r>
    </w:p>
    <w:p w14:paraId="1CB66704" w14:textId="77777777" w:rsidR="00CD09F8" w:rsidRPr="00DB5F31" w:rsidRDefault="00CD09F8" w:rsidP="00DB5F31">
      <w:pPr>
        <w:spacing w:line="360" w:lineRule="auto"/>
        <w:ind w:left="720"/>
        <w:contextualSpacing/>
        <w:jc w:val="both"/>
      </w:pPr>
      <w:r w:rsidRPr="00DB5F31">
        <w:rPr>
          <w:rtl/>
        </w:rPr>
        <w:t>הנאשם פוטר לאחרונה והוא מתמודד עם מצב כלכלי מורכב.</w:t>
      </w:r>
    </w:p>
    <w:p w14:paraId="1C9ACF62" w14:textId="77777777" w:rsidR="00CD09F8" w:rsidRPr="00DB5F31" w:rsidRDefault="00CD09F8" w:rsidP="00DB5F31">
      <w:pPr>
        <w:spacing w:line="360" w:lineRule="auto"/>
        <w:ind w:left="720"/>
        <w:contextualSpacing/>
        <w:jc w:val="both"/>
        <w:rPr>
          <w:rtl/>
        </w:rPr>
      </w:pPr>
      <w:r w:rsidRPr="00DB5F31">
        <w:rPr>
          <w:rtl/>
        </w:rPr>
        <w:t>אינני סבורה כי במקרה זה יש לבטל את ההרשעה, ואולם לצד זאת, שוכנעתי, לאור המלצת שרות המבחן, ולנוכח הנתונים הטובים והנסיבות האישיות, במרכזן הקושי הכלכלי, לתת משקל</w:t>
      </w:r>
      <w:r w:rsidR="00B20698">
        <w:rPr>
          <w:rtl/>
        </w:rPr>
        <w:t xml:space="preserve"> </w:t>
      </w:r>
      <w:r w:rsidRPr="00DB5F31">
        <w:rPr>
          <w:rtl/>
        </w:rPr>
        <w:t xml:space="preserve"> להתרשמותו של שרות המבחן כי מדובר בצעיר המעוניין להשתקם, והמכיר בהתנהלותו השגויה והחד פעמית. בשקלול הגורמים, ראיתי מקום לסטות מעט לקולה ממתחם העונש ההולם אותו קבעתי, משיקולי שיקום. </w:t>
      </w:r>
    </w:p>
    <w:p w14:paraId="7A12AEA7" w14:textId="77777777" w:rsidR="00CD09F8" w:rsidRPr="00DB5F31" w:rsidRDefault="00CD09F8" w:rsidP="00DB5F31">
      <w:pPr>
        <w:spacing w:line="360" w:lineRule="auto"/>
        <w:ind w:left="720" w:hanging="720"/>
        <w:contextualSpacing/>
        <w:jc w:val="both"/>
        <w:rPr>
          <w:rtl/>
        </w:rPr>
      </w:pPr>
    </w:p>
    <w:p w14:paraId="39C32485" w14:textId="77777777" w:rsidR="00CD09F8" w:rsidRPr="00DB5F31" w:rsidRDefault="00CD09F8" w:rsidP="00DB5F31">
      <w:pPr>
        <w:spacing w:line="360" w:lineRule="auto"/>
        <w:ind w:left="424" w:hanging="424"/>
        <w:jc w:val="both"/>
        <w:rPr>
          <w:b/>
          <w:bCs/>
          <w:u w:val="single"/>
          <w:rtl/>
        </w:rPr>
      </w:pPr>
      <w:r w:rsidRPr="00DB5F31">
        <w:rPr>
          <w:b/>
          <w:bCs/>
          <w:u w:val="single"/>
          <w:rtl/>
        </w:rPr>
        <w:t>סוף דבר</w:t>
      </w:r>
    </w:p>
    <w:p w14:paraId="0E5CD2DE" w14:textId="77777777" w:rsidR="00CD09F8" w:rsidRPr="00DB5F31" w:rsidRDefault="00CD09F8" w:rsidP="00DB5F31">
      <w:pPr>
        <w:spacing w:line="360" w:lineRule="auto"/>
        <w:ind w:left="424" w:hanging="424"/>
        <w:jc w:val="both"/>
        <w:rPr>
          <w:b/>
          <w:bCs/>
          <w:u w:val="single"/>
          <w:rtl/>
        </w:rPr>
      </w:pPr>
    </w:p>
    <w:p w14:paraId="1A124C3E" w14:textId="77777777" w:rsidR="00CD09F8" w:rsidRPr="00DB5F31" w:rsidRDefault="00CD09F8" w:rsidP="00DB5F31">
      <w:pPr>
        <w:spacing w:line="360" w:lineRule="auto"/>
        <w:ind w:left="424" w:hanging="424"/>
        <w:jc w:val="both"/>
        <w:rPr>
          <w:b/>
          <w:bCs/>
          <w:rtl/>
        </w:rPr>
      </w:pPr>
      <w:r w:rsidRPr="00DB5F31">
        <w:rPr>
          <w:rtl/>
        </w:rPr>
        <w:t>23.</w:t>
      </w:r>
      <w:r w:rsidR="00B20698">
        <w:rPr>
          <w:b/>
          <w:bCs/>
          <w:rtl/>
        </w:rPr>
        <w:t xml:space="preserve"> </w:t>
      </w:r>
      <w:r w:rsidRPr="00DB5F31">
        <w:rPr>
          <w:b/>
          <w:bCs/>
          <w:rtl/>
        </w:rPr>
        <w:t xml:space="preserve"> </w:t>
      </w:r>
      <w:r w:rsidR="00B20698">
        <w:rPr>
          <w:b/>
          <w:bCs/>
          <w:rtl/>
        </w:rPr>
        <w:t xml:space="preserve">        </w:t>
      </w:r>
      <w:r w:rsidRPr="00DB5F31">
        <w:rPr>
          <w:b/>
          <w:bCs/>
          <w:rtl/>
        </w:rPr>
        <w:t>נוכח כל האמור לעיל, אני גוזרת את עונשו של הנאשם כדלקמן:</w:t>
      </w:r>
    </w:p>
    <w:p w14:paraId="4B03A5D6" w14:textId="77777777" w:rsidR="00CD09F8" w:rsidRPr="00DB5F31" w:rsidRDefault="00B20698" w:rsidP="00DB5F31">
      <w:pPr>
        <w:spacing w:line="360" w:lineRule="auto"/>
        <w:ind w:left="425" w:hanging="425"/>
        <w:jc w:val="both"/>
        <w:rPr>
          <w:rtl/>
        </w:rPr>
      </w:pPr>
      <w:r>
        <w:rPr>
          <w:rtl/>
        </w:rPr>
        <w:t xml:space="preserve">      </w:t>
      </w:r>
    </w:p>
    <w:p w14:paraId="65FDEF3D" w14:textId="77777777" w:rsidR="00CD09F8" w:rsidRPr="00DB5F31" w:rsidRDefault="00B20698" w:rsidP="00DB5F31">
      <w:pPr>
        <w:pStyle w:val="ListParagraph"/>
        <w:numPr>
          <w:ilvl w:val="0"/>
          <w:numId w:val="20"/>
        </w:numPr>
        <w:spacing w:line="360" w:lineRule="auto"/>
        <w:jc w:val="both"/>
        <w:rPr>
          <w:rFonts w:ascii="David" w:hAnsi="David" w:cs="David"/>
          <w:rtl/>
        </w:rPr>
      </w:pPr>
      <w:r>
        <w:rPr>
          <w:rFonts w:ascii="David" w:hAnsi="David" w:cs="David"/>
          <w:rtl/>
        </w:rPr>
        <w:t xml:space="preserve"> </w:t>
      </w:r>
      <w:r w:rsidR="00CD09F8" w:rsidRPr="00DB5F31">
        <w:rPr>
          <w:rFonts w:ascii="David" w:hAnsi="David" w:cs="David"/>
          <w:rtl/>
        </w:rPr>
        <w:t>4 חודשי מאסר אשר ירוצו בעבודות שרות במועצה הדתית ביוקנעם, החל מיום 6/3/25.</w:t>
      </w:r>
    </w:p>
    <w:p w14:paraId="59CFD199" w14:textId="77777777" w:rsidR="00CD09F8" w:rsidRPr="00DB5F31" w:rsidRDefault="00CD09F8" w:rsidP="00DB5F31">
      <w:pPr>
        <w:pStyle w:val="ListParagraph"/>
        <w:spacing w:line="360" w:lineRule="auto"/>
        <w:jc w:val="both"/>
        <w:rPr>
          <w:rFonts w:ascii="David" w:hAnsi="David" w:cs="David"/>
          <w:rtl/>
        </w:rPr>
      </w:pPr>
    </w:p>
    <w:p w14:paraId="14A8BDA4" w14:textId="77777777" w:rsidR="00CD09F8" w:rsidRPr="00DB5F31" w:rsidRDefault="00CD09F8" w:rsidP="00DB5F31">
      <w:pPr>
        <w:pStyle w:val="ListParagraph"/>
        <w:spacing w:line="360" w:lineRule="auto"/>
        <w:jc w:val="both"/>
        <w:rPr>
          <w:rFonts w:ascii="David" w:hAnsi="David" w:cs="David"/>
          <w:b/>
          <w:bCs/>
          <w:rtl/>
        </w:rPr>
      </w:pPr>
      <w:r w:rsidRPr="00DB5F31">
        <w:rPr>
          <w:rFonts w:ascii="David" w:hAnsi="David" w:cs="David"/>
          <w:b/>
          <w:bCs/>
          <w:rtl/>
        </w:rPr>
        <w:t>מובהר לנאשם כי עבודות שרות הן עונש מאסר במסגרת שב"ס וכי חלה חובה לקיים ללא דופי את תנאי המסגרת, אחרת קיים סיכון להעברת ריצוי העונש במתקן כליאה.</w:t>
      </w:r>
      <w:r w:rsidR="00B20698">
        <w:rPr>
          <w:rFonts w:ascii="David" w:hAnsi="David" w:cs="David"/>
          <w:b/>
          <w:bCs/>
          <w:rtl/>
        </w:rPr>
        <w:t xml:space="preserve"> </w:t>
      </w:r>
      <w:r w:rsidRPr="00DB5F31">
        <w:rPr>
          <w:rFonts w:ascii="David" w:hAnsi="David" w:cs="David"/>
          <w:b/>
          <w:bCs/>
          <w:rtl/>
        </w:rPr>
        <w:t xml:space="preserve"> </w:t>
      </w:r>
    </w:p>
    <w:p w14:paraId="287FF500" w14:textId="77777777" w:rsidR="00CD09F8" w:rsidRPr="00DB5F31" w:rsidRDefault="00CD09F8" w:rsidP="00DB5F31">
      <w:pPr>
        <w:pStyle w:val="ListParagraph"/>
        <w:spacing w:line="360" w:lineRule="auto"/>
        <w:jc w:val="both"/>
        <w:rPr>
          <w:rFonts w:ascii="David" w:hAnsi="David" w:cs="David"/>
        </w:rPr>
      </w:pPr>
    </w:p>
    <w:p w14:paraId="4FE6D239" w14:textId="77777777" w:rsidR="00CD09F8" w:rsidRPr="00DB5F31" w:rsidRDefault="00CD09F8" w:rsidP="00DB5F31">
      <w:pPr>
        <w:pStyle w:val="ListParagraph"/>
        <w:numPr>
          <w:ilvl w:val="0"/>
          <w:numId w:val="20"/>
        </w:numPr>
        <w:spacing w:line="360" w:lineRule="auto"/>
        <w:jc w:val="both"/>
        <w:rPr>
          <w:rFonts w:ascii="David" w:hAnsi="David" w:cs="David"/>
          <w:rtl/>
        </w:rPr>
      </w:pPr>
      <w:r w:rsidRPr="00DB5F31">
        <w:rPr>
          <w:rFonts w:ascii="David" w:hAnsi="David" w:cs="David"/>
          <w:rtl/>
        </w:rPr>
        <w:t xml:space="preserve">4 חודשי מאסר על-תנאי, ואולם הנאשם לא יישא עונש זה אלא אם יעבור במהלך תקופה של שלוש שנים מיום שחרורו מהמאסר כל </w:t>
      </w:r>
      <w:r w:rsidRPr="00DB5F31">
        <w:rPr>
          <w:rFonts w:ascii="David" w:hAnsi="David" w:cs="David"/>
          <w:b/>
          <w:bCs/>
          <w:rtl/>
        </w:rPr>
        <w:t>עבירת נשק מסוג עוון או פשע.</w:t>
      </w:r>
      <w:r w:rsidRPr="00DB5F31">
        <w:rPr>
          <w:rFonts w:ascii="David" w:hAnsi="David" w:cs="David"/>
          <w:rtl/>
        </w:rPr>
        <w:t xml:space="preserve"> </w:t>
      </w:r>
    </w:p>
    <w:p w14:paraId="651BAAA6" w14:textId="77777777" w:rsidR="00CD09F8" w:rsidRPr="00DB5F31" w:rsidRDefault="00CD09F8" w:rsidP="00DB5F31">
      <w:pPr>
        <w:pStyle w:val="ListParagraph"/>
        <w:spacing w:line="360" w:lineRule="auto"/>
        <w:jc w:val="both"/>
        <w:rPr>
          <w:rFonts w:ascii="David" w:hAnsi="David" w:cs="David"/>
        </w:rPr>
      </w:pPr>
    </w:p>
    <w:p w14:paraId="716E8941" w14:textId="77777777" w:rsidR="00CD09F8" w:rsidRPr="00DB5F31" w:rsidRDefault="00CD09F8" w:rsidP="00DB5F31">
      <w:pPr>
        <w:pStyle w:val="ListParagraph"/>
        <w:numPr>
          <w:ilvl w:val="0"/>
          <w:numId w:val="20"/>
        </w:numPr>
        <w:spacing w:line="360" w:lineRule="auto"/>
        <w:jc w:val="both"/>
        <w:rPr>
          <w:rFonts w:ascii="David" w:hAnsi="David" w:cs="David"/>
        </w:rPr>
      </w:pPr>
      <w:r w:rsidRPr="00DB5F31">
        <w:rPr>
          <w:rFonts w:ascii="David" w:hAnsi="David" w:cs="David"/>
          <w:rtl/>
        </w:rPr>
        <w:t>קנס בסך 1,500 ₪ או 6 ימי מאסר תמורתו, אשר ישולם בתוך 90 יום מהיום.</w:t>
      </w:r>
      <w:r w:rsidR="00B20698">
        <w:rPr>
          <w:rFonts w:ascii="David" w:hAnsi="David" w:cs="David"/>
          <w:rtl/>
        </w:rPr>
        <w:t xml:space="preserve"> </w:t>
      </w:r>
      <w:r w:rsidRPr="00DB5F31">
        <w:rPr>
          <w:rFonts w:ascii="David" w:hAnsi="David" w:cs="David"/>
          <w:rtl/>
        </w:rPr>
        <w:t xml:space="preserve"> </w:t>
      </w:r>
    </w:p>
    <w:p w14:paraId="3894727B" w14:textId="77777777" w:rsidR="00CD09F8" w:rsidRPr="00DB5F31" w:rsidRDefault="00CD09F8" w:rsidP="00DB5F31">
      <w:pPr>
        <w:spacing w:line="360" w:lineRule="auto"/>
        <w:jc w:val="both"/>
      </w:pPr>
    </w:p>
    <w:p w14:paraId="31F8B9DE" w14:textId="77777777" w:rsidR="00CD09F8" w:rsidRPr="00DB5F31" w:rsidRDefault="00CD09F8" w:rsidP="00DB5F31">
      <w:pPr>
        <w:spacing w:line="360" w:lineRule="auto"/>
        <w:jc w:val="both"/>
        <w:rPr>
          <w:b/>
          <w:bCs/>
          <w:u w:val="single"/>
          <w:rtl/>
        </w:rPr>
      </w:pPr>
      <w:r w:rsidRPr="00DB5F31">
        <w:rPr>
          <w:b/>
          <w:bCs/>
          <w:u w:val="single"/>
          <w:rtl/>
        </w:rPr>
        <w:t>המזכירות תעביר את גזר הדין לממונה על עבודות השירות.</w:t>
      </w:r>
    </w:p>
    <w:p w14:paraId="2DFF43AE" w14:textId="77777777" w:rsidR="00CD09F8" w:rsidRPr="00DB5F31" w:rsidRDefault="00CD09F8" w:rsidP="00DB5F31">
      <w:pPr>
        <w:jc w:val="both"/>
        <w:rPr>
          <w:b/>
          <w:bCs/>
          <w:u w:val="single"/>
        </w:rPr>
      </w:pPr>
    </w:p>
    <w:p w14:paraId="34D42F5F" w14:textId="77777777" w:rsidR="00CD09F8" w:rsidRPr="00DB5F31" w:rsidRDefault="00CD09F8" w:rsidP="00DB5F31">
      <w:pPr>
        <w:jc w:val="both"/>
      </w:pPr>
      <w:r w:rsidRPr="00DB5F31">
        <w:rPr>
          <w:b/>
          <w:bCs/>
          <w:u w:val="single"/>
          <w:rtl/>
        </w:rPr>
        <w:t>ערעור תוך 45 ימים לבית המשפט המחוזי</w:t>
      </w:r>
      <w:r w:rsidRPr="00DB5F31">
        <w:rPr>
          <w:b/>
          <w:bCs/>
          <w:rtl/>
        </w:rPr>
        <w:t>.</w:t>
      </w:r>
    </w:p>
    <w:p w14:paraId="4B2A1C17" w14:textId="77777777" w:rsidR="00CD09F8" w:rsidRDefault="00CD09F8">
      <w:pPr>
        <w:spacing w:line="360" w:lineRule="auto"/>
        <w:jc w:val="both"/>
        <w:rPr>
          <w:rtl/>
        </w:rPr>
      </w:pPr>
    </w:p>
    <w:p w14:paraId="29846A42" w14:textId="77777777" w:rsidR="00CD09F8" w:rsidRDefault="00CD09F8">
      <w:pPr>
        <w:spacing w:line="360" w:lineRule="auto"/>
        <w:jc w:val="both"/>
        <w:rPr>
          <w:sz w:val="6"/>
          <w:szCs w:val="6"/>
        </w:rPr>
      </w:pPr>
      <w:r>
        <w:rPr>
          <w:sz w:val="6"/>
          <w:szCs w:val="6"/>
          <w:rtl/>
        </w:rPr>
        <w:t>&lt;#2#&gt;</w:t>
      </w:r>
    </w:p>
    <w:p w14:paraId="57ED3FE4" w14:textId="77777777" w:rsidR="00CD09F8" w:rsidRDefault="00CD09F8" w:rsidP="003B08F6">
      <w:pPr>
        <w:rPr>
          <w:rtl/>
        </w:rPr>
      </w:pPr>
    </w:p>
    <w:p w14:paraId="43B8E678" w14:textId="77777777" w:rsidR="00CD09F8" w:rsidRDefault="00B20698" w:rsidP="003B08F6">
      <w:pPr>
        <w:rPr>
          <w:rtl/>
        </w:rPr>
      </w:pPr>
      <w:bookmarkStart w:id="8" w:name="Nitan"/>
      <w:r w:rsidRPr="00B20698">
        <w:rPr>
          <w:b/>
          <w:bCs/>
          <w:color w:val="FFFFFF"/>
          <w:sz w:val="2"/>
          <w:szCs w:val="2"/>
          <w:rtl/>
        </w:rPr>
        <w:t>5129371</w:t>
      </w:r>
      <w:r>
        <w:rPr>
          <w:b/>
          <w:bCs/>
          <w:rtl/>
        </w:rPr>
        <w:t xml:space="preserve">ניתנה והודעה היום כ"ג כסלו תשפ"ה, 24/12/2024 במעמד הנוכחים. </w:t>
      </w:r>
      <w:bookmarkEnd w:id="8"/>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D09F8" w14:paraId="503A12E2" w14:textId="77777777" w:rsidTr="00541330">
        <w:trPr>
          <w:trHeight w:val="316"/>
          <w:jc w:val="right"/>
        </w:trPr>
        <w:tc>
          <w:tcPr>
            <w:tcW w:w="3936" w:type="dxa"/>
            <w:vAlign w:val="center"/>
          </w:tcPr>
          <w:p w14:paraId="276E5EDD" w14:textId="77777777" w:rsidR="00CD09F8" w:rsidRPr="00B20698" w:rsidRDefault="00B20698" w:rsidP="00541330">
            <w:pPr>
              <w:jc w:val="center"/>
              <w:rPr>
                <w:rFonts w:ascii="Times New Roman" w:hAnsi="Times New Roman" w:cs="Times New Roman"/>
                <w:color w:val="FFFFFF"/>
                <w:sz w:val="2"/>
                <w:szCs w:val="2"/>
                <w:rtl/>
              </w:rPr>
            </w:pPr>
            <w:r w:rsidRPr="00B20698">
              <w:rPr>
                <w:rFonts w:ascii="Times New Roman" w:hAnsi="Times New Roman" w:cs="Times New Roman"/>
                <w:color w:val="FFFFFF"/>
                <w:sz w:val="2"/>
                <w:szCs w:val="2"/>
                <w:rtl/>
              </w:rPr>
              <w:t>54678313</w:t>
            </w:r>
          </w:p>
        </w:tc>
      </w:tr>
      <w:tr w:rsidR="00CD09F8" w14:paraId="3851C866" w14:textId="77777777" w:rsidTr="00541330">
        <w:trPr>
          <w:trHeight w:val="361"/>
          <w:jc w:val="right"/>
        </w:trPr>
        <w:tc>
          <w:tcPr>
            <w:tcW w:w="3936" w:type="dxa"/>
            <w:vAlign w:val="center"/>
          </w:tcPr>
          <w:p w14:paraId="5EF356B2" w14:textId="77777777" w:rsidR="00CD09F8" w:rsidRPr="00541330" w:rsidRDefault="00CD09F8" w:rsidP="00541330">
            <w:pPr>
              <w:jc w:val="center"/>
              <w:rPr>
                <w:rFonts w:ascii="Times New Roman" w:hAnsi="Times New Roman"/>
                <w:b/>
                <w:bCs/>
                <w:rtl/>
              </w:rPr>
            </w:pPr>
            <w:r w:rsidRPr="00541330">
              <w:rPr>
                <w:rFonts w:ascii="Times New Roman" w:hAnsi="Times New Roman"/>
                <w:b/>
                <w:bCs/>
                <w:rtl/>
              </w:rPr>
              <w:t>רות שפילברג כהן, שופטת, סגנית הנשיא</w:t>
            </w:r>
          </w:p>
        </w:tc>
      </w:tr>
    </w:tbl>
    <w:p w14:paraId="3481D3D0" w14:textId="77777777" w:rsidR="00CD09F8" w:rsidRPr="00D20C7A" w:rsidRDefault="00D20C7A" w:rsidP="00DB5F31">
      <w:pPr>
        <w:spacing w:line="360" w:lineRule="auto"/>
        <w:jc w:val="both"/>
        <w:rPr>
          <w:color w:val="FFFFFF"/>
          <w:sz w:val="2"/>
          <w:szCs w:val="2"/>
        </w:rPr>
      </w:pPr>
      <w:r w:rsidRPr="00D20C7A">
        <w:rPr>
          <w:color w:val="FFFFFF"/>
          <w:sz w:val="2"/>
          <w:szCs w:val="2"/>
          <w:rtl/>
        </w:rPr>
        <w:t>5129371</w:t>
      </w:r>
    </w:p>
    <w:p w14:paraId="73A79578" w14:textId="77777777" w:rsidR="00CD09F8" w:rsidRPr="00B20698" w:rsidRDefault="00D20C7A" w:rsidP="00B20698">
      <w:pPr>
        <w:keepNext/>
        <w:rPr>
          <w:color w:val="000000"/>
          <w:sz w:val="22"/>
          <w:szCs w:val="22"/>
        </w:rPr>
      </w:pPr>
      <w:r w:rsidRPr="00D20C7A">
        <w:rPr>
          <w:color w:val="FFFFFF"/>
          <w:sz w:val="2"/>
          <w:szCs w:val="2"/>
          <w:rtl/>
        </w:rPr>
        <w:t>54678313</w:t>
      </w:r>
      <w:r w:rsidR="00CD09F8">
        <w:rPr>
          <w:rtl/>
        </w:rPr>
        <w:t>הוקלד</w:t>
      </w:r>
      <w:r w:rsidR="00CD09F8">
        <w:t xml:space="preserve"> </w:t>
      </w:r>
      <w:r w:rsidR="00CD09F8">
        <w:rPr>
          <w:rtl/>
        </w:rPr>
        <w:t>על</w:t>
      </w:r>
      <w:r w:rsidR="00CD09F8">
        <w:t xml:space="preserve"> </w:t>
      </w:r>
      <w:r w:rsidR="00CD09F8">
        <w:rPr>
          <w:rtl/>
        </w:rPr>
        <w:t>ידי</w:t>
      </w:r>
      <w:r w:rsidR="00CD09F8">
        <w:t xml:space="preserve"> </w:t>
      </w:r>
      <w:r w:rsidR="00CD09F8">
        <w:rPr>
          <w:rtl/>
        </w:rPr>
        <w:t>תהל</w:t>
      </w:r>
      <w:r w:rsidR="00CD09F8">
        <w:t xml:space="preserve"> </w:t>
      </w:r>
      <w:r w:rsidR="00CD09F8">
        <w:rPr>
          <w:rtl/>
        </w:rPr>
        <w:t>דרעי</w:t>
      </w:r>
    </w:p>
    <w:p w14:paraId="7F1E24A9" w14:textId="77777777" w:rsidR="00B20698" w:rsidRDefault="00B20698" w:rsidP="00B20698">
      <w:pPr>
        <w:rPr>
          <w:rtl/>
        </w:rPr>
      </w:pPr>
    </w:p>
    <w:p w14:paraId="42716234" w14:textId="77777777" w:rsidR="00B20698" w:rsidRDefault="00B20698" w:rsidP="00B20698">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12D133A5" w14:textId="77777777" w:rsidR="00D20C7A" w:rsidRPr="00D20C7A" w:rsidRDefault="00D20C7A" w:rsidP="00D20C7A">
      <w:pPr>
        <w:keepNext/>
        <w:rPr>
          <w:color w:val="000000"/>
          <w:sz w:val="22"/>
          <w:szCs w:val="22"/>
          <w:rtl/>
        </w:rPr>
      </w:pPr>
    </w:p>
    <w:p w14:paraId="7EB6F0BE" w14:textId="77777777" w:rsidR="00D20C7A" w:rsidRPr="00D20C7A" w:rsidRDefault="00D20C7A" w:rsidP="00D20C7A">
      <w:pPr>
        <w:keepNext/>
        <w:rPr>
          <w:color w:val="000000"/>
          <w:sz w:val="22"/>
          <w:szCs w:val="22"/>
          <w:rtl/>
        </w:rPr>
      </w:pPr>
      <w:r w:rsidRPr="00D20C7A">
        <w:rPr>
          <w:color w:val="000000"/>
          <w:sz w:val="22"/>
          <w:szCs w:val="22"/>
          <w:rtl/>
        </w:rPr>
        <w:t>רות שפילברג כהן 54678313-/</w:t>
      </w:r>
    </w:p>
    <w:p w14:paraId="4B3EA4E1" w14:textId="77777777" w:rsidR="00B20698" w:rsidRPr="00B20698" w:rsidRDefault="00D20C7A" w:rsidP="00D20C7A">
      <w:pPr>
        <w:rPr>
          <w:color w:val="0000FF"/>
          <w:u w:val="single"/>
        </w:rPr>
      </w:pPr>
      <w:r w:rsidRPr="00D20C7A">
        <w:rPr>
          <w:color w:val="000000"/>
          <w:u w:val="single"/>
          <w:rtl/>
        </w:rPr>
        <w:t>נוסח מסמך זה כפוף לשינויי ניסוח ועריכה</w:t>
      </w:r>
    </w:p>
    <w:sectPr w:rsidR="00B20698" w:rsidRPr="00B20698" w:rsidSect="00D20C7A">
      <w:headerReference w:type="even" r:id="rId44"/>
      <w:headerReference w:type="default" r:id="rId45"/>
      <w:footerReference w:type="even" r:id="rId46"/>
      <w:footerReference w:type="default" r:id="rId4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568EE" w14:textId="77777777" w:rsidR="00E76D3C" w:rsidRDefault="00E76D3C">
      <w:r>
        <w:separator/>
      </w:r>
    </w:p>
  </w:endnote>
  <w:endnote w:type="continuationSeparator" w:id="0">
    <w:p w14:paraId="2EB02871" w14:textId="77777777" w:rsidR="00E76D3C" w:rsidRDefault="00E76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EBFCE" w14:textId="77777777" w:rsidR="00D20C7A" w:rsidRDefault="00D20C7A" w:rsidP="00D20C7A">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111CCC" w14:textId="77777777" w:rsidR="00CD09F8" w:rsidRPr="00D20C7A" w:rsidRDefault="00D20C7A" w:rsidP="00D20C7A">
    <w:pPr>
      <w:pStyle w:val="a4"/>
      <w:pBdr>
        <w:top w:val="single" w:sz="4" w:space="1" w:color="auto"/>
        <w:between w:val="single" w:sz="4" w:space="0" w:color="auto"/>
      </w:pBdr>
      <w:spacing w:after="60"/>
      <w:jc w:val="center"/>
      <w:rPr>
        <w:rFonts w:ascii="FrankRuehl" w:hAnsi="FrankRuehl" w:cs="FrankRuehl"/>
        <w:color w:val="000000"/>
      </w:rPr>
    </w:pPr>
    <w:r w:rsidRPr="00D20C7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53523" w14:textId="77777777" w:rsidR="00D20C7A" w:rsidRDefault="00D20C7A" w:rsidP="00D20C7A">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A57A83">
      <w:rPr>
        <w:rFonts w:ascii="FrankRuehl" w:hAnsi="FrankRuehl" w:cs="FrankRuehl"/>
        <w:noProof/>
        <w:rtl/>
      </w:rPr>
      <w:t>1</w:t>
    </w:r>
    <w:r>
      <w:rPr>
        <w:rFonts w:ascii="FrankRuehl" w:hAnsi="FrankRuehl" w:cs="FrankRuehl"/>
        <w:rtl/>
      </w:rPr>
      <w:fldChar w:fldCharType="end"/>
    </w:r>
  </w:p>
  <w:p w14:paraId="013480E5" w14:textId="77777777" w:rsidR="00CD09F8" w:rsidRPr="00D20C7A" w:rsidRDefault="00D20C7A" w:rsidP="00D20C7A">
    <w:pPr>
      <w:pStyle w:val="a4"/>
      <w:pBdr>
        <w:top w:val="single" w:sz="4" w:space="1" w:color="auto"/>
        <w:between w:val="single" w:sz="4" w:space="0" w:color="auto"/>
      </w:pBdr>
      <w:spacing w:after="60"/>
      <w:jc w:val="center"/>
      <w:rPr>
        <w:rFonts w:ascii="FrankRuehl" w:hAnsi="FrankRuehl" w:cs="FrankRuehl" w:hint="cs"/>
        <w:color w:val="000000"/>
        <w:rtl/>
      </w:rPr>
    </w:pPr>
    <w:r w:rsidRPr="00D20C7A">
      <w:rPr>
        <w:rFonts w:ascii="FrankRuehl" w:hAnsi="FrankRuehl" w:cs="FrankRuehl" w:hint="cs"/>
        <w:color w:val="000000"/>
      </w:rPr>
      <w:pict w14:anchorId="7DB471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4C1FA1" w14:textId="77777777" w:rsidR="00E76D3C" w:rsidRDefault="00E76D3C">
      <w:r>
        <w:separator/>
      </w:r>
    </w:p>
  </w:footnote>
  <w:footnote w:type="continuationSeparator" w:id="0">
    <w:p w14:paraId="7BAE51D9" w14:textId="77777777" w:rsidR="00E76D3C" w:rsidRDefault="00E76D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33B1D" w14:textId="77777777" w:rsidR="00B20698" w:rsidRPr="00D20C7A" w:rsidRDefault="00D20C7A" w:rsidP="00D20C7A">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(נצ') 34982-07-23</w:t>
    </w:r>
    <w:r>
      <w:rPr>
        <w:color w:val="000000"/>
        <w:sz w:val="22"/>
        <w:szCs w:val="22"/>
        <w:rtl/>
      </w:rPr>
      <w:tab/>
      <w:t xml:space="preserve"> מדינת ישראל נ' יגאל שמולביץ'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98923" w14:textId="77777777" w:rsidR="00B20698" w:rsidRPr="00D20C7A" w:rsidRDefault="00D20C7A" w:rsidP="00D20C7A">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(נצ') 34982-07-23</w:t>
    </w:r>
    <w:r>
      <w:rPr>
        <w:color w:val="000000"/>
        <w:sz w:val="22"/>
        <w:szCs w:val="22"/>
        <w:rtl/>
      </w:rPr>
      <w:tab/>
      <w:t xml:space="preserve"> מדינת ישראל נ' יגאל שמולביץ'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20A"/>
    <w:multiLevelType w:val="hybridMultilevel"/>
    <w:tmpl w:val="3C9ED8AC"/>
    <w:lvl w:ilvl="0" w:tplc="ED627AD8">
      <w:start w:val="1"/>
      <w:numFmt w:val="hebrew1"/>
      <w:lvlText w:val="%1."/>
      <w:lvlJc w:val="left"/>
      <w:pPr>
        <w:ind w:left="1440" w:hanging="645"/>
      </w:pPr>
      <w:rPr>
        <w:rFonts w:cs="David"/>
        <w:b/>
        <w:bCs w:val="0"/>
        <w:sz w:val="24"/>
        <w:szCs w:val="24"/>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3"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4" w15:restartNumberingAfterBreak="0">
    <w:nsid w:val="36E81CC0"/>
    <w:multiLevelType w:val="hybridMultilevel"/>
    <w:tmpl w:val="3A88C54E"/>
    <w:lvl w:ilvl="0" w:tplc="ED627AD8">
      <w:start w:val="1"/>
      <w:numFmt w:val="hebrew1"/>
      <w:lvlText w:val="%1."/>
      <w:lvlJc w:val="left"/>
      <w:pPr>
        <w:ind w:left="1440" w:hanging="645"/>
      </w:pPr>
      <w:rPr>
        <w:rFonts w:cs="David"/>
        <w:b/>
        <w:bCs w:val="0"/>
        <w:sz w:val="24"/>
        <w:szCs w:val="24"/>
      </w:rPr>
    </w:lvl>
    <w:lvl w:ilvl="1" w:tplc="AD88BFA8">
      <w:start w:val="1"/>
      <w:numFmt w:val="lowerLetter"/>
      <w:lvlText w:val="%2."/>
      <w:lvlJc w:val="left"/>
      <w:pPr>
        <w:ind w:left="1875" w:hanging="360"/>
      </w:pPr>
      <w:rPr>
        <w:rFonts w:cs="Times New Roman"/>
      </w:rPr>
    </w:lvl>
    <w:lvl w:ilvl="2" w:tplc="12221940">
      <w:start w:val="1"/>
      <w:numFmt w:val="lowerRoman"/>
      <w:lvlText w:val="%3."/>
      <w:lvlJc w:val="right"/>
      <w:pPr>
        <w:ind w:left="2595" w:hanging="180"/>
      </w:pPr>
      <w:rPr>
        <w:rFonts w:cs="Times New Roman"/>
      </w:rPr>
    </w:lvl>
    <w:lvl w:ilvl="3" w:tplc="F9304B50">
      <w:start w:val="1"/>
      <w:numFmt w:val="decimal"/>
      <w:lvlText w:val="%4."/>
      <w:lvlJc w:val="left"/>
      <w:pPr>
        <w:ind w:left="3315" w:hanging="360"/>
      </w:pPr>
      <w:rPr>
        <w:rFonts w:cs="Times New Roman"/>
      </w:rPr>
    </w:lvl>
    <w:lvl w:ilvl="4" w:tplc="91BC83A4">
      <w:start w:val="1"/>
      <w:numFmt w:val="lowerLetter"/>
      <w:lvlText w:val="%5."/>
      <w:lvlJc w:val="left"/>
      <w:pPr>
        <w:ind w:left="4035" w:hanging="360"/>
      </w:pPr>
      <w:rPr>
        <w:rFonts w:cs="Times New Roman"/>
      </w:rPr>
    </w:lvl>
    <w:lvl w:ilvl="5" w:tplc="C0A28948">
      <w:start w:val="1"/>
      <w:numFmt w:val="lowerRoman"/>
      <w:lvlText w:val="%6."/>
      <w:lvlJc w:val="right"/>
      <w:pPr>
        <w:ind w:left="4755" w:hanging="180"/>
      </w:pPr>
      <w:rPr>
        <w:rFonts w:cs="Times New Roman"/>
      </w:rPr>
    </w:lvl>
    <w:lvl w:ilvl="6" w:tplc="0FC66EE8">
      <w:start w:val="1"/>
      <w:numFmt w:val="decimal"/>
      <w:lvlText w:val="%7."/>
      <w:lvlJc w:val="left"/>
      <w:pPr>
        <w:ind w:left="5475" w:hanging="360"/>
      </w:pPr>
      <w:rPr>
        <w:rFonts w:cs="Times New Roman"/>
      </w:rPr>
    </w:lvl>
    <w:lvl w:ilvl="7" w:tplc="3C2243AC">
      <w:start w:val="1"/>
      <w:numFmt w:val="lowerLetter"/>
      <w:lvlText w:val="%8."/>
      <w:lvlJc w:val="left"/>
      <w:pPr>
        <w:ind w:left="6195" w:hanging="360"/>
      </w:pPr>
      <w:rPr>
        <w:rFonts w:cs="Times New Roman"/>
      </w:rPr>
    </w:lvl>
    <w:lvl w:ilvl="8" w:tplc="8822FFAA">
      <w:start w:val="1"/>
      <w:numFmt w:val="lowerRoman"/>
      <w:lvlText w:val="%9."/>
      <w:lvlJc w:val="right"/>
      <w:pPr>
        <w:ind w:left="6915" w:hanging="180"/>
      </w:pPr>
      <w:rPr>
        <w:rFonts w:cs="Times New Roman"/>
      </w:rPr>
    </w:lvl>
  </w:abstractNum>
  <w:abstractNum w:abstractNumId="5"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6"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647822AF"/>
    <w:multiLevelType w:val="hybridMultilevel"/>
    <w:tmpl w:val="8F6A3D28"/>
    <w:lvl w:ilvl="0" w:tplc="58CE5B72">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9"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788893301">
    <w:abstractNumId w:val="16"/>
  </w:num>
  <w:num w:numId="2" w16cid:durableId="1089277453">
    <w:abstractNumId w:val="7"/>
  </w:num>
  <w:num w:numId="3" w16cid:durableId="700209699">
    <w:abstractNumId w:val="14"/>
  </w:num>
  <w:num w:numId="4" w16cid:durableId="1280991832">
    <w:abstractNumId w:val="13"/>
  </w:num>
  <w:num w:numId="5" w16cid:durableId="615449715">
    <w:abstractNumId w:val="6"/>
  </w:num>
  <w:num w:numId="6" w16cid:durableId="1634601951">
    <w:abstractNumId w:val="8"/>
  </w:num>
  <w:num w:numId="7" w16cid:durableId="561672869">
    <w:abstractNumId w:val="19"/>
  </w:num>
  <w:num w:numId="8" w16cid:durableId="1636450010">
    <w:abstractNumId w:val="1"/>
  </w:num>
  <w:num w:numId="9" w16cid:durableId="1994134708">
    <w:abstractNumId w:val="12"/>
  </w:num>
  <w:num w:numId="10" w16cid:durableId="2125610044">
    <w:abstractNumId w:val="10"/>
  </w:num>
  <w:num w:numId="11" w16cid:durableId="411778059">
    <w:abstractNumId w:val="5"/>
  </w:num>
  <w:num w:numId="12" w16cid:durableId="777943071">
    <w:abstractNumId w:val="18"/>
  </w:num>
  <w:num w:numId="13" w16cid:durableId="532038007">
    <w:abstractNumId w:val="11"/>
  </w:num>
  <w:num w:numId="14" w16cid:durableId="900212985">
    <w:abstractNumId w:val="3"/>
  </w:num>
  <w:num w:numId="15" w16cid:durableId="379521500">
    <w:abstractNumId w:val="15"/>
  </w:num>
  <w:num w:numId="16" w16cid:durableId="1932200170">
    <w:abstractNumId w:val="2"/>
  </w:num>
  <w:num w:numId="17" w16cid:durableId="956255139">
    <w:abstractNumId w:val="9"/>
  </w:num>
  <w:num w:numId="18" w16cid:durableId="17257116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978806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694040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34982-07-23"/>
    <w:docVar w:name="caseId" w:val="80431536"/>
    <w:docVar w:name="deriveClass" w:val="NGCS.Protocol.BL.Client.ProtocolBLClientCriminal"/>
    <w:docVar w:name="firstPageNumber" w:val="7"/>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15298258"/>
    <w:docVar w:name="releaseSign" w:val="0"/>
    <w:docVar w:name="sittingDateTime" w:val="24/12/2024 09:00     "/>
    <w:docVar w:name="sittingId" w:val="98838189"/>
    <w:docVar w:name="sittingTypeId" w:val="2"/>
    <w:docVar w:name="WordClientAssemblyName" w:val="NGCS.Protocol.BL.Client"/>
    <w:docVar w:name="WordClientClassName" w:val="NGCS.Templates.UIP.TemplateWordClient"/>
  </w:docVars>
  <w:rsids>
    <w:rsidRoot w:val="00EB1D9D"/>
    <w:rsid w:val="0000736A"/>
    <w:rsid w:val="00014F26"/>
    <w:rsid w:val="00016C3B"/>
    <w:rsid w:val="00030486"/>
    <w:rsid w:val="000309E2"/>
    <w:rsid w:val="00032A68"/>
    <w:rsid w:val="00053909"/>
    <w:rsid w:val="000555F0"/>
    <w:rsid w:val="000608AB"/>
    <w:rsid w:val="00074BD2"/>
    <w:rsid w:val="000A4C4B"/>
    <w:rsid w:val="000C3D5F"/>
    <w:rsid w:val="000C7499"/>
    <w:rsid w:val="000E37CD"/>
    <w:rsid w:val="00100FD9"/>
    <w:rsid w:val="00105671"/>
    <w:rsid w:val="00115104"/>
    <w:rsid w:val="00125485"/>
    <w:rsid w:val="00130DA3"/>
    <w:rsid w:val="00131385"/>
    <w:rsid w:val="00137D59"/>
    <w:rsid w:val="0014434E"/>
    <w:rsid w:val="001526FC"/>
    <w:rsid w:val="0016231B"/>
    <w:rsid w:val="00163279"/>
    <w:rsid w:val="001666D0"/>
    <w:rsid w:val="001705B8"/>
    <w:rsid w:val="00174C6C"/>
    <w:rsid w:val="00180246"/>
    <w:rsid w:val="001A63A4"/>
    <w:rsid w:val="001D399C"/>
    <w:rsid w:val="001E6DFB"/>
    <w:rsid w:val="002063A6"/>
    <w:rsid w:val="00227A15"/>
    <w:rsid w:val="00237F64"/>
    <w:rsid w:val="00245547"/>
    <w:rsid w:val="002736EA"/>
    <w:rsid w:val="00296868"/>
    <w:rsid w:val="002A1C94"/>
    <w:rsid w:val="002E24EE"/>
    <w:rsid w:val="002F455E"/>
    <w:rsid w:val="002F5A82"/>
    <w:rsid w:val="00301481"/>
    <w:rsid w:val="00340759"/>
    <w:rsid w:val="0034100C"/>
    <w:rsid w:val="00342D84"/>
    <w:rsid w:val="003433C8"/>
    <w:rsid w:val="00347ACF"/>
    <w:rsid w:val="003B08F6"/>
    <w:rsid w:val="003F6EFC"/>
    <w:rsid w:val="00440118"/>
    <w:rsid w:val="00442655"/>
    <w:rsid w:val="0044376C"/>
    <w:rsid w:val="00445270"/>
    <w:rsid w:val="004473FE"/>
    <w:rsid w:val="004752AF"/>
    <w:rsid w:val="00486DEE"/>
    <w:rsid w:val="00494C2F"/>
    <w:rsid w:val="004C0CA7"/>
    <w:rsid w:val="004D4B57"/>
    <w:rsid w:val="004F4B4A"/>
    <w:rsid w:val="00503959"/>
    <w:rsid w:val="00510083"/>
    <w:rsid w:val="00532A9F"/>
    <w:rsid w:val="00541330"/>
    <w:rsid w:val="00551705"/>
    <w:rsid w:val="00560CB1"/>
    <w:rsid w:val="00564AAC"/>
    <w:rsid w:val="00577444"/>
    <w:rsid w:val="0058186B"/>
    <w:rsid w:val="005832BA"/>
    <w:rsid w:val="00594F89"/>
    <w:rsid w:val="005B395D"/>
    <w:rsid w:val="005D47FD"/>
    <w:rsid w:val="005D58A8"/>
    <w:rsid w:val="005D68B0"/>
    <w:rsid w:val="005D6FD9"/>
    <w:rsid w:val="00600219"/>
    <w:rsid w:val="00601F75"/>
    <w:rsid w:val="006110FD"/>
    <w:rsid w:val="00612093"/>
    <w:rsid w:val="0061652F"/>
    <w:rsid w:val="00620E3F"/>
    <w:rsid w:val="00623CCF"/>
    <w:rsid w:val="00631222"/>
    <w:rsid w:val="00633BA9"/>
    <w:rsid w:val="00635C8E"/>
    <w:rsid w:val="006424C7"/>
    <w:rsid w:val="006830E7"/>
    <w:rsid w:val="006A4D3D"/>
    <w:rsid w:val="006B639D"/>
    <w:rsid w:val="006C2240"/>
    <w:rsid w:val="006D72D1"/>
    <w:rsid w:val="006E3A90"/>
    <w:rsid w:val="006F0E02"/>
    <w:rsid w:val="006F0F2B"/>
    <w:rsid w:val="00700409"/>
    <w:rsid w:val="00701199"/>
    <w:rsid w:val="007378AE"/>
    <w:rsid w:val="007378FE"/>
    <w:rsid w:val="00770F7C"/>
    <w:rsid w:val="00781736"/>
    <w:rsid w:val="00791EB6"/>
    <w:rsid w:val="007B6499"/>
    <w:rsid w:val="007C0D02"/>
    <w:rsid w:val="007D4DDF"/>
    <w:rsid w:val="007D71BF"/>
    <w:rsid w:val="007E4ADE"/>
    <w:rsid w:val="007F46CA"/>
    <w:rsid w:val="007F4959"/>
    <w:rsid w:val="00807165"/>
    <w:rsid w:val="008100EF"/>
    <w:rsid w:val="0081212E"/>
    <w:rsid w:val="008138D1"/>
    <w:rsid w:val="008147C4"/>
    <w:rsid w:val="00816980"/>
    <w:rsid w:val="00833BD9"/>
    <w:rsid w:val="0083639D"/>
    <w:rsid w:val="008411C5"/>
    <w:rsid w:val="00844B17"/>
    <w:rsid w:val="0085535F"/>
    <w:rsid w:val="0087279B"/>
    <w:rsid w:val="0088033E"/>
    <w:rsid w:val="0088228B"/>
    <w:rsid w:val="0089339C"/>
    <w:rsid w:val="008B5819"/>
    <w:rsid w:val="008D15AB"/>
    <w:rsid w:val="008D7896"/>
    <w:rsid w:val="008E7204"/>
    <w:rsid w:val="00927BB3"/>
    <w:rsid w:val="00934BA1"/>
    <w:rsid w:val="0094049A"/>
    <w:rsid w:val="0094092B"/>
    <w:rsid w:val="00943E5D"/>
    <w:rsid w:val="009474AF"/>
    <w:rsid w:val="009521C7"/>
    <w:rsid w:val="00960E66"/>
    <w:rsid w:val="00966439"/>
    <w:rsid w:val="0097713F"/>
    <w:rsid w:val="0098094C"/>
    <w:rsid w:val="009857E4"/>
    <w:rsid w:val="009B24E2"/>
    <w:rsid w:val="009C08D6"/>
    <w:rsid w:val="009D7934"/>
    <w:rsid w:val="009E46EC"/>
    <w:rsid w:val="009E6E0A"/>
    <w:rsid w:val="00A04531"/>
    <w:rsid w:val="00A1573A"/>
    <w:rsid w:val="00A25356"/>
    <w:rsid w:val="00A57A83"/>
    <w:rsid w:val="00A64302"/>
    <w:rsid w:val="00A64696"/>
    <w:rsid w:val="00A67D1A"/>
    <w:rsid w:val="00A910BF"/>
    <w:rsid w:val="00A9385E"/>
    <w:rsid w:val="00AA3C0A"/>
    <w:rsid w:val="00AB1CE7"/>
    <w:rsid w:val="00AC7677"/>
    <w:rsid w:val="00AD1366"/>
    <w:rsid w:val="00B20698"/>
    <w:rsid w:val="00B24CA7"/>
    <w:rsid w:val="00B30584"/>
    <w:rsid w:val="00B44123"/>
    <w:rsid w:val="00B53B41"/>
    <w:rsid w:val="00B6568E"/>
    <w:rsid w:val="00B66459"/>
    <w:rsid w:val="00B82C03"/>
    <w:rsid w:val="00B870E1"/>
    <w:rsid w:val="00B96F12"/>
    <w:rsid w:val="00BA3141"/>
    <w:rsid w:val="00BD13A0"/>
    <w:rsid w:val="00BF00B0"/>
    <w:rsid w:val="00C4595F"/>
    <w:rsid w:val="00C471D1"/>
    <w:rsid w:val="00C50277"/>
    <w:rsid w:val="00C518EA"/>
    <w:rsid w:val="00C667A1"/>
    <w:rsid w:val="00C8613B"/>
    <w:rsid w:val="00CA022A"/>
    <w:rsid w:val="00CA26CF"/>
    <w:rsid w:val="00CB6B34"/>
    <w:rsid w:val="00CD09F8"/>
    <w:rsid w:val="00CE2307"/>
    <w:rsid w:val="00D0615F"/>
    <w:rsid w:val="00D20C7A"/>
    <w:rsid w:val="00D23D09"/>
    <w:rsid w:val="00D2736A"/>
    <w:rsid w:val="00D57D9B"/>
    <w:rsid w:val="00D86190"/>
    <w:rsid w:val="00DA7A07"/>
    <w:rsid w:val="00DB5F31"/>
    <w:rsid w:val="00DC3CD8"/>
    <w:rsid w:val="00DC4526"/>
    <w:rsid w:val="00DC7E11"/>
    <w:rsid w:val="00DD4926"/>
    <w:rsid w:val="00DF69AA"/>
    <w:rsid w:val="00E06ED4"/>
    <w:rsid w:val="00E15F20"/>
    <w:rsid w:val="00E37759"/>
    <w:rsid w:val="00E4581A"/>
    <w:rsid w:val="00E620AB"/>
    <w:rsid w:val="00E679BB"/>
    <w:rsid w:val="00E74FCF"/>
    <w:rsid w:val="00E76D3C"/>
    <w:rsid w:val="00E866B5"/>
    <w:rsid w:val="00EA333A"/>
    <w:rsid w:val="00EA6B1D"/>
    <w:rsid w:val="00EB1D9D"/>
    <w:rsid w:val="00EE410A"/>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E7A4B2"/>
  <w15:chartTrackingRefBased/>
  <w15:docId w15:val="{42DABCE2-7493-47FF-896E-EA4EF1CD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customStyle="1" w:styleId="PlaceholderText">
    <w:name w:val="Placeholder Text"/>
    <w:semiHidden/>
    <w:rsid w:val="004D4B57"/>
    <w:rPr>
      <w:color w:val="808080"/>
    </w:rPr>
  </w:style>
  <w:style w:type="paragraph" w:customStyle="1" w:styleId="12">
    <w:name w:val="רגיל + ‏12 נק'"/>
    <w:aliases w:val="מיושר לשני הצדדים,מרווח בין שורות:  שורה וחצי"/>
    <w:basedOn w:val="a"/>
    <w:rsid w:val="003433C8"/>
    <w:rPr>
      <w:rFonts w:ascii="Times New Roman" w:eastAsia="David" w:hAnsi="Times New Roman"/>
      <w:b/>
      <w:bCs/>
      <w:u w:val="single"/>
    </w:rPr>
  </w:style>
  <w:style w:type="paragraph" w:customStyle="1" w:styleId="ListParagraph">
    <w:name w:val="List Paragraph"/>
    <w:basedOn w:val="a"/>
    <w:qFormat/>
    <w:rsid w:val="00DB5F31"/>
    <w:pPr>
      <w:ind w:left="720"/>
      <w:contextualSpacing/>
    </w:pPr>
    <w:rPr>
      <w:rFonts w:ascii="Times New Roman" w:hAnsi="Times New Roman" w:cs="Times New Roman"/>
    </w:rPr>
  </w:style>
  <w:style w:type="character" w:styleId="Hyperlink">
    <w:name w:val="Hyperlink"/>
    <w:locked/>
    <w:rsid w:val="00B2069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9524912" TargetMode="External"/><Relationship Id="rId18" Type="http://schemas.openxmlformats.org/officeDocument/2006/relationships/hyperlink" Target="http://www.nevo.co.il/case/26154284" TargetMode="External"/><Relationship Id="rId26" Type="http://schemas.openxmlformats.org/officeDocument/2006/relationships/hyperlink" Target="http://www.nevo.co.il/case/27014910" TargetMode="External"/><Relationship Id="rId39" Type="http://schemas.openxmlformats.org/officeDocument/2006/relationships/hyperlink" Target="http://www.nevo.co.il/case/22531303" TargetMode="External"/><Relationship Id="rId21" Type="http://schemas.openxmlformats.org/officeDocument/2006/relationships/hyperlink" Target="http://www.nevo.co.il/case/21511777" TargetMode="External"/><Relationship Id="rId34" Type="http://schemas.openxmlformats.org/officeDocument/2006/relationships/hyperlink" Target="http://www.nevo.co.il/case/21760286" TargetMode="External"/><Relationship Id="rId42" Type="http://schemas.openxmlformats.org/officeDocument/2006/relationships/hyperlink" Target="http://www.nevo.co.il/case/5419778"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9474630" TargetMode="External"/><Relationship Id="rId29" Type="http://schemas.openxmlformats.org/officeDocument/2006/relationships/hyperlink" Target="http://www.nevo.co.il/case/26068778"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6000182" TargetMode="External"/><Relationship Id="rId32" Type="http://schemas.openxmlformats.org/officeDocument/2006/relationships/hyperlink" Target="http://www.nevo.co.il/case/29331202" TargetMode="External"/><Relationship Id="rId37" Type="http://schemas.openxmlformats.org/officeDocument/2006/relationships/hyperlink" Target="http://www.nevo.co.il/law/70301/144.b" TargetMode="External"/><Relationship Id="rId40" Type="http://schemas.openxmlformats.org/officeDocument/2006/relationships/hyperlink" Target="http://www.nevo.co.il/case/20590970"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7313459" TargetMode="External"/><Relationship Id="rId23" Type="http://schemas.openxmlformats.org/officeDocument/2006/relationships/hyperlink" Target="http://www.nevo.co.il/case/25494557" TargetMode="External"/><Relationship Id="rId28" Type="http://schemas.openxmlformats.org/officeDocument/2006/relationships/hyperlink" Target="http://www.nevo.co.il/case/27145632" TargetMode="External"/><Relationship Id="rId36" Type="http://schemas.openxmlformats.org/officeDocument/2006/relationships/hyperlink" Target="http://www.nevo.co.il/law/70301/144.a" TargetMode="External"/><Relationship Id="rId49"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case/25850524" TargetMode="External"/><Relationship Id="rId31" Type="http://schemas.openxmlformats.org/officeDocument/2006/relationships/hyperlink" Target="http://www.nevo.co.il/case/30194850"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7280733" TargetMode="External"/><Relationship Id="rId22" Type="http://schemas.openxmlformats.org/officeDocument/2006/relationships/hyperlink" Target="http://www.nevo.co.il/case/5896402" TargetMode="External"/><Relationship Id="rId27" Type="http://schemas.openxmlformats.org/officeDocument/2006/relationships/hyperlink" Target="http://www.nevo.co.il/case/27910054" TargetMode="External"/><Relationship Id="rId30" Type="http://schemas.openxmlformats.org/officeDocument/2006/relationships/hyperlink" Target="http://www.nevo.co.il/case/29994807" TargetMode="External"/><Relationship Id="rId35" Type="http://schemas.openxmlformats.org/officeDocument/2006/relationships/hyperlink" Target="http://www.nevo.co.il/case/10499511"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case/5810781" TargetMode="External"/><Relationship Id="rId17" Type="http://schemas.openxmlformats.org/officeDocument/2006/relationships/hyperlink" Target="http://www.nevo.co.il/case/28929128" TargetMode="External"/><Relationship Id="rId25" Type="http://schemas.openxmlformats.org/officeDocument/2006/relationships/hyperlink" Target="http://www.nevo.co.il/case/26103748" TargetMode="External"/><Relationship Id="rId33" Type="http://schemas.openxmlformats.org/officeDocument/2006/relationships/hyperlink" Target="http://www.nevo.co.il/case/22690203" TargetMode="External"/><Relationship Id="rId38" Type="http://schemas.openxmlformats.org/officeDocument/2006/relationships/hyperlink" Target="http://www.nevo.co.il/case/26025031" TargetMode="External"/><Relationship Id="rId46" Type="http://schemas.openxmlformats.org/officeDocument/2006/relationships/footer" Target="footer1.xml"/><Relationship Id="rId20" Type="http://schemas.openxmlformats.org/officeDocument/2006/relationships/hyperlink" Target="http://www.nevo.co.il/case/21656548" TargetMode="External"/><Relationship Id="rId41" Type="http://schemas.openxmlformats.org/officeDocument/2006/relationships/hyperlink" Target="http://www.nevo.co.il/case/25164137"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4202</Words>
  <Characters>21010</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25162</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3866750</vt:i4>
      </vt:variant>
      <vt:variant>
        <vt:i4>105</vt:i4>
      </vt:variant>
      <vt:variant>
        <vt:i4>0</vt:i4>
      </vt:variant>
      <vt:variant>
        <vt:i4>5</vt:i4>
      </vt:variant>
      <vt:variant>
        <vt:lpwstr>http://www.nevo.co.il/case/5419778</vt:lpwstr>
      </vt:variant>
      <vt:variant>
        <vt:lpwstr/>
      </vt:variant>
      <vt:variant>
        <vt:i4>3407990</vt:i4>
      </vt:variant>
      <vt:variant>
        <vt:i4>102</vt:i4>
      </vt:variant>
      <vt:variant>
        <vt:i4>0</vt:i4>
      </vt:variant>
      <vt:variant>
        <vt:i4>5</vt:i4>
      </vt:variant>
      <vt:variant>
        <vt:lpwstr>http://www.nevo.co.il/case/25164137</vt:lpwstr>
      </vt:variant>
      <vt:variant>
        <vt:lpwstr/>
      </vt:variant>
      <vt:variant>
        <vt:i4>3145844</vt:i4>
      </vt:variant>
      <vt:variant>
        <vt:i4>99</vt:i4>
      </vt:variant>
      <vt:variant>
        <vt:i4>0</vt:i4>
      </vt:variant>
      <vt:variant>
        <vt:i4>5</vt:i4>
      </vt:variant>
      <vt:variant>
        <vt:lpwstr>http://www.nevo.co.il/case/20590970</vt:lpwstr>
      </vt:variant>
      <vt:variant>
        <vt:lpwstr/>
      </vt:variant>
      <vt:variant>
        <vt:i4>3539062</vt:i4>
      </vt:variant>
      <vt:variant>
        <vt:i4>96</vt:i4>
      </vt:variant>
      <vt:variant>
        <vt:i4>0</vt:i4>
      </vt:variant>
      <vt:variant>
        <vt:i4>5</vt:i4>
      </vt:variant>
      <vt:variant>
        <vt:lpwstr>http://www.nevo.co.il/case/22531303</vt:lpwstr>
      </vt:variant>
      <vt:variant>
        <vt:lpwstr/>
      </vt:variant>
      <vt:variant>
        <vt:i4>3407984</vt:i4>
      </vt:variant>
      <vt:variant>
        <vt:i4>93</vt:i4>
      </vt:variant>
      <vt:variant>
        <vt:i4>0</vt:i4>
      </vt:variant>
      <vt:variant>
        <vt:i4>5</vt:i4>
      </vt:variant>
      <vt:variant>
        <vt:lpwstr>http://www.nevo.co.il/case/26025031</vt:lpwstr>
      </vt:variant>
      <vt:variant>
        <vt:lpwstr/>
      </vt:variant>
      <vt:variant>
        <vt:i4>5177424</vt:i4>
      </vt:variant>
      <vt:variant>
        <vt:i4>90</vt:i4>
      </vt:variant>
      <vt:variant>
        <vt:i4>0</vt:i4>
      </vt:variant>
      <vt:variant>
        <vt:i4>5</vt:i4>
      </vt:variant>
      <vt:variant>
        <vt:lpwstr>http://www.nevo.co.il/law/70301/144.b</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3997816</vt:i4>
      </vt:variant>
      <vt:variant>
        <vt:i4>84</vt:i4>
      </vt:variant>
      <vt:variant>
        <vt:i4>0</vt:i4>
      </vt:variant>
      <vt:variant>
        <vt:i4>5</vt:i4>
      </vt:variant>
      <vt:variant>
        <vt:lpwstr>http://www.nevo.co.il/case/10499511</vt:lpwstr>
      </vt:variant>
      <vt:variant>
        <vt:lpwstr/>
      </vt:variant>
      <vt:variant>
        <vt:i4>3997809</vt:i4>
      </vt:variant>
      <vt:variant>
        <vt:i4>81</vt:i4>
      </vt:variant>
      <vt:variant>
        <vt:i4>0</vt:i4>
      </vt:variant>
      <vt:variant>
        <vt:i4>5</vt:i4>
      </vt:variant>
      <vt:variant>
        <vt:lpwstr>http://www.nevo.co.il/case/21760286</vt:lpwstr>
      </vt:variant>
      <vt:variant>
        <vt:lpwstr/>
      </vt:variant>
      <vt:variant>
        <vt:i4>3407997</vt:i4>
      </vt:variant>
      <vt:variant>
        <vt:i4>78</vt:i4>
      </vt:variant>
      <vt:variant>
        <vt:i4>0</vt:i4>
      </vt:variant>
      <vt:variant>
        <vt:i4>5</vt:i4>
      </vt:variant>
      <vt:variant>
        <vt:lpwstr>http://www.nevo.co.il/case/22690203</vt:lpwstr>
      </vt:variant>
      <vt:variant>
        <vt:lpwstr/>
      </vt:variant>
      <vt:variant>
        <vt:i4>3145852</vt:i4>
      </vt:variant>
      <vt:variant>
        <vt:i4>75</vt:i4>
      </vt:variant>
      <vt:variant>
        <vt:i4>0</vt:i4>
      </vt:variant>
      <vt:variant>
        <vt:i4>5</vt:i4>
      </vt:variant>
      <vt:variant>
        <vt:lpwstr>http://www.nevo.co.il/case/29331202</vt:lpwstr>
      </vt:variant>
      <vt:variant>
        <vt:lpwstr/>
      </vt:variant>
      <vt:variant>
        <vt:i4>3342453</vt:i4>
      </vt:variant>
      <vt:variant>
        <vt:i4>72</vt:i4>
      </vt:variant>
      <vt:variant>
        <vt:i4>0</vt:i4>
      </vt:variant>
      <vt:variant>
        <vt:i4>5</vt:i4>
      </vt:variant>
      <vt:variant>
        <vt:lpwstr>http://www.nevo.co.il/case/30194850</vt:lpwstr>
      </vt:variant>
      <vt:variant>
        <vt:lpwstr/>
      </vt:variant>
      <vt:variant>
        <vt:i4>4128892</vt:i4>
      </vt:variant>
      <vt:variant>
        <vt:i4>69</vt:i4>
      </vt:variant>
      <vt:variant>
        <vt:i4>0</vt:i4>
      </vt:variant>
      <vt:variant>
        <vt:i4>5</vt:i4>
      </vt:variant>
      <vt:variant>
        <vt:lpwstr>http://www.nevo.co.il/case/29994807</vt:lpwstr>
      </vt:variant>
      <vt:variant>
        <vt:lpwstr/>
      </vt:variant>
      <vt:variant>
        <vt:i4>3997811</vt:i4>
      </vt:variant>
      <vt:variant>
        <vt:i4>66</vt:i4>
      </vt:variant>
      <vt:variant>
        <vt:i4>0</vt:i4>
      </vt:variant>
      <vt:variant>
        <vt:i4>5</vt:i4>
      </vt:variant>
      <vt:variant>
        <vt:lpwstr>http://www.nevo.co.il/case/26068778</vt:lpwstr>
      </vt:variant>
      <vt:variant>
        <vt:lpwstr/>
      </vt:variant>
      <vt:variant>
        <vt:i4>3473521</vt:i4>
      </vt:variant>
      <vt:variant>
        <vt:i4>63</vt:i4>
      </vt:variant>
      <vt:variant>
        <vt:i4>0</vt:i4>
      </vt:variant>
      <vt:variant>
        <vt:i4>5</vt:i4>
      </vt:variant>
      <vt:variant>
        <vt:lpwstr>http://www.nevo.co.il/case/27145632</vt:lpwstr>
      </vt:variant>
      <vt:variant>
        <vt:lpwstr/>
      </vt:variant>
      <vt:variant>
        <vt:i4>4063346</vt:i4>
      </vt:variant>
      <vt:variant>
        <vt:i4>60</vt:i4>
      </vt:variant>
      <vt:variant>
        <vt:i4>0</vt:i4>
      </vt:variant>
      <vt:variant>
        <vt:i4>5</vt:i4>
      </vt:variant>
      <vt:variant>
        <vt:lpwstr>http://www.nevo.co.il/case/27910054</vt:lpwstr>
      </vt:variant>
      <vt:variant>
        <vt:lpwstr/>
      </vt:variant>
      <vt:variant>
        <vt:i4>3604603</vt:i4>
      </vt:variant>
      <vt:variant>
        <vt:i4>57</vt:i4>
      </vt:variant>
      <vt:variant>
        <vt:i4>0</vt:i4>
      </vt:variant>
      <vt:variant>
        <vt:i4>5</vt:i4>
      </vt:variant>
      <vt:variant>
        <vt:lpwstr>http://www.nevo.co.il/case/27014910</vt:lpwstr>
      </vt:variant>
      <vt:variant>
        <vt:lpwstr/>
      </vt:variant>
      <vt:variant>
        <vt:i4>3407989</vt:i4>
      </vt:variant>
      <vt:variant>
        <vt:i4>54</vt:i4>
      </vt:variant>
      <vt:variant>
        <vt:i4>0</vt:i4>
      </vt:variant>
      <vt:variant>
        <vt:i4>5</vt:i4>
      </vt:variant>
      <vt:variant>
        <vt:lpwstr>http://www.nevo.co.il/case/26103748</vt:lpwstr>
      </vt:variant>
      <vt:variant>
        <vt:lpwstr/>
      </vt:variant>
      <vt:variant>
        <vt:i4>3473532</vt:i4>
      </vt:variant>
      <vt:variant>
        <vt:i4>51</vt:i4>
      </vt:variant>
      <vt:variant>
        <vt:i4>0</vt:i4>
      </vt:variant>
      <vt:variant>
        <vt:i4>5</vt:i4>
      </vt:variant>
      <vt:variant>
        <vt:lpwstr>http://www.nevo.co.il/case/6000182</vt:lpwstr>
      </vt:variant>
      <vt:variant>
        <vt:lpwstr/>
      </vt:variant>
      <vt:variant>
        <vt:i4>3604605</vt:i4>
      </vt:variant>
      <vt:variant>
        <vt:i4>48</vt:i4>
      </vt:variant>
      <vt:variant>
        <vt:i4>0</vt:i4>
      </vt:variant>
      <vt:variant>
        <vt:i4>5</vt:i4>
      </vt:variant>
      <vt:variant>
        <vt:lpwstr>http://www.nevo.co.il/case/25494557</vt:lpwstr>
      </vt:variant>
      <vt:variant>
        <vt:lpwstr/>
      </vt:variant>
      <vt:variant>
        <vt:i4>3801210</vt:i4>
      </vt:variant>
      <vt:variant>
        <vt:i4>45</vt:i4>
      </vt:variant>
      <vt:variant>
        <vt:i4>0</vt:i4>
      </vt:variant>
      <vt:variant>
        <vt:i4>5</vt:i4>
      </vt:variant>
      <vt:variant>
        <vt:lpwstr>http://www.nevo.co.il/case/5896402</vt:lpwstr>
      </vt:variant>
      <vt:variant>
        <vt:lpwstr/>
      </vt:variant>
      <vt:variant>
        <vt:i4>3211379</vt:i4>
      </vt:variant>
      <vt:variant>
        <vt:i4>42</vt:i4>
      </vt:variant>
      <vt:variant>
        <vt:i4>0</vt:i4>
      </vt:variant>
      <vt:variant>
        <vt:i4>5</vt:i4>
      </vt:variant>
      <vt:variant>
        <vt:lpwstr>http://www.nevo.co.il/case/21511777</vt:lpwstr>
      </vt:variant>
      <vt:variant>
        <vt:lpwstr/>
      </vt:variant>
      <vt:variant>
        <vt:i4>3539061</vt:i4>
      </vt:variant>
      <vt:variant>
        <vt:i4>39</vt:i4>
      </vt:variant>
      <vt:variant>
        <vt:i4>0</vt:i4>
      </vt:variant>
      <vt:variant>
        <vt:i4>5</vt:i4>
      </vt:variant>
      <vt:variant>
        <vt:lpwstr>http://www.nevo.co.il/case/21656548</vt:lpwstr>
      </vt:variant>
      <vt:variant>
        <vt:lpwstr/>
      </vt:variant>
      <vt:variant>
        <vt:i4>3670129</vt:i4>
      </vt:variant>
      <vt:variant>
        <vt:i4>36</vt:i4>
      </vt:variant>
      <vt:variant>
        <vt:i4>0</vt:i4>
      </vt:variant>
      <vt:variant>
        <vt:i4>5</vt:i4>
      </vt:variant>
      <vt:variant>
        <vt:lpwstr>http://www.nevo.co.il/case/25850524</vt:lpwstr>
      </vt:variant>
      <vt:variant>
        <vt:lpwstr/>
      </vt:variant>
      <vt:variant>
        <vt:i4>4128885</vt:i4>
      </vt:variant>
      <vt:variant>
        <vt:i4>33</vt:i4>
      </vt:variant>
      <vt:variant>
        <vt:i4>0</vt:i4>
      </vt:variant>
      <vt:variant>
        <vt:i4>5</vt:i4>
      </vt:variant>
      <vt:variant>
        <vt:lpwstr>http://www.nevo.co.il/case/26154284</vt:lpwstr>
      </vt:variant>
      <vt:variant>
        <vt:lpwstr/>
      </vt:variant>
      <vt:variant>
        <vt:i4>3145855</vt:i4>
      </vt:variant>
      <vt:variant>
        <vt:i4>30</vt:i4>
      </vt:variant>
      <vt:variant>
        <vt:i4>0</vt:i4>
      </vt:variant>
      <vt:variant>
        <vt:i4>5</vt:i4>
      </vt:variant>
      <vt:variant>
        <vt:lpwstr>http://www.nevo.co.il/case/28929128</vt:lpwstr>
      </vt:variant>
      <vt:variant>
        <vt:lpwstr/>
      </vt:variant>
      <vt:variant>
        <vt:i4>3211388</vt:i4>
      </vt:variant>
      <vt:variant>
        <vt:i4>27</vt:i4>
      </vt:variant>
      <vt:variant>
        <vt:i4>0</vt:i4>
      </vt:variant>
      <vt:variant>
        <vt:i4>5</vt:i4>
      </vt:variant>
      <vt:variant>
        <vt:lpwstr>http://www.nevo.co.il/case/29474630</vt:lpwstr>
      </vt:variant>
      <vt:variant>
        <vt:lpwstr/>
      </vt:variant>
      <vt:variant>
        <vt:i4>3604598</vt:i4>
      </vt:variant>
      <vt:variant>
        <vt:i4>24</vt:i4>
      </vt:variant>
      <vt:variant>
        <vt:i4>0</vt:i4>
      </vt:variant>
      <vt:variant>
        <vt:i4>5</vt:i4>
      </vt:variant>
      <vt:variant>
        <vt:lpwstr>http://www.nevo.co.il/case/27313459</vt:lpwstr>
      </vt:variant>
      <vt:variant>
        <vt:lpwstr/>
      </vt:variant>
      <vt:variant>
        <vt:i4>3342460</vt:i4>
      </vt:variant>
      <vt:variant>
        <vt:i4>21</vt:i4>
      </vt:variant>
      <vt:variant>
        <vt:i4>0</vt:i4>
      </vt:variant>
      <vt:variant>
        <vt:i4>5</vt:i4>
      </vt:variant>
      <vt:variant>
        <vt:lpwstr>http://www.nevo.co.il/case/27280733</vt:lpwstr>
      </vt:variant>
      <vt:variant>
        <vt:lpwstr/>
      </vt:variant>
      <vt:variant>
        <vt:i4>3276918</vt:i4>
      </vt:variant>
      <vt:variant>
        <vt:i4>18</vt:i4>
      </vt:variant>
      <vt:variant>
        <vt:i4>0</vt:i4>
      </vt:variant>
      <vt:variant>
        <vt:i4>5</vt:i4>
      </vt:variant>
      <vt:variant>
        <vt:lpwstr>http://www.nevo.co.il/case/29524912</vt:lpwstr>
      </vt:variant>
      <vt:variant>
        <vt:lpwstr/>
      </vt:variant>
      <vt:variant>
        <vt:i4>3276916</vt:i4>
      </vt:variant>
      <vt:variant>
        <vt:i4>15</vt:i4>
      </vt:variant>
      <vt:variant>
        <vt:i4>0</vt:i4>
      </vt:variant>
      <vt:variant>
        <vt:i4>5</vt:i4>
      </vt:variant>
      <vt:variant>
        <vt:lpwstr>http://www.nevo.co.il/case/5810781</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2024-12-24T06:53:00Z</cp:lastPrinted>
  <dcterms:created xsi:type="dcterms:W3CDTF">2025-04-25T11:08:00Z</dcterms:created>
  <dcterms:modified xsi:type="dcterms:W3CDTF">2025-04-25T11:08:00Z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34982</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יגאל שמולביץ'</vt:lpwstr>
  </property>
  <property fmtid="{D5CDD505-2E9C-101B-9397-08002B2CF9AE}" pid="10" name="LAWYER">
    <vt:lpwstr>אבי מוסקוביץ';אתגר קקון</vt:lpwstr>
  </property>
  <property fmtid="{D5CDD505-2E9C-101B-9397-08002B2CF9AE}" pid="11" name="JUDGE">
    <vt:lpwstr>רות שפילברג כהן</vt:lpwstr>
  </property>
  <property fmtid="{D5CDD505-2E9C-101B-9397-08002B2CF9AE}" pid="12" name="CITY">
    <vt:lpwstr>נצ'</vt:lpwstr>
  </property>
  <property fmtid="{D5CDD505-2E9C-101B-9397-08002B2CF9AE}" pid="13" name="DATE">
    <vt:lpwstr>20241224</vt:lpwstr>
  </property>
  <property fmtid="{D5CDD505-2E9C-101B-9397-08002B2CF9AE}" pid="14" name="TYPE_N_DATE">
    <vt:lpwstr>38020241224</vt:lpwstr>
  </property>
  <property fmtid="{D5CDD505-2E9C-101B-9397-08002B2CF9AE}" pid="15" name="CASESLISTTMP1">
    <vt:lpwstr>5810781;29524912;27280733;27313459;29474630;28929128;26154284;25850524;21656548;21511777;5896402;25494557;6000182;26103748;27014910;27910054;27145632;26068778;29994807;30194850;29331202;22690203;21760286;10499511;26025031;22531303;20590970;25164137</vt:lpwstr>
  </property>
  <property fmtid="{D5CDD505-2E9C-101B-9397-08002B2CF9AE}" pid="16" name="CASESLISTTMP2">
    <vt:lpwstr>5419778</vt:lpwstr>
  </property>
  <property fmtid="{D5CDD505-2E9C-101B-9397-08002B2CF9AE}" pid="17" name="CASENOTES1">
    <vt:lpwstr>ProcID=213&amp;PartA=18&amp;PartC=17</vt:lpwstr>
  </property>
  <property fmtid="{D5CDD505-2E9C-101B-9397-08002B2CF9AE}" pid="18" name="ISABSTRACT">
    <vt:lpwstr>Y</vt:lpwstr>
  </property>
  <property fmtid="{D5CDD505-2E9C-101B-9397-08002B2CF9AE}" pid="19" name="WORDNUMPAGES">
    <vt:lpwstr>13</vt:lpwstr>
  </property>
  <property fmtid="{D5CDD505-2E9C-101B-9397-08002B2CF9AE}" pid="20" name="TYPE_ABS_DATE">
    <vt:lpwstr>380020241224</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70301/144.a:2;144.b</vt:lpwstr>
  </property>
</Properties>
</file>