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122049" w:rsidRPr="00122049" w14:paraId="5D2C104E" w14:textId="77777777" w:rsidTr="006C330D">
        <w:trPr>
          <w:trHeight w:hRule="exact" w:val="418"/>
          <w:jc w:val="center"/>
        </w:trPr>
        <w:tc>
          <w:tcPr>
            <w:tcW w:w="8721" w:type="dxa"/>
            <w:gridSpan w:val="2"/>
          </w:tcPr>
          <w:p w14:paraId="6C92F774" w14:textId="77777777" w:rsidR="00122049" w:rsidRPr="00122049" w:rsidRDefault="00122049" w:rsidP="00795ABA">
            <w:pPr>
              <w:pStyle w:val="a4"/>
              <w:jc w:val="center"/>
              <w:rPr>
                <w:rFonts w:ascii="Tahoma" w:hAnsi="Tahoma" w:cs="Tahoma"/>
                <w:color w:val="000080"/>
                <w:rtl/>
              </w:rPr>
            </w:pPr>
            <w:bookmarkStart w:id="0" w:name="LastJudge"/>
            <w:r w:rsidRPr="00122049">
              <w:rPr>
                <w:rFonts w:ascii="Tahoma" w:hAnsi="Tahoma" w:cs="Tahoma"/>
                <w:b/>
                <w:bCs/>
                <w:color w:val="000080"/>
                <w:rtl/>
              </w:rPr>
              <w:t>בית משפט השלום בתל אביב -יפו</w:t>
            </w:r>
          </w:p>
        </w:tc>
      </w:tr>
      <w:tr w:rsidR="00122049" w:rsidRPr="00122049" w14:paraId="0A20998B" w14:textId="77777777" w:rsidTr="006C330D">
        <w:trPr>
          <w:trHeight w:val="337"/>
          <w:jc w:val="center"/>
        </w:trPr>
        <w:tc>
          <w:tcPr>
            <w:tcW w:w="5062" w:type="dxa"/>
          </w:tcPr>
          <w:p w14:paraId="7E7A6137" w14:textId="77777777" w:rsidR="00122049" w:rsidRPr="00122049" w:rsidRDefault="00122049" w:rsidP="00795ABA">
            <w:pPr>
              <w:rPr>
                <w:rFonts w:cs="FrankRuehl"/>
                <w:sz w:val="28"/>
                <w:szCs w:val="28"/>
                <w:rtl/>
              </w:rPr>
            </w:pPr>
            <w:r w:rsidRPr="00122049">
              <w:rPr>
                <w:rFonts w:cs="FrankRuehl"/>
                <w:sz w:val="28"/>
                <w:szCs w:val="28"/>
                <w:rtl/>
              </w:rPr>
              <w:t>ת"פ 66127-07-23 מדינת ישראל נ' נטרושוילי(עציר)</w:t>
            </w:r>
          </w:p>
          <w:p w14:paraId="37F075DD" w14:textId="77777777" w:rsidR="00122049" w:rsidRPr="00122049" w:rsidRDefault="00122049" w:rsidP="00795ABA">
            <w:pPr>
              <w:pStyle w:val="a4"/>
              <w:rPr>
                <w:rFonts w:cs="FrankRuehl"/>
                <w:sz w:val="28"/>
                <w:szCs w:val="28"/>
                <w:rtl/>
              </w:rPr>
            </w:pPr>
          </w:p>
        </w:tc>
        <w:tc>
          <w:tcPr>
            <w:tcW w:w="3659" w:type="dxa"/>
          </w:tcPr>
          <w:p w14:paraId="1EE674EE" w14:textId="77777777" w:rsidR="00122049" w:rsidRPr="00122049" w:rsidRDefault="00122049" w:rsidP="00795ABA">
            <w:pPr>
              <w:pStyle w:val="a4"/>
              <w:jc w:val="right"/>
              <w:rPr>
                <w:rFonts w:cs="FrankRuehl"/>
                <w:sz w:val="28"/>
                <w:szCs w:val="28"/>
                <w:rtl/>
              </w:rPr>
            </w:pPr>
          </w:p>
        </w:tc>
      </w:tr>
    </w:tbl>
    <w:p w14:paraId="1FAF1D20" w14:textId="77777777" w:rsidR="00122049" w:rsidRPr="00122049" w:rsidRDefault="00122049" w:rsidP="00122049">
      <w:pPr>
        <w:pStyle w:val="a4"/>
        <w:rPr>
          <w:rtl/>
        </w:rPr>
      </w:pPr>
      <w:r w:rsidRPr="00122049">
        <w:rPr>
          <w:rtl/>
        </w:rPr>
        <w:t xml:space="preserve"> </w:t>
      </w:r>
    </w:p>
    <w:p w14:paraId="1BFD0DDF" w14:textId="77777777" w:rsidR="008B6E77" w:rsidRPr="00122049" w:rsidRDefault="008B6E7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B6E77" w:rsidRPr="00122049" w14:paraId="7AFDACDE" w14:textId="77777777" w:rsidTr="00F47B6B">
        <w:trPr>
          <w:trHeight w:val="295"/>
          <w:jc w:val="center"/>
        </w:trPr>
        <w:tc>
          <w:tcPr>
            <w:tcW w:w="923" w:type="dxa"/>
            <w:tcBorders>
              <w:top w:val="nil"/>
              <w:left w:val="nil"/>
              <w:bottom w:val="nil"/>
              <w:right w:val="nil"/>
            </w:tcBorders>
          </w:tcPr>
          <w:p w14:paraId="5609F528" w14:textId="77777777" w:rsidR="008B6E77" w:rsidRPr="00122049" w:rsidRDefault="008B6E77" w:rsidP="00F47B6B">
            <w:pPr>
              <w:jc w:val="both"/>
              <w:rPr>
                <w:rFonts w:ascii="David" w:hAnsi="David"/>
                <w:sz w:val="26"/>
                <w:szCs w:val="26"/>
              </w:rPr>
            </w:pPr>
            <w:r w:rsidRPr="00122049">
              <w:rPr>
                <w:rFonts w:ascii="David" w:hAnsi="David"/>
                <w:sz w:val="26"/>
                <w:szCs w:val="26"/>
                <w:rtl/>
              </w:rPr>
              <w:t xml:space="preserve">בפני </w:t>
            </w:r>
          </w:p>
        </w:tc>
        <w:tc>
          <w:tcPr>
            <w:tcW w:w="7897" w:type="dxa"/>
            <w:gridSpan w:val="2"/>
            <w:tcBorders>
              <w:top w:val="nil"/>
              <w:left w:val="nil"/>
              <w:bottom w:val="nil"/>
              <w:right w:val="nil"/>
            </w:tcBorders>
          </w:tcPr>
          <w:p w14:paraId="570EF4DE" w14:textId="77777777" w:rsidR="008B6E77" w:rsidRPr="00122049" w:rsidRDefault="008B6E77">
            <w:pPr>
              <w:rPr>
                <w:rFonts w:ascii="David" w:hAnsi="David"/>
                <w:b/>
                <w:bCs/>
                <w:sz w:val="26"/>
                <w:szCs w:val="26"/>
                <w:rtl/>
              </w:rPr>
            </w:pPr>
            <w:r w:rsidRPr="00122049">
              <w:rPr>
                <w:rFonts w:ascii="David" w:hAnsi="David"/>
                <w:b/>
                <w:bCs/>
                <w:sz w:val="26"/>
                <w:szCs w:val="26"/>
                <w:rtl/>
              </w:rPr>
              <w:t>כבוד השופטת  ענת יהב</w:t>
            </w:r>
          </w:p>
          <w:p w14:paraId="73D4D3B8" w14:textId="77777777" w:rsidR="008B6E77" w:rsidRPr="00122049" w:rsidRDefault="008B6E77">
            <w:pPr>
              <w:rPr>
                <w:rFonts w:ascii="David" w:hAnsi="David"/>
                <w:sz w:val="26"/>
                <w:szCs w:val="26"/>
                <w:rtl/>
              </w:rPr>
            </w:pPr>
          </w:p>
          <w:p w14:paraId="46CB2956" w14:textId="77777777" w:rsidR="008B6E77" w:rsidRPr="00122049" w:rsidRDefault="008B6E77" w:rsidP="00F47B6B">
            <w:pPr>
              <w:jc w:val="both"/>
              <w:rPr>
                <w:rFonts w:ascii="David" w:hAnsi="David"/>
                <w:sz w:val="26"/>
                <w:szCs w:val="26"/>
              </w:rPr>
            </w:pPr>
          </w:p>
        </w:tc>
      </w:tr>
      <w:tr w:rsidR="008B6E77" w:rsidRPr="00122049" w14:paraId="6D84761B" w14:textId="77777777" w:rsidTr="00F47B6B">
        <w:trPr>
          <w:trHeight w:val="355"/>
          <w:jc w:val="center"/>
        </w:trPr>
        <w:tc>
          <w:tcPr>
            <w:tcW w:w="923" w:type="dxa"/>
            <w:tcBorders>
              <w:top w:val="nil"/>
              <w:left w:val="nil"/>
              <w:bottom w:val="nil"/>
              <w:right w:val="nil"/>
            </w:tcBorders>
          </w:tcPr>
          <w:p w14:paraId="70DDBEAD" w14:textId="77777777" w:rsidR="008B6E77" w:rsidRPr="00122049" w:rsidRDefault="008B6E77" w:rsidP="00F47B6B">
            <w:pPr>
              <w:jc w:val="both"/>
              <w:rPr>
                <w:rFonts w:ascii="David" w:hAnsi="David"/>
                <w:sz w:val="26"/>
                <w:szCs w:val="26"/>
              </w:rPr>
            </w:pPr>
            <w:bookmarkStart w:id="1" w:name="FirstAppellant"/>
            <w:r w:rsidRPr="00122049">
              <w:rPr>
                <w:rFonts w:ascii="David" w:hAnsi="David"/>
                <w:sz w:val="26"/>
                <w:szCs w:val="26"/>
                <w:rtl/>
              </w:rPr>
              <w:t>בעניין:</w:t>
            </w:r>
          </w:p>
        </w:tc>
        <w:tc>
          <w:tcPr>
            <w:tcW w:w="3219" w:type="dxa"/>
            <w:tcBorders>
              <w:top w:val="nil"/>
              <w:left w:val="nil"/>
              <w:bottom w:val="nil"/>
              <w:right w:val="nil"/>
            </w:tcBorders>
          </w:tcPr>
          <w:p w14:paraId="05E8E0C5" w14:textId="77777777" w:rsidR="008B6E77" w:rsidRPr="00122049" w:rsidRDefault="008B6E77" w:rsidP="00F47B6B">
            <w:pPr>
              <w:suppressLineNumbers/>
            </w:pPr>
            <w:r w:rsidRPr="00122049">
              <w:rPr>
                <w:rFonts w:ascii="Arial" w:hAnsi="Arial"/>
                <w:b/>
                <w:bCs/>
                <w:sz w:val="26"/>
                <w:szCs w:val="26"/>
                <w:rtl/>
              </w:rPr>
              <w:t>המאשימה:</w:t>
            </w:r>
          </w:p>
          <w:p w14:paraId="5203AB06" w14:textId="77777777" w:rsidR="008B6E77" w:rsidRPr="00122049" w:rsidRDefault="008B6E77" w:rsidP="003E0C9F">
            <w:pPr>
              <w:rPr>
                <w:rFonts w:ascii="David" w:hAnsi="David"/>
                <w:sz w:val="26"/>
                <w:szCs w:val="26"/>
              </w:rPr>
            </w:pPr>
          </w:p>
        </w:tc>
        <w:tc>
          <w:tcPr>
            <w:tcW w:w="4678" w:type="dxa"/>
            <w:tcBorders>
              <w:top w:val="nil"/>
              <w:left w:val="nil"/>
              <w:bottom w:val="nil"/>
              <w:right w:val="nil"/>
            </w:tcBorders>
            <w:vAlign w:val="center"/>
          </w:tcPr>
          <w:p w14:paraId="71C4EDA1" w14:textId="77777777" w:rsidR="008B6E77" w:rsidRPr="00122049" w:rsidRDefault="008B6E77" w:rsidP="00F47B6B">
            <w:pPr>
              <w:suppressLineNumbers/>
              <w:rPr>
                <w:rFonts w:ascii="Arial" w:hAnsi="Arial"/>
                <w:b/>
                <w:bCs/>
                <w:sz w:val="26"/>
                <w:szCs w:val="26"/>
                <w:rtl/>
              </w:rPr>
            </w:pPr>
            <w:r w:rsidRPr="00122049">
              <w:rPr>
                <w:rFonts w:ascii="Arial" w:hAnsi="Arial"/>
                <w:b/>
                <w:bCs/>
                <w:sz w:val="26"/>
                <w:szCs w:val="26"/>
                <w:rtl/>
              </w:rPr>
              <w:t xml:space="preserve">מדינת ישראל </w:t>
            </w:r>
          </w:p>
          <w:p w14:paraId="2ADD1B45" w14:textId="77777777" w:rsidR="008B6E77" w:rsidRPr="00122049" w:rsidRDefault="008B6E77" w:rsidP="00F47B6B">
            <w:pPr>
              <w:suppressLineNumbers/>
            </w:pPr>
            <w:r w:rsidRPr="00122049">
              <w:rPr>
                <w:rFonts w:ascii="Arial" w:hAnsi="Arial"/>
                <w:rtl/>
              </w:rPr>
              <w:t>ע"י מתמחה רוני גת.</w:t>
            </w:r>
          </w:p>
          <w:p w14:paraId="7F6C018D" w14:textId="77777777" w:rsidR="008B6E77" w:rsidRPr="00122049" w:rsidRDefault="008B6E77" w:rsidP="000F2247">
            <w:pPr>
              <w:rPr>
                <w:rFonts w:ascii="David" w:hAnsi="David"/>
                <w:sz w:val="26"/>
                <w:szCs w:val="26"/>
              </w:rPr>
            </w:pPr>
          </w:p>
        </w:tc>
      </w:tr>
      <w:bookmarkEnd w:id="1"/>
      <w:tr w:rsidR="008B6E77" w:rsidRPr="00122049" w14:paraId="47E85981" w14:textId="77777777" w:rsidTr="00F47B6B">
        <w:trPr>
          <w:trHeight w:val="355"/>
          <w:jc w:val="center"/>
        </w:trPr>
        <w:tc>
          <w:tcPr>
            <w:tcW w:w="923" w:type="dxa"/>
            <w:tcBorders>
              <w:top w:val="nil"/>
              <w:left w:val="nil"/>
              <w:bottom w:val="nil"/>
              <w:right w:val="nil"/>
            </w:tcBorders>
          </w:tcPr>
          <w:p w14:paraId="0DB3DBA1" w14:textId="77777777" w:rsidR="008B6E77" w:rsidRPr="00122049" w:rsidRDefault="008B6E77" w:rsidP="00F47B6B">
            <w:pPr>
              <w:jc w:val="both"/>
              <w:rPr>
                <w:rFonts w:ascii="David" w:hAnsi="David"/>
                <w:sz w:val="26"/>
                <w:szCs w:val="26"/>
                <w:rtl/>
              </w:rPr>
            </w:pPr>
          </w:p>
        </w:tc>
        <w:tc>
          <w:tcPr>
            <w:tcW w:w="7897" w:type="dxa"/>
            <w:gridSpan w:val="2"/>
            <w:tcBorders>
              <w:top w:val="nil"/>
              <w:left w:val="nil"/>
              <w:bottom w:val="nil"/>
              <w:right w:val="nil"/>
            </w:tcBorders>
          </w:tcPr>
          <w:p w14:paraId="47FD5FAB" w14:textId="77777777" w:rsidR="008B6E77" w:rsidRPr="00122049" w:rsidRDefault="008B6E77" w:rsidP="00F47B6B">
            <w:pPr>
              <w:jc w:val="center"/>
              <w:rPr>
                <w:rFonts w:ascii="David" w:hAnsi="David"/>
                <w:b/>
                <w:bCs/>
                <w:sz w:val="26"/>
                <w:szCs w:val="26"/>
                <w:rtl/>
              </w:rPr>
            </w:pPr>
          </w:p>
          <w:p w14:paraId="5E4BF517" w14:textId="77777777" w:rsidR="008B6E77" w:rsidRPr="00122049" w:rsidRDefault="008B6E77" w:rsidP="00F47B6B">
            <w:pPr>
              <w:jc w:val="center"/>
              <w:rPr>
                <w:rFonts w:ascii="David" w:hAnsi="David"/>
                <w:b/>
                <w:bCs/>
                <w:sz w:val="26"/>
                <w:szCs w:val="26"/>
                <w:rtl/>
              </w:rPr>
            </w:pPr>
            <w:r w:rsidRPr="00122049">
              <w:rPr>
                <w:rFonts w:ascii="David" w:hAnsi="David"/>
                <w:b/>
                <w:bCs/>
                <w:sz w:val="26"/>
                <w:szCs w:val="26"/>
                <w:rtl/>
              </w:rPr>
              <w:t>נגד</w:t>
            </w:r>
          </w:p>
          <w:p w14:paraId="2306689F" w14:textId="77777777" w:rsidR="008B6E77" w:rsidRPr="00122049" w:rsidRDefault="008B6E77" w:rsidP="00F47B6B">
            <w:pPr>
              <w:jc w:val="both"/>
              <w:rPr>
                <w:rFonts w:ascii="David" w:hAnsi="David"/>
                <w:sz w:val="26"/>
                <w:szCs w:val="26"/>
              </w:rPr>
            </w:pPr>
          </w:p>
        </w:tc>
      </w:tr>
      <w:tr w:rsidR="008B6E77" w:rsidRPr="00122049" w14:paraId="16B02A5E" w14:textId="77777777" w:rsidTr="00F47B6B">
        <w:trPr>
          <w:trHeight w:val="355"/>
          <w:jc w:val="center"/>
        </w:trPr>
        <w:tc>
          <w:tcPr>
            <w:tcW w:w="923" w:type="dxa"/>
            <w:tcBorders>
              <w:top w:val="nil"/>
              <w:left w:val="nil"/>
              <w:bottom w:val="nil"/>
              <w:right w:val="nil"/>
            </w:tcBorders>
          </w:tcPr>
          <w:p w14:paraId="37BE771D" w14:textId="77777777" w:rsidR="008B6E77" w:rsidRPr="00122049" w:rsidRDefault="008B6E77" w:rsidP="003E0C9F">
            <w:pPr>
              <w:rPr>
                <w:rFonts w:ascii="David" w:hAnsi="David"/>
                <w:sz w:val="26"/>
                <w:szCs w:val="26"/>
                <w:rtl/>
              </w:rPr>
            </w:pPr>
            <w:bookmarkStart w:id="2" w:name="FirstLawyer"/>
          </w:p>
        </w:tc>
        <w:tc>
          <w:tcPr>
            <w:tcW w:w="3219" w:type="dxa"/>
            <w:tcBorders>
              <w:top w:val="nil"/>
              <w:left w:val="nil"/>
              <w:bottom w:val="nil"/>
              <w:right w:val="nil"/>
            </w:tcBorders>
          </w:tcPr>
          <w:p w14:paraId="20EC77CB" w14:textId="77777777" w:rsidR="008B6E77" w:rsidRPr="00122049" w:rsidRDefault="008B6E77" w:rsidP="003E0C9F">
            <w:pPr>
              <w:rPr>
                <w:rFonts w:ascii="Arial" w:hAnsi="Arial"/>
                <w:b/>
                <w:bCs/>
                <w:sz w:val="26"/>
                <w:szCs w:val="26"/>
                <w:rtl/>
              </w:rPr>
            </w:pPr>
            <w:r w:rsidRPr="00122049">
              <w:rPr>
                <w:rFonts w:ascii="Arial" w:hAnsi="Arial"/>
                <w:b/>
                <w:bCs/>
                <w:sz w:val="26"/>
                <w:szCs w:val="26"/>
                <w:rtl/>
              </w:rPr>
              <w:t>הנאשם:</w:t>
            </w:r>
          </w:p>
        </w:tc>
        <w:tc>
          <w:tcPr>
            <w:tcW w:w="4678" w:type="dxa"/>
            <w:tcBorders>
              <w:top w:val="nil"/>
              <w:left w:val="nil"/>
              <w:bottom w:val="nil"/>
              <w:right w:val="nil"/>
            </w:tcBorders>
            <w:vAlign w:val="center"/>
          </w:tcPr>
          <w:p w14:paraId="2ABC5B92" w14:textId="77777777" w:rsidR="008B6E77" w:rsidRPr="00122049" w:rsidRDefault="008B6E77" w:rsidP="00F47B6B">
            <w:pPr>
              <w:suppressLineNumbers/>
              <w:rPr>
                <w:rFonts w:ascii="Arial" w:hAnsi="Arial"/>
                <w:b/>
                <w:bCs/>
                <w:sz w:val="26"/>
                <w:szCs w:val="26"/>
                <w:rtl/>
              </w:rPr>
            </w:pPr>
            <w:r w:rsidRPr="00122049">
              <w:rPr>
                <w:rFonts w:ascii="Arial" w:hAnsi="Arial"/>
                <w:b/>
                <w:bCs/>
                <w:sz w:val="26"/>
                <w:szCs w:val="26"/>
                <w:rtl/>
              </w:rPr>
              <w:t xml:space="preserve">זאור נטרושוילי (עציר) </w:t>
            </w:r>
          </w:p>
          <w:p w14:paraId="1711CC0E" w14:textId="77777777" w:rsidR="008B6E77" w:rsidRPr="00122049" w:rsidRDefault="008B6E77" w:rsidP="00F47B6B">
            <w:pPr>
              <w:suppressLineNumbers/>
              <w:rPr>
                <w:rtl/>
              </w:rPr>
            </w:pPr>
            <w:r w:rsidRPr="00122049">
              <w:rPr>
                <w:rFonts w:ascii="Arial" w:hAnsi="Arial"/>
                <w:rtl/>
              </w:rPr>
              <w:t>ע"י ב"כ עוה"ד</w:t>
            </w:r>
            <w:r w:rsidRPr="00122049">
              <w:rPr>
                <w:rtl/>
              </w:rPr>
              <w:t xml:space="preserve"> שמשון וייס</w:t>
            </w:r>
          </w:p>
          <w:p w14:paraId="20CDEAA9" w14:textId="77777777" w:rsidR="008B6E77" w:rsidRPr="00122049" w:rsidRDefault="008B6E77" w:rsidP="000F2247">
            <w:pPr>
              <w:rPr>
                <w:rFonts w:ascii="David" w:hAnsi="David"/>
                <w:sz w:val="26"/>
                <w:szCs w:val="26"/>
              </w:rPr>
            </w:pPr>
          </w:p>
        </w:tc>
      </w:tr>
      <w:bookmarkEnd w:id="2"/>
      <w:tr w:rsidR="008B6E77" w:rsidRPr="00122049" w14:paraId="7FD553B2" w14:textId="77777777" w:rsidTr="00F47B6B">
        <w:trPr>
          <w:trHeight w:val="355"/>
          <w:jc w:val="center"/>
        </w:trPr>
        <w:tc>
          <w:tcPr>
            <w:tcW w:w="923" w:type="dxa"/>
            <w:tcBorders>
              <w:top w:val="nil"/>
              <w:left w:val="nil"/>
              <w:bottom w:val="nil"/>
              <w:right w:val="nil"/>
            </w:tcBorders>
          </w:tcPr>
          <w:p w14:paraId="7F560ADF" w14:textId="77777777" w:rsidR="008B6E77" w:rsidRPr="00122049" w:rsidRDefault="008B6E77" w:rsidP="00F47B6B">
            <w:pPr>
              <w:jc w:val="both"/>
              <w:rPr>
                <w:rFonts w:ascii="David" w:hAnsi="David"/>
                <w:sz w:val="26"/>
                <w:szCs w:val="26"/>
                <w:rtl/>
              </w:rPr>
            </w:pPr>
          </w:p>
        </w:tc>
        <w:tc>
          <w:tcPr>
            <w:tcW w:w="3219" w:type="dxa"/>
            <w:tcBorders>
              <w:top w:val="nil"/>
              <w:left w:val="nil"/>
              <w:bottom w:val="nil"/>
              <w:right w:val="nil"/>
            </w:tcBorders>
          </w:tcPr>
          <w:p w14:paraId="22EC0C18" w14:textId="77777777" w:rsidR="008B6E77" w:rsidRPr="00122049" w:rsidRDefault="008B6E77" w:rsidP="00F47B6B">
            <w:pPr>
              <w:jc w:val="both"/>
              <w:rPr>
                <w:rFonts w:ascii="David" w:hAnsi="David"/>
                <w:sz w:val="26"/>
                <w:szCs w:val="26"/>
                <w:rtl/>
              </w:rPr>
            </w:pPr>
          </w:p>
        </w:tc>
        <w:tc>
          <w:tcPr>
            <w:tcW w:w="4678" w:type="dxa"/>
            <w:tcBorders>
              <w:top w:val="nil"/>
              <w:left w:val="nil"/>
              <w:bottom w:val="nil"/>
              <w:right w:val="nil"/>
            </w:tcBorders>
          </w:tcPr>
          <w:p w14:paraId="5498AA97" w14:textId="77777777" w:rsidR="008B6E77" w:rsidRPr="00122049" w:rsidRDefault="008B6E77" w:rsidP="00F47B6B">
            <w:pPr>
              <w:jc w:val="right"/>
              <w:rPr>
                <w:rFonts w:ascii="David" w:hAnsi="David"/>
                <w:sz w:val="26"/>
                <w:szCs w:val="26"/>
              </w:rPr>
            </w:pPr>
          </w:p>
        </w:tc>
      </w:tr>
    </w:tbl>
    <w:p w14:paraId="35F8C2A2" w14:textId="77777777" w:rsidR="008B6E77" w:rsidRPr="00122049" w:rsidRDefault="008B6E77">
      <w:pPr>
        <w:rPr>
          <w:rFonts w:hint="cs"/>
          <w:sz w:val="26"/>
          <w:szCs w:val="26"/>
          <w:rtl/>
        </w:rPr>
      </w:pPr>
    </w:p>
    <w:p w14:paraId="234F9B24" w14:textId="77777777" w:rsidR="00122049" w:rsidRPr="00122049" w:rsidRDefault="00122049" w:rsidP="00122049">
      <w:pPr>
        <w:spacing w:before="120" w:after="120" w:line="240" w:lineRule="exact"/>
        <w:ind w:left="283" w:hanging="283"/>
        <w:jc w:val="both"/>
        <w:rPr>
          <w:rFonts w:ascii="FrankRuehl" w:hAnsi="FrankRuehl" w:cs="FrankRuehl"/>
          <w:rtl/>
        </w:rPr>
      </w:pPr>
    </w:p>
    <w:p w14:paraId="3FFF8932" w14:textId="77777777" w:rsidR="00122049" w:rsidRPr="00122049" w:rsidRDefault="00122049" w:rsidP="00122049">
      <w:pPr>
        <w:rPr>
          <w:rFonts w:hint="cs"/>
          <w:sz w:val="26"/>
          <w:szCs w:val="26"/>
          <w:rtl/>
        </w:rPr>
      </w:pPr>
    </w:p>
    <w:p w14:paraId="493F2A31" w14:textId="77777777" w:rsidR="006C330D" w:rsidRPr="006C330D" w:rsidRDefault="006C330D" w:rsidP="006C330D">
      <w:pPr>
        <w:spacing w:before="120" w:after="120" w:line="240" w:lineRule="exact"/>
        <w:ind w:left="283" w:hanging="283"/>
        <w:jc w:val="both"/>
        <w:rPr>
          <w:rFonts w:ascii="FrankRuehl" w:hAnsi="FrankRuehl" w:cs="FrankRuehl"/>
          <w:rtl/>
        </w:rPr>
      </w:pPr>
      <w:bookmarkStart w:id="3" w:name="LawTable"/>
      <w:bookmarkEnd w:id="3"/>
    </w:p>
    <w:p w14:paraId="17426A47" w14:textId="77777777" w:rsidR="006C330D" w:rsidRPr="006C330D" w:rsidRDefault="006C330D" w:rsidP="006C330D">
      <w:pPr>
        <w:spacing w:before="120" w:after="120" w:line="240" w:lineRule="exact"/>
        <w:ind w:left="283" w:hanging="283"/>
        <w:jc w:val="both"/>
        <w:rPr>
          <w:rFonts w:ascii="FrankRuehl" w:hAnsi="FrankRuehl" w:cs="FrankRuehl"/>
          <w:rtl/>
        </w:rPr>
      </w:pPr>
      <w:r w:rsidRPr="006C330D">
        <w:rPr>
          <w:rFonts w:ascii="FrankRuehl" w:hAnsi="FrankRuehl" w:cs="FrankRuehl"/>
          <w:rtl/>
        </w:rPr>
        <w:t xml:space="preserve">חקיקה שאוזכרה: </w:t>
      </w:r>
    </w:p>
    <w:p w14:paraId="69F3DC6A" w14:textId="77777777" w:rsidR="006C330D" w:rsidRPr="006C330D" w:rsidRDefault="006C330D" w:rsidP="006C330D">
      <w:pPr>
        <w:spacing w:before="120" w:after="120" w:line="240" w:lineRule="exact"/>
        <w:ind w:left="283" w:hanging="283"/>
        <w:jc w:val="both"/>
        <w:rPr>
          <w:rFonts w:ascii="FrankRuehl" w:hAnsi="FrankRuehl" w:cs="FrankRuehl"/>
          <w:color w:val="0000FF"/>
          <w:rtl/>
        </w:rPr>
      </w:pPr>
      <w:hyperlink r:id="rId7" w:history="1">
        <w:r w:rsidRPr="006C330D">
          <w:rPr>
            <w:rStyle w:val="Hyperlink"/>
            <w:rFonts w:ascii="FrankRuehl" w:hAnsi="FrankRuehl" w:cs="FrankRuehl"/>
            <w:u w:val="none"/>
            <w:rtl/>
          </w:rPr>
          <w:t>חוק העונשין, תשל"ז-1977</w:t>
        </w:r>
      </w:hyperlink>
      <w:r w:rsidRPr="006C330D">
        <w:rPr>
          <w:rFonts w:ascii="FrankRuehl" w:hAnsi="FrankRuehl" w:cs="FrankRuehl"/>
          <w:color w:val="0000FF"/>
          <w:rtl/>
        </w:rPr>
        <w:t xml:space="preserve">: סע'  </w:t>
      </w:r>
      <w:hyperlink r:id="rId8" w:history="1">
        <w:r w:rsidRPr="006C330D">
          <w:rPr>
            <w:rStyle w:val="Hyperlink"/>
            <w:rFonts w:ascii="FrankRuehl" w:hAnsi="FrankRuehl" w:cs="FrankRuehl"/>
            <w:u w:val="none"/>
          </w:rPr>
          <w:t>144</w:t>
        </w:r>
      </w:hyperlink>
      <w:r w:rsidRPr="006C330D">
        <w:rPr>
          <w:rFonts w:ascii="FrankRuehl" w:hAnsi="FrankRuehl" w:cs="FrankRuehl"/>
          <w:color w:val="0000FF"/>
          <w:rtl/>
        </w:rPr>
        <w:t xml:space="preserve">(א), </w:t>
      </w:r>
      <w:hyperlink r:id="rId9" w:history="1">
        <w:r w:rsidRPr="006C330D">
          <w:rPr>
            <w:rStyle w:val="Hyperlink"/>
            <w:rFonts w:ascii="FrankRuehl" w:hAnsi="FrankRuehl" w:cs="FrankRuehl"/>
            <w:u w:val="none"/>
          </w:rPr>
          <w:t>144</w:t>
        </w:r>
      </w:hyperlink>
      <w:r w:rsidRPr="006C330D">
        <w:rPr>
          <w:rFonts w:ascii="FrankRuehl" w:hAnsi="FrankRuehl" w:cs="FrankRuehl"/>
          <w:color w:val="0000FF"/>
          <w:rtl/>
        </w:rPr>
        <w:t>(ז)</w:t>
      </w:r>
    </w:p>
    <w:p w14:paraId="4B5BB84E" w14:textId="77777777" w:rsidR="00424A22" w:rsidRPr="006C330D" w:rsidRDefault="00424A22" w:rsidP="006C330D">
      <w:pPr>
        <w:rPr>
          <w:rFonts w:hint="cs"/>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6E77" w14:paraId="1656C888" w14:textId="77777777" w:rsidTr="00F47B6B">
        <w:trPr>
          <w:trHeight w:val="355"/>
          <w:jc w:val="center"/>
        </w:trPr>
        <w:tc>
          <w:tcPr>
            <w:tcW w:w="8820" w:type="dxa"/>
            <w:tcBorders>
              <w:top w:val="nil"/>
              <w:left w:val="nil"/>
              <w:bottom w:val="nil"/>
              <w:right w:val="nil"/>
            </w:tcBorders>
          </w:tcPr>
          <w:p w14:paraId="18BA7476" w14:textId="77777777" w:rsidR="00122049" w:rsidRPr="00122049" w:rsidRDefault="00122049" w:rsidP="00122049">
            <w:pPr>
              <w:jc w:val="center"/>
              <w:rPr>
                <w:rFonts w:ascii="David" w:hAnsi="David"/>
                <w:b/>
                <w:bCs/>
                <w:sz w:val="36"/>
                <w:szCs w:val="36"/>
                <w:u w:val="single"/>
                <w:rtl/>
              </w:rPr>
            </w:pPr>
            <w:bookmarkStart w:id="5" w:name="PsakDin" w:colFirst="0" w:colLast="0"/>
            <w:bookmarkEnd w:id="0"/>
            <w:r w:rsidRPr="00122049">
              <w:rPr>
                <w:rFonts w:ascii="David" w:hAnsi="David"/>
                <w:b/>
                <w:bCs/>
                <w:sz w:val="36"/>
                <w:szCs w:val="36"/>
                <w:u w:val="single"/>
                <w:rtl/>
              </w:rPr>
              <w:t>גזר דין</w:t>
            </w:r>
          </w:p>
          <w:p w14:paraId="44128A77" w14:textId="77777777" w:rsidR="008B6E77" w:rsidRPr="00122049" w:rsidRDefault="008B6E77" w:rsidP="00122049">
            <w:pPr>
              <w:jc w:val="center"/>
              <w:rPr>
                <w:rFonts w:ascii="David" w:hAnsi="David"/>
                <w:bCs/>
                <w:sz w:val="36"/>
                <w:szCs w:val="36"/>
                <w:u w:val="single"/>
                <w:rtl/>
              </w:rPr>
            </w:pPr>
          </w:p>
        </w:tc>
      </w:tr>
      <w:bookmarkEnd w:id="5"/>
    </w:tbl>
    <w:p w14:paraId="1A57BFF5" w14:textId="77777777" w:rsidR="008B6E77" w:rsidRDefault="008B6E77" w:rsidP="00C30E32">
      <w:pPr>
        <w:spacing w:line="360" w:lineRule="auto"/>
        <w:jc w:val="both"/>
        <w:rPr>
          <w:b/>
          <w:bCs/>
          <w:u w:val="single"/>
          <w:rtl/>
        </w:rPr>
      </w:pPr>
    </w:p>
    <w:p w14:paraId="336BD679" w14:textId="77777777" w:rsidR="008B6E77" w:rsidRDefault="008B6E77" w:rsidP="00022A47">
      <w:pPr>
        <w:pStyle w:val="ListParagraph"/>
        <w:numPr>
          <w:ilvl w:val="0"/>
          <w:numId w:val="15"/>
        </w:numPr>
        <w:jc w:val="both"/>
      </w:pPr>
      <w:r w:rsidRPr="00022A47">
        <w:rPr>
          <w:b/>
          <w:bCs/>
          <w:u w:val="single"/>
          <w:rtl/>
        </w:rPr>
        <w:t>כללי</w:t>
      </w:r>
    </w:p>
    <w:p w14:paraId="4B0FA9D6" w14:textId="77777777" w:rsidR="008B6E77" w:rsidRDefault="008B6E77" w:rsidP="00C168C9">
      <w:pPr>
        <w:spacing w:line="360" w:lineRule="auto"/>
        <w:jc w:val="both"/>
        <w:rPr>
          <w:rFonts w:ascii="David" w:hAnsi="David"/>
          <w:rtl/>
        </w:rPr>
      </w:pPr>
    </w:p>
    <w:p w14:paraId="32F35454" w14:textId="77777777" w:rsidR="008B6E77" w:rsidRPr="00A070D6" w:rsidRDefault="008B6E77" w:rsidP="00A070D6">
      <w:pPr>
        <w:spacing w:line="360" w:lineRule="auto"/>
        <w:jc w:val="both"/>
        <w:rPr>
          <w:rFonts w:ascii="David" w:hAnsi="David"/>
        </w:rPr>
      </w:pPr>
      <w:bookmarkStart w:id="6" w:name="ABSTRACT_START"/>
      <w:bookmarkEnd w:id="6"/>
      <w:r>
        <w:rPr>
          <w:rFonts w:ascii="David" w:hAnsi="David"/>
          <w:rtl/>
        </w:rPr>
        <w:t xml:space="preserve">הנאשם, יליד 1980, הורשע לאחר שמיעת ראיות, בעבירה של </w:t>
      </w:r>
      <w:r>
        <w:rPr>
          <w:rFonts w:ascii="David" w:hAnsi="David"/>
          <w:b/>
          <w:bCs/>
          <w:rtl/>
        </w:rPr>
        <w:t xml:space="preserve">החזקת נשק בלא רשות על פי דין </w:t>
      </w:r>
      <w:r>
        <w:rPr>
          <w:rFonts w:ascii="David" w:hAnsi="David"/>
          <w:rtl/>
        </w:rPr>
        <w:t xml:space="preserve">לפי </w:t>
      </w:r>
      <w:hyperlink r:id="rId10" w:history="1">
        <w:r w:rsidR="006C330D" w:rsidRPr="006C330D">
          <w:rPr>
            <w:rStyle w:val="Hyperlink"/>
            <w:rFonts w:ascii="David" w:hAnsi="David"/>
            <w:color w:val="0000FF"/>
            <w:rtl/>
          </w:rPr>
          <w:t>סעיף 144(א)</w:t>
        </w:r>
      </w:hyperlink>
      <w:r>
        <w:rPr>
          <w:rFonts w:ascii="David" w:hAnsi="David"/>
          <w:rtl/>
        </w:rPr>
        <w:t xml:space="preserve"> רישא ל</w:t>
      </w:r>
      <w:hyperlink r:id="rId11" w:history="1">
        <w:r w:rsidR="00122049" w:rsidRPr="00122049">
          <w:rPr>
            <w:rFonts w:ascii="David" w:hAnsi="David"/>
            <w:color w:val="0000FF"/>
            <w:u w:val="single"/>
            <w:rtl/>
          </w:rPr>
          <w:t>חוק העונשין</w:t>
        </w:r>
      </w:hyperlink>
      <w:r>
        <w:rPr>
          <w:rFonts w:ascii="David" w:hAnsi="David"/>
          <w:rtl/>
        </w:rPr>
        <w:t xml:space="preserve">, התשל"ז-1977 (להלן: </w:t>
      </w:r>
      <w:r>
        <w:rPr>
          <w:rFonts w:ascii="David" w:hAnsi="David"/>
          <w:b/>
          <w:bCs/>
          <w:rtl/>
        </w:rPr>
        <w:t>"חוק העונשין"</w:t>
      </w:r>
      <w:r>
        <w:rPr>
          <w:rFonts w:ascii="David" w:hAnsi="David"/>
          <w:rtl/>
        </w:rPr>
        <w:t xml:space="preserve">), כאשר </w:t>
      </w:r>
      <w:r w:rsidRPr="00A070D6">
        <w:rPr>
          <w:rFonts w:ascii="David" w:hAnsi="David"/>
          <w:rtl/>
        </w:rPr>
        <w:t>על פי עובדות כתב האישום, ביום 3.7.23 החזיק הנאשם נשק ותחמושת ברכבו מסוג שברולט קרוז מספר רישוי 44-309-72 (להלן: "</w:t>
      </w:r>
      <w:r w:rsidRPr="00A070D6">
        <w:rPr>
          <w:rFonts w:ascii="David" w:hAnsi="David"/>
          <w:b/>
          <w:bCs/>
          <w:rtl/>
        </w:rPr>
        <w:t>הרכב</w:t>
      </w:r>
      <w:r w:rsidRPr="00A070D6">
        <w:rPr>
          <w:rFonts w:ascii="David" w:hAnsi="David"/>
          <w:rtl/>
        </w:rPr>
        <w:t>") שחנה ברחוב יצחק שדה 33 בבת ים, בתיק גב ובתוכו: שני תתי מקלע מאולתרים שבכוחם להמית; אקדח חצי אוטומטי מסוג ברטה שבכוחו להמית אדם; מחסנית לאקדח ברטה הטעונה בשמונה כדורים בקליבר 22; ארבעה כדורים בקליבר 22; שני רימוני הלם סנוור 7290</w:t>
      </w:r>
      <w:r w:rsidRPr="00A070D6">
        <w:rPr>
          <w:rFonts w:ascii="David" w:hAnsi="David"/>
        </w:rPr>
        <w:t>M</w:t>
      </w:r>
      <w:r w:rsidRPr="00A070D6">
        <w:rPr>
          <w:rFonts w:ascii="David" w:hAnsi="David"/>
          <w:rtl/>
        </w:rPr>
        <w:t>; רימון גז 400 (להלן: "</w:t>
      </w:r>
      <w:r w:rsidRPr="00A070D6">
        <w:rPr>
          <w:rFonts w:ascii="David" w:hAnsi="David"/>
          <w:b/>
          <w:bCs/>
          <w:rtl/>
        </w:rPr>
        <w:t>התחמושת/ אמל"ח</w:t>
      </w:r>
      <w:r w:rsidRPr="00A070D6">
        <w:rPr>
          <w:rFonts w:ascii="David" w:hAnsi="David"/>
          <w:rtl/>
        </w:rPr>
        <w:t>").</w:t>
      </w:r>
      <w:bookmarkStart w:id="7" w:name="ABSTRACT_END"/>
      <w:bookmarkEnd w:id="7"/>
    </w:p>
    <w:p w14:paraId="3BF6EF56" w14:textId="77777777" w:rsidR="008B6E77" w:rsidRDefault="008B6E77" w:rsidP="00304816">
      <w:pPr>
        <w:spacing w:line="360" w:lineRule="auto"/>
        <w:jc w:val="both"/>
        <w:rPr>
          <w:rFonts w:ascii="David" w:hAnsi="David"/>
        </w:rPr>
      </w:pPr>
    </w:p>
    <w:p w14:paraId="0B488166" w14:textId="77777777" w:rsidR="008B6E77" w:rsidRPr="008714F5" w:rsidRDefault="008B6E77" w:rsidP="00ED2D88">
      <w:pPr>
        <w:spacing w:line="360" w:lineRule="auto"/>
        <w:jc w:val="both"/>
        <w:rPr>
          <w:rFonts w:ascii="David" w:hAnsi="David"/>
          <w:rtl/>
        </w:rPr>
      </w:pPr>
      <w:r>
        <w:rPr>
          <w:rFonts w:ascii="David" w:hAnsi="David"/>
          <w:rtl/>
        </w:rPr>
        <w:lastRenderedPageBreak/>
        <w:t xml:space="preserve">לאחר בחינת ככל הראיות והעדויות, מצאתי ליתן אמון מלא בעדויות עדי התביעה (למעט עד אחד שעדותו התקבלה בהסתייגות ולפי המפורט שם), ולדחות את עדותו של הנאשם, נוכח סתירות רבות, אף בעדותו הכבושה ולפיכך קבעתי כי 'חזקת המקום' לא הופרכה ובעלותו של הנאשם על הרכב על תכולתו נותרה בעינה ושייכת לו. </w:t>
      </w:r>
    </w:p>
    <w:p w14:paraId="7798E0A5" w14:textId="77777777" w:rsidR="008B6E77" w:rsidRDefault="008B6E77" w:rsidP="00C30E32">
      <w:pPr>
        <w:spacing w:line="360" w:lineRule="auto"/>
        <w:jc w:val="both"/>
        <w:rPr>
          <w:b/>
          <w:bCs/>
          <w:u w:val="single"/>
          <w:rtl/>
        </w:rPr>
      </w:pPr>
    </w:p>
    <w:p w14:paraId="3EEF1BCB" w14:textId="77777777" w:rsidR="008B6E77" w:rsidRPr="00022A47" w:rsidRDefault="008B6E77" w:rsidP="00022A47">
      <w:pPr>
        <w:pStyle w:val="ListParagraph"/>
        <w:numPr>
          <w:ilvl w:val="0"/>
          <w:numId w:val="15"/>
        </w:numPr>
        <w:jc w:val="both"/>
        <w:rPr>
          <w:b/>
          <w:bCs/>
          <w:u w:val="single"/>
          <w:rtl/>
        </w:rPr>
      </w:pPr>
      <w:r w:rsidRPr="00022A47">
        <w:rPr>
          <w:b/>
          <w:bCs/>
          <w:u w:val="single"/>
          <w:rtl/>
        </w:rPr>
        <w:t>טיעוני הצדדים</w:t>
      </w:r>
    </w:p>
    <w:p w14:paraId="760A0C57" w14:textId="77777777" w:rsidR="008B6E77" w:rsidRDefault="008B6E77" w:rsidP="00C30E32">
      <w:pPr>
        <w:spacing w:line="360" w:lineRule="auto"/>
        <w:jc w:val="both"/>
        <w:rPr>
          <w:b/>
          <w:bCs/>
          <w:u w:val="single"/>
          <w:rtl/>
        </w:rPr>
      </w:pPr>
    </w:p>
    <w:p w14:paraId="7A885E63" w14:textId="77777777" w:rsidR="008B6E77" w:rsidRDefault="008B6E77" w:rsidP="00ED2D88">
      <w:pPr>
        <w:spacing w:line="360" w:lineRule="auto"/>
        <w:jc w:val="both"/>
        <w:rPr>
          <w:rtl/>
        </w:rPr>
      </w:pPr>
      <w:r>
        <w:rPr>
          <w:b/>
          <w:bCs/>
          <w:rtl/>
        </w:rPr>
        <w:t>ב"כ המאשימה</w:t>
      </w:r>
      <w:r>
        <w:rPr>
          <w:rtl/>
        </w:rPr>
        <w:t>,</w:t>
      </w:r>
      <w:r>
        <w:rPr>
          <w:b/>
          <w:bCs/>
          <w:rtl/>
        </w:rPr>
        <w:t xml:space="preserve"> </w:t>
      </w:r>
      <w:r>
        <w:rPr>
          <w:rtl/>
        </w:rPr>
        <w:t>הגישה רישום פלילי של הנאשם, טענה לערכים המוגנים שנפגעו, תוך שהדגישה את ההחמרה המבוטאת בעבירות נשק, הן בפסיקה והן בתיקון 140 ל</w:t>
      </w:r>
      <w:hyperlink r:id="rId12" w:history="1">
        <w:r w:rsidR="00122049" w:rsidRPr="00122049">
          <w:rPr>
            <w:color w:val="0000FF"/>
            <w:u w:val="single"/>
            <w:rtl/>
          </w:rPr>
          <w:t>חוק העונשין</w:t>
        </w:r>
      </w:hyperlink>
      <w:r>
        <w:rPr>
          <w:rtl/>
        </w:rPr>
        <w:t xml:space="preserve">; הפנתה לפירוט התחמושת שהחזיק הנאשם כפי שעולה מכתב האישום והדגישה כי מדובר בכמות נשק גדולה בעלת פוטנציאל נזק קטלני; עוד הדגישה כי מאחר שהנאשם הכחיש את המיוחס לו, לא ניתן לדעת מה מטרת החזקת הנשק ולא ניתן לשלול כי כוונתו הייתה לסחור בנשק או לעשות בו שימוש יחד עם אחרים; הפנתה להכרעת הדין, שם נשללה גרסת הנאשם לפיה אחרים החזיקו בנשק; לנוכח כל האמור לעיל, ביקשה המאשימה לקבוע מתחם ענישה שמתחיל מ-48 חודשים ונע עד 70 חודשים והגישה פסיקה ממנה לטעמה ניתן ללמוד על מדיניות הענישה בעבירות אלו (תוך שהדגישה כי כלל האסמכתאות ניתנו לפני התיקון לחוק) ולנוכח כלל התחמושת אותה החזיק הנאשם. ב"כ המאשימה הפנתה לנסיבותיו האישיות של הנאשם, הרשעותיו הקודמות וכן לשחרורו ממאסר כחודשיים לפני ביצוע העבירה המיוחסת לו כעת, וביקשה להשית על הנאשם עונש מאסר ברף הגבוה של המתחם אליה עתרה, לצד מאסר מותנה וקנס. </w:t>
      </w:r>
    </w:p>
    <w:p w14:paraId="5C99F4AC" w14:textId="77777777" w:rsidR="008B6E77" w:rsidRPr="008714F5" w:rsidRDefault="008B6E77" w:rsidP="00C30E32">
      <w:pPr>
        <w:spacing w:line="360" w:lineRule="auto"/>
        <w:jc w:val="both"/>
        <w:rPr>
          <w:rtl/>
        </w:rPr>
      </w:pPr>
    </w:p>
    <w:p w14:paraId="194C5C4E" w14:textId="77777777" w:rsidR="008B6E77" w:rsidRDefault="008B6E77" w:rsidP="00022A47">
      <w:pPr>
        <w:spacing w:line="360" w:lineRule="auto"/>
        <w:jc w:val="both"/>
        <w:rPr>
          <w:rtl/>
        </w:rPr>
      </w:pPr>
      <w:r>
        <w:rPr>
          <w:b/>
          <w:bCs/>
          <w:rtl/>
        </w:rPr>
        <w:t>ב"כ הנאשם</w:t>
      </w:r>
      <w:r>
        <w:rPr>
          <w:rtl/>
        </w:rPr>
        <w:t xml:space="preserve">, הדגיש כי הנשק נתפס ברכבו של הנאשם ולא על גופו וכן כי מדובר על הרשעה על בסיס חזקה משפטית בלבד שאותה לא הצליח להפריך הנאשם. הסנגור הפנה לפירוט הנשק המפורטת בכתב האישום והדגיש כי לחלקם לא היה תחמושת מתאימה, דבר שיש בו משום נסיבה לקולא, שכן פוטנציאל המסוכנות של הכלי אינו גדולה. עוד ציין כי העובדה שאין פירוט אודות נסיבות ההחזקה, עומדת לזכותו של הנאשם. חלק על המתחם אליו עתרה המאשימה וציין כי הנימוק לפיו יש לקבוע מתחם עונש גבוה בשל כמות התחמושת שנתפסה אין לו אחיזה במציאות מאחר והוגש כתב אישום המייחס לנאשם מקרה אחד ועבירה אחת, הרי שלא ניתן לבצע 'מעין מכפלה' של העונש. במסגרת כך הפנה לפסיקה שממנה לטעמו ניתן ללמוד על מדיניות ענישה שונה. לבסוף, עתר למתחם ענישה שמתחיל מ- 20 חודשי מאסר ונע עד 30 חודשים וביקש למקם את הנאשם ברף התחתון של המתחם לנוכח העדר עבר פלילי רלוונטי. </w:t>
      </w:r>
    </w:p>
    <w:p w14:paraId="217DCC71" w14:textId="77777777" w:rsidR="008B6E77" w:rsidRDefault="008B6E77" w:rsidP="00B72BEC">
      <w:pPr>
        <w:spacing w:line="360" w:lineRule="auto"/>
        <w:jc w:val="both"/>
        <w:rPr>
          <w:rtl/>
        </w:rPr>
      </w:pPr>
    </w:p>
    <w:p w14:paraId="7218D60D" w14:textId="77777777" w:rsidR="008B6E77" w:rsidRDefault="008B6E77" w:rsidP="00C30E32">
      <w:pPr>
        <w:spacing w:line="360" w:lineRule="auto"/>
        <w:jc w:val="both"/>
        <w:rPr>
          <w:rtl/>
        </w:rPr>
      </w:pPr>
      <w:r>
        <w:rPr>
          <w:b/>
          <w:bCs/>
          <w:rtl/>
        </w:rPr>
        <w:t>הנאשם,</w:t>
      </w:r>
      <w:r>
        <w:rPr>
          <w:rtl/>
        </w:rPr>
        <w:t xml:space="preserve"> ביקש להדגיש כי לא נגע בנשק ולא יודע כיצד הגיע לרכב, לדבריו לא נגע בנשק כלשהו מאז שירותו הצבאי. </w:t>
      </w:r>
      <w:r>
        <w:rPr>
          <w:b/>
          <w:bCs/>
          <w:rtl/>
        </w:rPr>
        <w:t xml:space="preserve"> </w:t>
      </w:r>
    </w:p>
    <w:p w14:paraId="3DD8AA1B" w14:textId="77777777" w:rsidR="008B6E77" w:rsidRDefault="008B6E77" w:rsidP="00C30E32">
      <w:pPr>
        <w:spacing w:line="360" w:lineRule="auto"/>
        <w:jc w:val="both"/>
        <w:rPr>
          <w:b/>
          <w:bCs/>
          <w:u w:val="single"/>
          <w:rtl/>
        </w:rPr>
      </w:pPr>
    </w:p>
    <w:p w14:paraId="3C02B18A" w14:textId="77777777" w:rsidR="008B6E77" w:rsidRDefault="008B6E77" w:rsidP="00C30E32">
      <w:pPr>
        <w:spacing w:line="360" w:lineRule="auto"/>
        <w:jc w:val="both"/>
        <w:rPr>
          <w:b/>
          <w:bCs/>
          <w:u w:val="single"/>
          <w:rtl/>
        </w:rPr>
      </w:pPr>
    </w:p>
    <w:p w14:paraId="4E61CBE8" w14:textId="77777777" w:rsidR="008B6E77" w:rsidRPr="00F47B6B" w:rsidRDefault="008B6E77" w:rsidP="00022A47">
      <w:pPr>
        <w:pStyle w:val="ListParagraph"/>
        <w:numPr>
          <w:ilvl w:val="0"/>
          <w:numId w:val="15"/>
        </w:numPr>
        <w:jc w:val="both"/>
        <w:rPr>
          <w:rFonts w:cs="Arial"/>
          <w:sz w:val="28"/>
          <w:szCs w:val="28"/>
          <w:rtl/>
        </w:rPr>
      </w:pPr>
      <w:r w:rsidRPr="00022A47">
        <w:rPr>
          <w:b/>
          <w:bCs/>
          <w:sz w:val="28"/>
          <w:szCs w:val="28"/>
          <w:u w:val="single"/>
          <w:rtl/>
        </w:rPr>
        <w:lastRenderedPageBreak/>
        <w:t>דיון והכרעה</w:t>
      </w:r>
    </w:p>
    <w:p w14:paraId="18D855C8" w14:textId="77777777" w:rsidR="008B6E77" w:rsidRDefault="008B6E77" w:rsidP="006756B5">
      <w:pPr>
        <w:spacing w:line="360" w:lineRule="auto"/>
        <w:jc w:val="both"/>
        <w:rPr>
          <w:rFonts w:ascii="David" w:hAnsi="David"/>
          <w:rtl/>
        </w:rPr>
      </w:pPr>
    </w:p>
    <w:p w14:paraId="3E5F8C9C" w14:textId="77777777" w:rsidR="008B6E77" w:rsidRDefault="008B6E77" w:rsidP="00725917">
      <w:pPr>
        <w:spacing w:line="360" w:lineRule="auto"/>
        <w:jc w:val="both"/>
        <w:rPr>
          <w:rFonts w:ascii="David" w:hAnsi="David"/>
          <w:b/>
          <w:bCs/>
          <w:rtl/>
        </w:rPr>
      </w:pPr>
      <w:r>
        <w:rPr>
          <w:rFonts w:ascii="David" w:hAnsi="David"/>
          <w:rtl/>
        </w:rPr>
        <w:t xml:space="preserve">קביעת עונשו של הנאשם, יהיה לאור עיקרון הבכורה אותו קבע המחוקק- </w:t>
      </w:r>
      <w:r>
        <w:rPr>
          <w:rFonts w:ascii="David" w:hAnsi="David"/>
          <w:b/>
          <w:bCs/>
          <w:rtl/>
        </w:rPr>
        <w:t>עקרון ההלימה</w:t>
      </w:r>
      <w:r>
        <w:rPr>
          <w:rFonts w:ascii="David" w:hAnsi="David"/>
          <w:rtl/>
        </w:rPr>
        <w:t xml:space="preserve">, זאת תוך מתן יחס הולם בין חומרת העבירה המיוחסת לנאשם בנסיבותיה, מידת אשמו של הנאשם ובין סוג ומידת העונש אשר יוטל עליו. לצורך קביעה זו יש לבחון מספר פרמטרים; </w:t>
      </w:r>
      <w:r>
        <w:rPr>
          <w:rFonts w:ascii="David" w:hAnsi="David"/>
          <w:b/>
          <w:bCs/>
          <w:rtl/>
        </w:rPr>
        <w:t>הערכים החברתיים</w:t>
      </w:r>
      <w:r>
        <w:rPr>
          <w:rFonts w:ascii="David" w:hAnsi="David"/>
          <w:rtl/>
        </w:rPr>
        <w:t xml:space="preserve"> שנפגעו ממעשה זה ומידת הפגיעה בהם, </w:t>
      </w:r>
      <w:r>
        <w:rPr>
          <w:rFonts w:ascii="David" w:hAnsi="David"/>
          <w:b/>
          <w:bCs/>
          <w:rtl/>
        </w:rPr>
        <w:t>מדיניות הענישה הנהוגה</w:t>
      </w:r>
      <w:r>
        <w:rPr>
          <w:rFonts w:ascii="David" w:hAnsi="David"/>
          <w:rtl/>
        </w:rPr>
        <w:t xml:space="preserve"> בבתי המשפט ומהן </w:t>
      </w:r>
      <w:r>
        <w:rPr>
          <w:rFonts w:ascii="David" w:hAnsi="David"/>
          <w:b/>
          <w:bCs/>
          <w:rtl/>
        </w:rPr>
        <w:t xml:space="preserve">הנסיבות הקשורות בביצוע העבירה </w:t>
      </w:r>
      <w:r>
        <w:rPr>
          <w:rFonts w:ascii="David" w:hAnsi="David"/>
          <w:rtl/>
        </w:rPr>
        <w:t>(תיקון 113 לחוק).</w:t>
      </w:r>
      <w:r>
        <w:rPr>
          <w:rFonts w:ascii="David" w:hAnsi="David"/>
          <w:b/>
          <w:bCs/>
          <w:rtl/>
        </w:rPr>
        <w:t xml:space="preserve"> </w:t>
      </w:r>
      <w:r w:rsidRPr="00725917">
        <w:rPr>
          <w:rFonts w:ascii="David" w:hAnsi="David"/>
          <w:rtl/>
        </w:rPr>
        <w:t xml:space="preserve">לאחר מכן יישקלו </w:t>
      </w:r>
      <w:r w:rsidRPr="00725917">
        <w:rPr>
          <w:rFonts w:ascii="David" w:hAnsi="David"/>
          <w:b/>
          <w:bCs/>
          <w:rtl/>
        </w:rPr>
        <w:t>נסיבותיו האישיות</w:t>
      </w:r>
      <w:r w:rsidRPr="00725917">
        <w:rPr>
          <w:rFonts w:ascii="David" w:hAnsi="David"/>
          <w:rtl/>
        </w:rPr>
        <w:t xml:space="preserve"> של הנאשם אשר יהיה בהם על מנת למקם אותו בתוך המתחם שנקבע.</w:t>
      </w:r>
    </w:p>
    <w:p w14:paraId="72A203ED" w14:textId="77777777" w:rsidR="008B6E77" w:rsidRDefault="008B6E77" w:rsidP="00725917">
      <w:pPr>
        <w:spacing w:line="360" w:lineRule="auto"/>
        <w:jc w:val="both"/>
        <w:rPr>
          <w:rFonts w:ascii="David" w:hAnsi="David"/>
          <w:b/>
          <w:bCs/>
          <w:rtl/>
        </w:rPr>
      </w:pPr>
    </w:p>
    <w:p w14:paraId="4C7D9156" w14:textId="77777777" w:rsidR="008B6E77" w:rsidRDefault="008B6E77" w:rsidP="006756B5">
      <w:pPr>
        <w:spacing w:line="360" w:lineRule="auto"/>
        <w:jc w:val="both"/>
        <w:rPr>
          <w:rFonts w:ascii="David" w:hAnsi="David"/>
          <w:b/>
          <w:bCs/>
          <w:rtl/>
        </w:rPr>
      </w:pPr>
      <w:r w:rsidRPr="00725917">
        <w:rPr>
          <w:rFonts w:ascii="David" w:hAnsi="David"/>
          <w:b/>
          <w:bCs/>
          <w:u w:val="single"/>
          <w:rtl/>
        </w:rPr>
        <w:t>מתחם העונש</w:t>
      </w:r>
      <w:r>
        <w:rPr>
          <w:rFonts w:ascii="David" w:hAnsi="David"/>
          <w:b/>
          <w:bCs/>
          <w:rtl/>
        </w:rPr>
        <w:t>:</w:t>
      </w:r>
    </w:p>
    <w:p w14:paraId="083D5C00" w14:textId="77777777" w:rsidR="008B6E77" w:rsidRPr="006756B5" w:rsidRDefault="008B6E77" w:rsidP="006756B5">
      <w:pPr>
        <w:spacing w:line="360" w:lineRule="auto"/>
        <w:jc w:val="both"/>
        <w:rPr>
          <w:rFonts w:ascii="David" w:hAnsi="David"/>
          <w:b/>
          <w:bCs/>
          <w:rtl/>
        </w:rPr>
      </w:pPr>
    </w:p>
    <w:p w14:paraId="34FF119D" w14:textId="77777777" w:rsidR="008B6E77" w:rsidRDefault="008B6E77" w:rsidP="00C30E32">
      <w:pPr>
        <w:spacing w:line="360" w:lineRule="auto"/>
        <w:jc w:val="both"/>
        <w:rPr>
          <w:rtl/>
        </w:rPr>
      </w:pPr>
      <w:r>
        <w:rPr>
          <w:b/>
          <w:bCs/>
          <w:rtl/>
        </w:rPr>
        <w:t>הערכים המוגנים ונסיבות ביצוע העבירה,</w:t>
      </w:r>
      <w:r>
        <w:rPr>
          <w:rtl/>
        </w:rPr>
        <w:t xml:space="preserve"> </w:t>
      </w:r>
    </w:p>
    <w:p w14:paraId="385394EB" w14:textId="77777777" w:rsidR="008B6E77" w:rsidRDefault="008B6E77" w:rsidP="00F84A80">
      <w:pPr>
        <w:spacing w:line="360" w:lineRule="auto"/>
        <w:jc w:val="both"/>
        <w:rPr>
          <w:rtl/>
        </w:rPr>
      </w:pPr>
    </w:p>
    <w:p w14:paraId="7984CFE3" w14:textId="77777777" w:rsidR="008B6E77" w:rsidRDefault="008B6E77" w:rsidP="00602CA4">
      <w:pPr>
        <w:spacing w:line="360" w:lineRule="auto"/>
        <w:jc w:val="both"/>
        <w:rPr>
          <w:rFonts w:ascii="David" w:hAnsi="David"/>
          <w:rtl/>
        </w:rPr>
      </w:pPr>
      <w:r>
        <w:rPr>
          <w:rtl/>
        </w:rPr>
        <w:t>הנאשם החזיק בסך של תחמושת; כלי נשק, כדורים ורימונים בכמות גדולה, כך שבמעשיו פגע הנאשם בערכים המוגנים של שמירה על ביטחון הציבור, בשמירה על הסדר הציבורי ועל אורח חיים תקין ובטוח שלו ושל הסובבים אותו (</w:t>
      </w:r>
      <w:r>
        <w:rPr>
          <w:rFonts w:ascii="Century" w:hAnsi="Century" w:hint="eastAsia"/>
          <w:sz w:val="22"/>
          <w:rtl/>
        </w:rPr>
        <w:t>ראו</w:t>
      </w:r>
      <w:r>
        <w:rPr>
          <w:rFonts w:ascii="Century" w:hAnsi="Century"/>
          <w:sz w:val="22"/>
          <w:rtl/>
        </w:rPr>
        <w:t xml:space="preserve">: </w:t>
      </w:r>
      <w:hyperlink r:id="rId13" w:history="1">
        <w:r w:rsidR="00122049" w:rsidRPr="00122049">
          <w:rPr>
            <w:rFonts w:ascii="Century" w:hAnsi="Century" w:hint="eastAsia"/>
            <w:color w:val="0000FF"/>
            <w:sz w:val="22"/>
            <w:u w:val="single"/>
            <w:rtl/>
          </w:rPr>
          <w:t>ע</w:t>
        </w:r>
        <w:r w:rsidR="00122049" w:rsidRPr="00122049">
          <w:rPr>
            <w:rFonts w:ascii="Century" w:hAnsi="Century"/>
            <w:color w:val="0000FF"/>
            <w:sz w:val="22"/>
            <w:u w:val="single"/>
            <w:rtl/>
          </w:rPr>
          <w:t>"</w:t>
        </w:r>
        <w:r w:rsidR="00122049" w:rsidRPr="00122049">
          <w:rPr>
            <w:rFonts w:ascii="Century" w:hAnsi="Century" w:hint="eastAsia"/>
            <w:color w:val="0000FF"/>
            <w:sz w:val="22"/>
            <w:u w:val="single"/>
            <w:rtl/>
          </w:rPr>
          <w:t>פ</w:t>
        </w:r>
        <w:r w:rsidR="00122049" w:rsidRPr="00122049">
          <w:rPr>
            <w:rFonts w:ascii="Century" w:hAnsi="Century"/>
            <w:color w:val="0000FF"/>
            <w:sz w:val="22"/>
            <w:u w:val="single"/>
            <w:rtl/>
          </w:rPr>
          <w:t xml:space="preserve"> 5522/20</w:t>
        </w:r>
      </w:hyperlink>
      <w:r w:rsidRPr="007141AE">
        <w:rPr>
          <w:rFonts w:ascii="Century" w:hAnsi="Century"/>
          <w:sz w:val="22"/>
          <w:rtl/>
        </w:rPr>
        <w:t xml:space="preserve"> </w:t>
      </w:r>
      <w:r w:rsidRPr="007141AE">
        <w:rPr>
          <w:rFonts w:ascii="David" w:hAnsi="David"/>
          <w:bCs/>
          <w:sz w:val="22"/>
          <w:rtl/>
        </w:rPr>
        <w:t>חלייחל נ' מדינת ישראל</w:t>
      </w:r>
      <w:r>
        <w:rPr>
          <w:rFonts w:ascii="Century" w:hAnsi="Century"/>
          <w:sz w:val="22"/>
          <w:rtl/>
        </w:rPr>
        <w:t xml:space="preserve">, </w:t>
      </w:r>
      <w:r>
        <w:rPr>
          <w:rFonts w:ascii="Century" w:hAnsi="Century" w:hint="eastAsia"/>
          <w:sz w:val="22"/>
          <w:rtl/>
        </w:rPr>
        <w:t>פסקה</w:t>
      </w:r>
      <w:r>
        <w:rPr>
          <w:rFonts w:ascii="Century" w:hAnsi="Century"/>
          <w:sz w:val="22"/>
          <w:rtl/>
        </w:rPr>
        <w:t xml:space="preserve"> 7 [</w:t>
      </w:r>
      <w:r>
        <w:rPr>
          <w:rFonts w:ascii="Century" w:hAnsi="Century" w:hint="eastAsia"/>
          <w:sz w:val="22"/>
          <w:rtl/>
        </w:rPr>
        <w:t>נבו</w:t>
      </w:r>
      <w:r>
        <w:rPr>
          <w:rFonts w:ascii="Century" w:hAnsi="Century"/>
          <w:sz w:val="22"/>
          <w:rtl/>
        </w:rPr>
        <w:t>] (24.2.2021)</w:t>
      </w:r>
      <w:r>
        <w:rPr>
          <w:rtl/>
        </w:rPr>
        <w:t xml:space="preserve">). בהקשר לעבירות אלו של החזקת נשק ותחמושת , </w:t>
      </w:r>
      <w:r w:rsidRPr="00F26177">
        <w:rPr>
          <w:rtl/>
        </w:rPr>
        <w:t xml:space="preserve">בית המשפט העליון עמד על החומרה </w:t>
      </w:r>
      <w:r>
        <w:rPr>
          <w:rtl/>
        </w:rPr>
        <w:t xml:space="preserve">היתרה </w:t>
      </w:r>
      <w:r w:rsidRPr="00F26177">
        <w:rPr>
          <w:rtl/>
        </w:rPr>
        <w:t xml:space="preserve">הגלומה </w:t>
      </w:r>
      <w:r>
        <w:rPr>
          <w:rtl/>
        </w:rPr>
        <w:t xml:space="preserve">בהן </w:t>
      </w:r>
      <w:r w:rsidRPr="00F26177">
        <w:rPr>
          <w:rtl/>
        </w:rPr>
        <w:t>ו</w:t>
      </w:r>
      <w:r>
        <w:rPr>
          <w:rtl/>
        </w:rPr>
        <w:t xml:space="preserve">עמד על </w:t>
      </w:r>
      <w:r w:rsidRPr="00F26177">
        <w:rPr>
          <w:rtl/>
        </w:rPr>
        <w:t>הצורך להחמיר בענישה במקרים מסוג זה</w:t>
      </w:r>
      <w:r>
        <w:rPr>
          <w:rtl/>
        </w:rPr>
        <w:t>. כך</w:t>
      </w:r>
      <w:r w:rsidRPr="00EC5614">
        <w:rPr>
          <w:rFonts w:ascii="David" w:hAnsi="David"/>
          <w:rtl/>
        </w:rPr>
        <w:t xml:space="preserve"> ב</w:t>
      </w:r>
      <w:hyperlink r:id="rId14" w:history="1">
        <w:r w:rsidR="00122049" w:rsidRPr="00122049">
          <w:rPr>
            <w:rFonts w:ascii="David" w:hAnsi="David"/>
            <w:color w:val="0000FF"/>
            <w:u w:val="single"/>
            <w:rtl/>
          </w:rPr>
          <w:t>ע"פ 147/21</w:t>
        </w:r>
      </w:hyperlink>
      <w:r w:rsidRPr="00EC5614">
        <w:rPr>
          <w:rFonts w:ascii="David" w:hAnsi="David"/>
          <w:rtl/>
        </w:rPr>
        <w:t xml:space="preserve"> </w:t>
      </w:r>
      <w:r w:rsidRPr="00EC5614">
        <w:rPr>
          <w:rFonts w:ascii="David" w:hAnsi="David"/>
          <w:b/>
          <w:bCs/>
          <w:rtl/>
        </w:rPr>
        <w:t>מדינת ישראל נ' ביטון</w:t>
      </w:r>
      <w:r w:rsidRPr="00EC5614">
        <w:rPr>
          <w:rFonts w:ascii="David" w:hAnsi="David"/>
          <w:rtl/>
        </w:rPr>
        <w:t xml:space="preserve"> (פורסם בנבו, 14.2.2021)</w:t>
      </w:r>
      <w:r>
        <w:rPr>
          <w:rFonts w:ascii="David" w:hAnsi="David"/>
        </w:rPr>
        <w:t xml:space="preserve"> </w:t>
      </w:r>
      <w:r>
        <w:rPr>
          <w:rFonts w:ascii="David" w:hAnsi="David"/>
          <w:rtl/>
        </w:rPr>
        <w:t>נקבע באופן ברור כי:</w:t>
      </w:r>
    </w:p>
    <w:p w14:paraId="77283378" w14:textId="77777777" w:rsidR="008B6E77" w:rsidRDefault="008B6E77" w:rsidP="00602CA4">
      <w:pPr>
        <w:spacing w:line="360" w:lineRule="auto"/>
        <w:jc w:val="both"/>
        <w:rPr>
          <w:rFonts w:ascii="David" w:hAnsi="David"/>
          <w:rtl/>
        </w:rPr>
      </w:pPr>
    </w:p>
    <w:p w14:paraId="5C4B741C" w14:textId="77777777" w:rsidR="008B6E77" w:rsidRPr="00602CA4" w:rsidRDefault="008B6E77" w:rsidP="00602CA4">
      <w:pPr>
        <w:spacing w:line="360" w:lineRule="auto"/>
        <w:ind w:left="720"/>
        <w:jc w:val="both"/>
        <w:rPr>
          <w:rtl/>
        </w:rPr>
      </w:pPr>
      <w:r w:rsidRPr="005A01BB">
        <w:rPr>
          <w:rFonts w:ascii="David" w:hAnsi="David"/>
          <w:b/>
          <w:b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 מקלע [...] הטלת עונשים חמורים ומרתיעים על עברייני נשק היא עיקר תרומתם של בתי המשפט למיגור התופעה ולהרחקת העבריין עם האקדח משגרת חייהם של אזרחי מדינה שומרי חוק." (ראו שם, פסקאות 7 ו- 10).</w:t>
      </w:r>
    </w:p>
    <w:p w14:paraId="55B23734" w14:textId="77777777" w:rsidR="008B6E77" w:rsidRDefault="008B6E77" w:rsidP="005E6C07">
      <w:pPr>
        <w:spacing w:line="360" w:lineRule="auto"/>
        <w:jc w:val="both"/>
        <w:rPr>
          <w:rFonts w:ascii="David" w:hAnsi="David"/>
          <w:rtl/>
        </w:rPr>
      </w:pPr>
    </w:p>
    <w:p w14:paraId="30FCA859" w14:textId="77777777" w:rsidR="008B6E77" w:rsidRDefault="008B6E77" w:rsidP="00602CA4">
      <w:pPr>
        <w:spacing w:line="360" w:lineRule="auto"/>
        <w:jc w:val="both"/>
        <w:rPr>
          <w:rtl/>
          <w:lang w:eastAsia="he-IL"/>
        </w:rPr>
      </w:pPr>
      <w:r>
        <w:rPr>
          <w:rFonts w:ascii="David" w:hAnsi="David"/>
          <w:rtl/>
        </w:rPr>
        <w:t>עוד נקבע ב</w:t>
      </w:r>
      <w:hyperlink r:id="rId15" w:history="1">
        <w:r w:rsidR="00122049" w:rsidRPr="00122049">
          <w:rPr>
            <w:color w:val="0000FF"/>
            <w:u w:val="single"/>
            <w:rtl/>
            <w:lang w:eastAsia="he-IL"/>
          </w:rPr>
          <w:t>רע"פ 2718/04</w:t>
        </w:r>
      </w:hyperlink>
      <w:r>
        <w:rPr>
          <w:rtl/>
          <w:lang w:eastAsia="he-IL"/>
        </w:rPr>
        <w:t xml:space="preserve"> </w:t>
      </w:r>
      <w:r w:rsidRPr="005E6C07">
        <w:rPr>
          <w:b/>
          <w:bCs/>
          <w:rtl/>
          <w:lang w:eastAsia="he-IL"/>
        </w:rPr>
        <w:t>אבו דאחל נ' מדינת ישראל</w:t>
      </w:r>
      <w:r>
        <w:rPr>
          <w:rtl/>
          <w:lang w:eastAsia="he-IL"/>
        </w:rPr>
        <w:t xml:space="preserve"> (פורסם בנבו, 29.3.2004)) כי:</w:t>
      </w:r>
    </w:p>
    <w:p w14:paraId="67D32BBB" w14:textId="77777777" w:rsidR="008B6E77" w:rsidRDefault="008B6E77" w:rsidP="00602CA4">
      <w:pPr>
        <w:spacing w:line="360" w:lineRule="auto"/>
        <w:jc w:val="both"/>
        <w:rPr>
          <w:rtl/>
          <w:lang w:eastAsia="he-IL"/>
        </w:rPr>
      </w:pPr>
    </w:p>
    <w:p w14:paraId="2B419720" w14:textId="77777777" w:rsidR="008B6E77" w:rsidRDefault="008B6E77" w:rsidP="00602CA4">
      <w:pPr>
        <w:spacing w:line="360" w:lineRule="auto"/>
        <w:ind w:left="720"/>
        <w:jc w:val="both"/>
        <w:rPr>
          <w:rtl/>
          <w:lang w:eastAsia="he-IL"/>
        </w:rPr>
      </w:pPr>
      <w:r>
        <w:rPr>
          <w:rtl/>
          <w:lang w:eastAsia="he-IL"/>
        </w:rPr>
        <w:t>"</w:t>
      </w:r>
      <w:r w:rsidRPr="00602CA4">
        <w:rPr>
          <w:b/>
          <w:bCs/>
          <w:rtl/>
          <w:lang w:eastAsia="he-IL"/>
        </w:rPr>
        <w:t>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Pr>
          <w:rtl/>
          <w:lang w:eastAsia="he-IL"/>
        </w:rPr>
        <w:t>".</w:t>
      </w:r>
    </w:p>
    <w:p w14:paraId="0E4F7993" w14:textId="77777777" w:rsidR="008B6E77" w:rsidRDefault="008B6E77" w:rsidP="003230B7">
      <w:pPr>
        <w:spacing w:line="360" w:lineRule="auto"/>
        <w:jc w:val="both"/>
        <w:rPr>
          <w:rtl/>
          <w:lang w:eastAsia="he-IL"/>
        </w:rPr>
      </w:pPr>
    </w:p>
    <w:p w14:paraId="19F7B2CE" w14:textId="77777777" w:rsidR="008B6E77" w:rsidRPr="00F0493D" w:rsidRDefault="008B6E77" w:rsidP="003230B7">
      <w:pPr>
        <w:spacing w:line="360" w:lineRule="auto"/>
        <w:jc w:val="both"/>
        <w:rPr>
          <w:rtl/>
        </w:rPr>
      </w:pPr>
      <w:r w:rsidRPr="00F0493D">
        <w:rPr>
          <w:rtl/>
        </w:rPr>
        <w:t xml:space="preserve">חומרתן </w:t>
      </w:r>
      <w:r>
        <w:rPr>
          <w:rtl/>
        </w:rPr>
        <w:t>של עבירות אלו נובעת, בין היתר גם מהחשש כי הנשק יועבר למי שמתכוון לבצע בו שימוש ופעילות עבריינית או פעילות טרור(</w:t>
      </w:r>
      <w:hyperlink r:id="rId16" w:history="1">
        <w:r w:rsidR="00122049" w:rsidRPr="00122049">
          <w:rPr>
            <w:color w:val="0000FF"/>
            <w:u w:val="single"/>
            <w:rtl/>
          </w:rPr>
          <w:t>ע"פ 4945/13</w:t>
        </w:r>
      </w:hyperlink>
      <w:r>
        <w:rPr>
          <w:rtl/>
        </w:rPr>
        <w:t xml:space="preserve"> </w:t>
      </w:r>
      <w:r w:rsidRPr="003230B7">
        <w:rPr>
          <w:b/>
          <w:bCs/>
          <w:rtl/>
        </w:rPr>
        <w:t>מדינת ישראל נ' סלימאן</w:t>
      </w:r>
      <w:r>
        <w:rPr>
          <w:rtl/>
        </w:rPr>
        <w:t xml:space="preserve"> (10.1.2014; </w:t>
      </w:r>
      <w:hyperlink r:id="rId17" w:history="1">
        <w:r w:rsidR="00122049" w:rsidRPr="00122049">
          <w:rPr>
            <w:color w:val="0000FF"/>
            <w:u w:val="single"/>
            <w:rtl/>
          </w:rPr>
          <w:t>ע"פ 2251/11</w:t>
        </w:r>
      </w:hyperlink>
      <w:r>
        <w:rPr>
          <w:rtl/>
        </w:rPr>
        <w:t xml:space="preserve"> </w:t>
      </w:r>
      <w:r w:rsidRPr="003230B7">
        <w:rPr>
          <w:b/>
          <w:bCs/>
          <w:rtl/>
        </w:rPr>
        <w:t>נפאע נ' מדינת ישראל</w:t>
      </w:r>
      <w:r>
        <w:rPr>
          <w:rtl/>
        </w:rPr>
        <w:t xml:space="preserve"> (4.12.2011)).</w:t>
      </w:r>
    </w:p>
    <w:p w14:paraId="4E93375E" w14:textId="77777777" w:rsidR="008B6E77" w:rsidRDefault="008B6E77" w:rsidP="003230B7">
      <w:pPr>
        <w:spacing w:line="360" w:lineRule="auto"/>
        <w:jc w:val="both"/>
        <w:rPr>
          <w:rtl/>
          <w:lang w:eastAsia="he-IL"/>
        </w:rPr>
      </w:pPr>
    </w:p>
    <w:p w14:paraId="00BFE346" w14:textId="77777777" w:rsidR="008B6E77" w:rsidRDefault="008B6E77" w:rsidP="003230B7">
      <w:pPr>
        <w:spacing w:line="360" w:lineRule="auto"/>
        <w:jc w:val="both"/>
        <w:rPr>
          <w:rFonts w:ascii="David" w:hAnsi="David"/>
          <w:rtl/>
        </w:rPr>
      </w:pPr>
      <w:r>
        <w:rPr>
          <w:rFonts w:ascii="David" w:hAnsi="David"/>
          <w:rtl/>
        </w:rPr>
        <w:t xml:space="preserve">לצד וכחיזוק למגמה זו, יש להזכיר את </w:t>
      </w:r>
      <w:r w:rsidRPr="00602CA4">
        <w:rPr>
          <w:rFonts w:ascii="David" w:hAnsi="David"/>
          <w:b/>
          <w:bCs/>
          <w:rtl/>
        </w:rPr>
        <w:t xml:space="preserve">תיקון </w:t>
      </w:r>
      <w:r w:rsidRPr="00122049">
        <w:rPr>
          <w:rFonts w:ascii="David" w:hAnsi="David"/>
          <w:b/>
          <w:bCs/>
          <w:color w:val="000000"/>
          <w:rtl/>
        </w:rPr>
        <w:t>מס' 140</w:t>
      </w:r>
      <w:r w:rsidRPr="005A01BB">
        <w:rPr>
          <w:rFonts w:ascii="David" w:hAnsi="David"/>
          <w:rtl/>
        </w:rPr>
        <w:t xml:space="preserve"> ל</w:t>
      </w:r>
      <w:hyperlink r:id="rId18" w:history="1">
        <w:r w:rsidR="00122049" w:rsidRPr="00122049">
          <w:rPr>
            <w:rFonts w:ascii="David" w:hAnsi="David"/>
            <w:color w:val="0000FF"/>
            <w:u w:val="single"/>
            <w:rtl/>
          </w:rPr>
          <w:t>חוק העונשין</w:t>
        </w:r>
      </w:hyperlink>
      <w:r w:rsidRPr="005A01BB">
        <w:rPr>
          <w:rFonts w:ascii="David" w:hAnsi="David"/>
          <w:rtl/>
        </w:rPr>
        <w:t>, בו נקבע כי העונש שיושת על עברייני נשק לא יפחת מרבע העונש המרבי שנקבע לאותה עבירה, אלא אם החליט בית המשפט מטעמים מיוחדים שיירשמו להקל בעונש (</w:t>
      </w:r>
      <w:hyperlink r:id="rId19" w:history="1">
        <w:r w:rsidR="006C330D" w:rsidRPr="006C330D">
          <w:rPr>
            <w:rStyle w:val="Hyperlink"/>
            <w:rFonts w:ascii="David" w:hAnsi="David"/>
            <w:color w:val="0000FF"/>
            <w:rtl/>
          </w:rPr>
          <w:t>סעיף 144(ז)</w:t>
        </w:r>
      </w:hyperlink>
      <w:r w:rsidRPr="005A01BB">
        <w:rPr>
          <w:rFonts w:ascii="David" w:hAnsi="David"/>
          <w:rtl/>
        </w:rPr>
        <w:t xml:space="preserve"> לחוק העונשין; חוק העונשין (תיקון מס' 140 – הוראת שעה), התשפ"ב-2021). בכך יש כדי לשקף את רצון המחוקק להחמיר </w:t>
      </w:r>
      <w:r>
        <w:rPr>
          <w:rFonts w:ascii="David" w:hAnsi="David"/>
          <w:rtl/>
        </w:rPr>
        <w:t>בענישה בעבירות אלו</w:t>
      </w:r>
      <w:r w:rsidRPr="005A01BB">
        <w:rPr>
          <w:rFonts w:ascii="David" w:hAnsi="David"/>
          <w:rtl/>
        </w:rPr>
        <w:t xml:space="preserve"> (ראו: </w:t>
      </w:r>
      <w:hyperlink r:id="rId20" w:history="1">
        <w:r w:rsidR="00122049" w:rsidRPr="00122049">
          <w:rPr>
            <w:rFonts w:ascii="David" w:hAnsi="David"/>
            <w:color w:val="0000FF"/>
            <w:sz w:val="28"/>
            <w:u w:val="single"/>
            <w:shd w:val="clear" w:color="auto" w:fill="FFFFFF"/>
            <w:rtl/>
          </w:rPr>
          <w:t>ע"פ 2482/22</w:t>
        </w:r>
      </w:hyperlink>
      <w:r w:rsidRPr="005A01BB">
        <w:rPr>
          <w:rFonts w:ascii="David" w:hAnsi="David"/>
          <w:sz w:val="28"/>
          <w:shd w:val="clear" w:color="auto" w:fill="FFFFFF"/>
          <w:rtl/>
        </w:rPr>
        <w:t xml:space="preserve"> </w:t>
      </w:r>
      <w:r w:rsidRPr="005A01BB">
        <w:rPr>
          <w:rFonts w:ascii="David" w:hAnsi="David"/>
          <w:bCs/>
          <w:sz w:val="22"/>
          <w:shd w:val="clear" w:color="auto" w:fill="FFFFFF"/>
          <w:rtl/>
        </w:rPr>
        <w:t>מדינת ישראל נ' קדורה</w:t>
      </w:r>
      <w:r w:rsidRPr="005A01BB">
        <w:rPr>
          <w:rFonts w:ascii="David" w:hAnsi="David"/>
          <w:sz w:val="28"/>
          <w:shd w:val="clear" w:color="auto" w:fill="FFFFFF"/>
          <w:rtl/>
        </w:rPr>
        <w:t>, פסקה 6 [נבו] (14.4.2022)</w:t>
      </w:r>
      <w:r w:rsidRPr="005A01BB">
        <w:rPr>
          <w:rFonts w:ascii="David" w:hAnsi="David"/>
          <w:rtl/>
        </w:rPr>
        <w:t>).</w:t>
      </w:r>
      <w:r>
        <w:rPr>
          <w:rFonts w:ascii="David" w:hAnsi="David"/>
          <w:rtl/>
        </w:rPr>
        <w:t xml:space="preserve"> </w:t>
      </w:r>
    </w:p>
    <w:p w14:paraId="5C7EAAE7" w14:textId="77777777" w:rsidR="008B6E77" w:rsidRDefault="008B6E77" w:rsidP="003230B7">
      <w:pPr>
        <w:spacing w:line="360" w:lineRule="auto"/>
        <w:jc w:val="both"/>
        <w:rPr>
          <w:rFonts w:ascii="David" w:hAnsi="David"/>
          <w:rtl/>
        </w:rPr>
      </w:pPr>
    </w:p>
    <w:p w14:paraId="026F3BC9" w14:textId="77777777" w:rsidR="008B6E77" w:rsidRPr="003230B7" w:rsidRDefault="008B6E77" w:rsidP="003230B7">
      <w:pPr>
        <w:spacing w:line="360" w:lineRule="auto"/>
        <w:jc w:val="both"/>
        <w:rPr>
          <w:rtl/>
        </w:rPr>
      </w:pPr>
      <w:r>
        <w:rPr>
          <w:rFonts w:ascii="David" w:hAnsi="David"/>
          <w:rtl/>
        </w:rPr>
        <w:t>עוד ו</w:t>
      </w:r>
      <w:r>
        <w:rPr>
          <w:rtl/>
        </w:rPr>
        <w:t xml:space="preserve">לאחר התיקון לחוק, עמד בית המשפט העליון על החומרה שבעבירות הנשק, ראו </w:t>
      </w:r>
      <w:hyperlink r:id="rId21" w:history="1">
        <w:r w:rsidR="00122049" w:rsidRPr="00122049">
          <w:rPr>
            <w:color w:val="0000FF"/>
            <w:u w:val="single"/>
            <w:rtl/>
          </w:rPr>
          <w:t>ע"פ 3610/23</w:t>
        </w:r>
      </w:hyperlink>
      <w:r w:rsidR="00122049">
        <w:rPr>
          <w:rtl/>
        </w:rPr>
        <w:t xml:space="preserve"> </w:t>
      </w:r>
      <w:r>
        <w:rPr>
          <w:b/>
          <w:bCs/>
          <w:rtl/>
        </w:rPr>
        <w:t>רמי גוהר נ' מדינת ישראל</w:t>
      </w:r>
      <w:r w:rsidR="00122049">
        <w:rPr>
          <w:rtl/>
        </w:rPr>
        <w:t xml:space="preserve"> </w:t>
      </w:r>
      <w:r>
        <w:rPr>
          <w:rtl/>
        </w:rPr>
        <w:t>(נבו 23.05.2024):</w:t>
      </w:r>
    </w:p>
    <w:p w14:paraId="00554120" w14:textId="77777777" w:rsidR="008B6E77" w:rsidRPr="00A070D6" w:rsidRDefault="008B6E77" w:rsidP="00A070D6">
      <w:pPr>
        <w:spacing w:line="360" w:lineRule="auto"/>
        <w:jc w:val="both"/>
        <w:rPr>
          <w:rFonts w:ascii="David" w:hAnsi="David"/>
          <w:rtl/>
        </w:rPr>
      </w:pPr>
    </w:p>
    <w:p w14:paraId="61B01775" w14:textId="77777777" w:rsidR="008B6E77" w:rsidRDefault="008B6E77" w:rsidP="003230B7">
      <w:pPr>
        <w:spacing w:line="360" w:lineRule="auto"/>
        <w:ind w:left="720"/>
        <w:jc w:val="both"/>
        <w:rPr>
          <w:b/>
          <w:bCs/>
          <w:i/>
          <w:iCs/>
          <w:rtl/>
        </w:rPr>
      </w:pPr>
      <w:r w:rsidRPr="00E052BA">
        <w:rPr>
          <w:b/>
          <w:bCs/>
          <w:rtl/>
        </w:rPr>
        <w:t>"בית משפט זה עמד פעמים רבות על החומרה היתרה שבעבירות נשק, בהן גלום פוטנציאל לפגיעה בחיי אדם וסיכון ביטחון הציבור. כפי שהזדמן לי לציין ... "אין צורך להכביר במילים על אודות החומרה הנלווית לעבירות נשק. אין היום חולקין כי עבירות מסוג זה הפכו ל"מכת מדינה" של ממש ...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2" w:history="1">
        <w:r w:rsidR="00122049" w:rsidRPr="00122049">
          <w:rPr>
            <w:b/>
            <w:bCs/>
            <w:color w:val="0000FF"/>
            <w:u w:val="single"/>
            <w:rtl/>
          </w:rPr>
          <w:t>חוק העונשין</w:t>
        </w:r>
      </w:hyperlink>
      <w:r w:rsidRPr="00E052BA">
        <w:rPr>
          <w:b/>
          <w:bCs/>
          <w:rtl/>
        </w:rPr>
        <w:t xml:space="preserve"> (חוק העונשין (תיקון מס' 140 – הוראת שעה), התשפ"ב-2021) הקובע עונשי מינימום לעבירות נשק" ... דברים אלו נכונים היום על דרך קל וחומר</w:t>
      </w:r>
      <w:r w:rsidRPr="00E052BA">
        <w:rPr>
          <w:b/>
          <w:bCs/>
        </w:rPr>
        <w:t>."</w:t>
      </w:r>
    </w:p>
    <w:p w14:paraId="3B80C222" w14:textId="77777777" w:rsidR="008B6E77" w:rsidRDefault="008B6E77" w:rsidP="00F0493D">
      <w:pPr>
        <w:spacing w:line="360" w:lineRule="auto"/>
        <w:jc w:val="both"/>
        <w:rPr>
          <w:b/>
          <w:bCs/>
          <w:i/>
          <w:iCs/>
          <w:rtl/>
        </w:rPr>
      </w:pPr>
    </w:p>
    <w:p w14:paraId="55A46BBD" w14:textId="77777777" w:rsidR="008B6E77" w:rsidRDefault="008B6E77" w:rsidP="00267D0A">
      <w:pPr>
        <w:spacing w:line="360" w:lineRule="auto"/>
        <w:jc w:val="both"/>
        <w:rPr>
          <w:rFonts w:ascii="David" w:hAnsi="David"/>
          <w:rtl/>
        </w:rPr>
      </w:pPr>
      <w:r>
        <w:rPr>
          <w:rtl/>
        </w:rPr>
        <w:t xml:space="preserve">ב"כ הנאשם הפנה לכך שחלק מהנשק שהוחזק על ידי הנאשם, נמצא ללא תחמושת מתאימה ואכן החזקת נשק ללא תחמושת היא כמובן חמורה פחות מהחזקתו עם תחמושת, לנוכח ההפחתה בפוטנציאל הנזק (ראו </w:t>
      </w:r>
      <w:hyperlink r:id="rId23" w:history="1">
        <w:r w:rsidR="00122049" w:rsidRPr="00122049">
          <w:rPr>
            <w:color w:val="0000FF"/>
            <w:u w:val="single"/>
            <w:rtl/>
          </w:rPr>
          <w:t>ע"פ 8473/13</w:t>
        </w:r>
      </w:hyperlink>
      <w:r>
        <w:rPr>
          <w:rtl/>
        </w:rPr>
        <w:t xml:space="preserve"> </w:t>
      </w:r>
      <w:r>
        <w:rPr>
          <w:b/>
          <w:bCs/>
          <w:rtl/>
        </w:rPr>
        <w:t>סאמי חוסיין נ' מדינת ישראל</w:t>
      </w:r>
      <w:r>
        <w:rPr>
          <w:rtl/>
        </w:rPr>
        <w:t xml:space="preserve"> (פורסם בנבו, 22.7.2014) ושיקול זה יילקח בחשבון בעת קביעת מתחם העונש ההולם, אם כי כבר יאמר שנשק אחד מסוג ברטה הוחזק עם כדורים מתאימים. </w:t>
      </w:r>
    </w:p>
    <w:p w14:paraId="1FC62640" w14:textId="77777777" w:rsidR="008B6E77" w:rsidRDefault="008B6E77" w:rsidP="005814B7">
      <w:pPr>
        <w:spacing w:line="360" w:lineRule="auto"/>
        <w:jc w:val="both"/>
        <w:rPr>
          <w:rFonts w:ascii="David" w:hAnsi="David"/>
          <w:b/>
          <w:bCs/>
          <w:rtl/>
        </w:rPr>
      </w:pPr>
    </w:p>
    <w:p w14:paraId="0FB63101" w14:textId="77777777" w:rsidR="008B6E77" w:rsidRDefault="008B6E77" w:rsidP="00A070D6">
      <w:pPr>
        <w:tabs>
          <w:tab w:val="left" w:pos="368"/>
        </w:tabs>
        <w:spacing w:line="360" w:lineRule="auto"/>
        <w:jc w:val="both"/>
        <w:rPr>
          <w:rFonts w:ascii="David" w:hAnsi="David"/>
          <w:rtl/>
        </w:rPr>
      </w:pPr>
      <w:r>
        <w:rPr>
          <w:rFonts w:ascii="David" w:hAnsi="David"/>
          <w:rtl/>
        </w:rPr>
        <w:t xml:space="preserve">בעניין עתירת המאשימה לגבי העלאת מתחם העונש לאור מצבור הנשק והתחמושת שהוחזקו, אל מול טיעוני ההגנה שאין לבצע מכפלות של עונש, יש להפנות </w:t>
      </w:r>
      <w:r w:rsidRPr="00310B6C">
        <w:rPr>
          <w:rFonts w:ascii="David" w:hAnsi="David"/>
          <w:rtl/>
        </w:rPr>
        <w:t>לכך שענישה אינ</w:t>
      </w:r>
      <w:r>
        <w:rPr>
          <w:rFonts w:ascii="David" w:hAnsi="David"/>
          <w:rtl/>
        </w:rPr>
        <w:t>נ</w:t>
      </w:r>
      <w:r w:rsidRPr="00310B6C">
        <w:rPr>
          <w:rFonts w:ascii="David" w:hAnsi="David"/>
          <w:rtl/>
        </w:rPr>
        <w:t>ה עניין מתמטי, והיא אינה מכפלה של מספר האירועים בהם הורשע הנאשם (</w:t>
      </w:r>
      <w:r w:rsidRPr="00122049">
        <w:rPr>
          <w:rFonts w:ascii="David" w:hAnsi="David"/>
          <w:color w:val="000000"/>
          <w:rtl/>
        </w:rPr>
        <w:t xml:space="preserve">ע"פ (מרכז) 25183-10-16 </w:t>
      </w:r>
      <w:r w:rsidRPr="00310B6C">
        <w:rPr>
          <w:rFonts w:ascii="David" w:hAnsi="David"/>
          <w:rtl/>
        </w:rPr>
        <w:t xml:space="preserve"> </w:t>
      </w:r>
      <w:r w:rsidRPr="00310B6C">
        <w:rPr>
          <w:rFonts w:ascii="David" w:hAnsi="David"/>
          <w:b/>
          <w:bCs/>
          <w:rtl/>
        </w:rPr>
        <w:t>טומשצ'וק נ' מדינת ישראל</w:t>
      </w:r>
      <w:r w:rsidRPr="00310B6C">
        <w:rPr>
          <w:rFonts w:ascii="David" w:hAnsi="David"/>
          <w:rtl/>
        </w:rPr>
        <w:t xml:space="preserve"> (1.1.</w:t>
      </w:r>
      <w:r>
        <w:rPr>
          <w:rFonts w:ascii="David" w:hAnsi="David"/>
          <w:rtl/>
        </w:rPr>
        <w:t>2017)), כך מחד, מאידך ברי הוא, שהנסיבות בהן בוצעה העבירה יש בהן כדי לשנות את המתחם, גם אם מדובר בעבירה אחת שמיוחסת לנאשם. במקרה זה הנאשם החזיק בשני תתי מקלע מאולתרים שבכוחם להמית; אקדח חצי אוטומטי מסוג ברטה שבכוחו להמית אדם; מחסנית לאקדח ברטה הטעונה בשמונה כדורים בקליבר 22; ארבעה כדורים בקליבר 22; שני רימוני הלם סנוור 7290</w:t>
      </w:r>
      <w:r>
        <w:rPr>
          <w:rFonts w:ascii="David" w:hAnsi="David"/>
        </w:rPr>
        <w:t>M</w:t>
      </w:r>
      <w:r>
        <w:rPr>
          <w:rFonts w:ascii="David" w:hAnsi="David"/>
          <w:rtl/>
        </w:rPr>
        <w:t xml:space="preserve">; רימון גז 400, מדובר בכמות נשק רבה ומגוונת ויש בכך נסיבות ביצוע רלוונטי ומשמעותי בקביעת מתחם העונש ההולם. </w:t>
      </w:r>
    </w:p>
    <w:p w14:paraId="5B82BF57" w14:textId="77777777" w:rsidR="008B6E77" w:rsidRDefault="008B6E77" w:rsidP="00267D0A">
      <w:pPr>
        <w:tabs>
          <w:tab w:val="left" w:pos="368"/>
        </w:tabs>
        <w:spacing w:line="360" w:lineRule="auto"/>
        <w:jc w:val="both"/>
        <w:rPr>
          <w:rFonts w:ascii="David" w:hAnsi="David"/>
          <w:rtl/>
        </w:rPr>
      </w:pPr>
    </w:p>
    <w:p w14:paraId="41F34D7D" w14:textId="77777777" w:rsidR="008B6E77" w:rsidRPr="0055635F" w:rsidRDefault="008B6E77" w:rsidP="00267D0A">
      <w:pPr>
        <w:tabs>
          <w:tab w:val="left" w:pos="368"/>
        </w:tabs>
        <w:spacing w:line="360" w:lineRule="auto"/>
        <w:jc w:val="both"/>
        <w:rPr>
          <w:rFonts w:ascii="David" w:hAnsi="David"/>
          <w:rtl/>
        </w:rPr>
      </w:pPr>
      <w:r>
        <w:rPr>
          <w:rFonts w:ascii="David" w:hAnsi="David"/>
          <w:rtl/>
        </w:rPr>
        <w:t xml:space="preserve">על פי נסיבות העבירה כפי שהורשע בהן הנאשם, הרי שהפגיעה בערכים המוגנים הינם ברף </w:t>
      </w:r>
      <w:r w:rsidRPr="0055649C">
        <w:rPr>
          <w:rFonts w:ascii="David" w:hAnsi="David"/>
          <w:b/>
          <w:bCs/>
          <w:rtl/>
        </w:rPr>
        <w:t>הבינוני-</w:t>
      </w:r>
      <w:r>
        <w:rPr>
          <w:rFonts w:ascii="David" w:hAnsi="David"/>
          <w:rtl/>
        </w:rPr>
        <w:t xml:space="preserve"> </w:t>
      </w:r>
      <w:r w:rsidRPr="0055649C">
        <w:rPr>
          <w:rFonts w:ascii="David" w:hAnsi="David"/>
          <w:b/>
          <w:bCs/>
          <w:rtl/>
        </w:rPr>
        <w:t>עליון</w:t>
      </w:r>
      <w:r>
        <w:rPr>
          <w:rFonts w:ascii="David" w:hAnsi="David"/>
          <w:rtl/>
        </w:rPr>
        <w:t xml:space="preserve"> ובהתחשב בכך, שלחלק מכלי הנשק לא הייתה תחמושת מתאימה.</w:t>
      </w:r>
    </w:p>
    <w:p w14:paraId="2DF088EE" w14:textId="77777777" w:rsidR="008B6E77" w:rsidRPr="00821B68" w:rsidRDefault="008B6E77" w:rsidP="00C30E32">
      <w:pPr>
        <w:spacing w:line="360" w:lineRule="auto"/>
        <w:jc w:val="both"/>
        <w:rPr>
          <w:rtl/>
        </w:rPr>
      </w:pPr>
    </w:p>
    <w:p w14:paraId="7FC1E81A" w14:textId="77777777" w:rsidR="008B6E77" w:rsidRDefault="008B6E77" w:rsidP="00A6167F">
      <w:pPr>
        <w:spacing w:line="360" w:lineRule="auto"/>
        <w:jc w:val="both"/>
        <w:rPr>
          <w:b/>
          <w:bCs/>
          <w:rtl/>
        </w:rPr>
      </w:pPr>
    </w:p>
    <w:p w14:paraId="4CF21EE3" w14:textId="77777777" w:rsidR="008B6E77" w:rsidRDefault="008B6E77" w:rsidP="00A6167F">
      <w:pPr>
        <w:spacing w:line="360" w:lineRule="auto"/>
        <w:jc w:val="both"/>
        <w:rPr>
          <w:b/>
          <w:bCs/>
          <w:rtl/>
        </w:rPr>
      </w:pPr>
    </w:p>
    <w:p w14:paraId="7F97C49A" w14:textId="77777777" w:rsidR="008B6E77" w:rsidRPr="00A6167F" w:rsidRDefault="008B6E77" w:rsidP="00A6167F">
      <w:pPr>
        <w:spacing w:line="360" w:lineRule="auto"/>
        <w:jc w:val="both"/>
        <w:rPr>
          <w:rtl/>
        </w:rPr>
      </w:pPr>
      <w:r>
        <w:rPr>
          <w:b/>
          <w:bCs/>
          <w:rtl/>
        </w:rPr>
        <w:t>מדיניות הענישה ומתחם העונש ההולם</w:t>
      </w:r>
      <w:r>
        <w:rPr>
          <w:rtl/>
        </w:rPr>
        <w:t xml:space="preserve"> </w:t>
      </w:r>
    </w:p>
    <w:p w14:paraId="7C5E357D" w14:textId="77777777" w:rsidR="008B6E77" w:rsidRDefault="00122049" w:rsidP="00181B80">
      <w:pPr>
        <w:pStyle w:val="a"/>
        <w:ind w:left="141"/>
        <w:jc w:val="both"/>
        <w:rPr>
          <w:rtl/>
        </w:rPr>
      </w:pPr>
      <w:hyperlink r:id="rId24" w:history="1">
        <w:r w:rsidRPr="00122049">
          <w:rPr>
            <w:color w:val="0000FF"/>
            <w:u w:val="single"/>
            <w:rtl/>
          </w:rPr>
          <w:t>רע"פ 3278/23</w:t>
        </w:r>
      </w:hyperlink>
      <w:r w:rsidR="008B6E77">
        <w:rPr>
          <w:rtl/>
        </w:rPr>
        <w:t xml:space="preserve"> </w:t>
      </w:r>
      <w:r w:rsidR="008B6E77" w:rsidRPr="00181B80">
        <w:rPr>
          <w:b/>
          <w:bCs/>
          <w:rtl/>
        </w:rPr>
        <w:t>ולדיסלב מיכאלוב נ' מדינת ישראל</w:t>
      </w:r>
      <w:r w:rsidR="008B6E77">
        <w:rPr>
          <w:rtl/>
        </w:rPr>
        <w:t xml:space="preserve"> (פורסם בנבו, 02.05.2023) - נאשם הורשע על פי הודאתו בעבירות החזקת נשק וסמים; אקדח 9 מ"מ עם כדור טעון, 2 כדורים נוספים במחסנית ו-2 כדורים נוספים בודדים. ובנוסף נתפסו כ-50 גרם קנביס. </w:t>
      </w:r>
      <w:r w:rsidR="008B6E77" w:rsidRPr="00181B80">
        <w:rPr>
          <w:b/>
          <w:bCs/>
          <w:rtl/>
        </w:rPr>
        <w:t>המתחם הנפרד שנקבע להחזקת הנשק נע בין 10 ל-30 חודשי מאסר</w:t>
      </w:r>
      <w:r w:rsidR="008B6E77">
        <w:rPr>
          <w:rtl/>
        </w:rPr>
        <w:t>. הערכאה הדיונית, חרגה ממתחם העונש משיקולי שיקום וגזרה על הנאשם 9 חודשי עבודות שירות. ערעור המדינה התקבל והנאשם נדון ל-10 חודשי מאסר בשל אי מיצוי הדין. בקשת רשות הערעור נדחתה.</w:t>
      </w:r>
    </w:p>
    <w:p w14:paraId="4536EBD4" w14:textId="77777777" w:rsidR="008B6E77" w:rsidRDefault="00122049" w:rsidP="006812DC">
      <w:pPr>
        <w:pStyle w:val="a"/>
        <w:ind w:left="141"/>
        <w:jc w:val="both"/>
        <w:rPr>
          <w:rtl/>
        </w:rPr>
      </w:pPr>
      <w:hyperlink r:id="rId25" w:history="1">
        <w:r w:rsidRPr="00122049">
          <w:rPr>
            <w:color w:val="0000FF"/>
            <w:u w:val="single"/>
            <w:rtl/>
          </w:rPr>
          <w:t>רע"פ 2919/22</w:t>
        </w:r>
      </w:hyperlink>
      <w:r w:rsidR="008B6E77">
        <w:rPr>
          <w:rtl/>
        </w:rPr>
        <w:t xml:space="preserve"> </w:t>
      </w:r>
      <w:r w:rsidR="008B6E77" w:rsidRPr="00761A4B">
        <w:rPr>
          <w:b/>
          <w:bCs/>
          <w:rtl/>
        </w:rPr>
        <w:t>עלי שעבאן נ' מדינת ישראל</w:t>
      </w:r>
      <w:r w:rsidR="008B6E77">
        <w:rPr>
          <w:rtl/>
        </w:rPr>
        <w:t xml:space="preserve"> (פורסם בנבו, 01.08.2022) - הנאשם הורשע לאחר שמיעת ראיות בעבירות החזקת נשק ותחמושת ושיבוש הליכי משפט, עת השליך אקדח טעון מסוג "יריחו" עם מחסנית ו-16 כדורים, כשהבחין בכוח משטרתי. </w:t>
      </w:r>
      <w:r w:rsidR="008B6E77" w:rsidRPr="00761A4B">
        <w:rPr>
          <w:b/>
          <w:bCs/>
          <w:rtl/>
        </w:rPr>
        <w:t>המתחם שנקבע נע בין 12 ל-36 חודשי מאסר</w:t>
      </w:r>
      <w:r w:rsidR="008B6E77">
        <w:rPr>
          <w:rtl/>
        </w:rPr>
        <w:t>. בשל עבר פלילי מכביד נדון הנאשם ל-20 חודשי מאסר. בית-המשפט המחוזי הקל את עונשו של הנאשם ל-15 חודשי מאסר בין היתר בשל כך שכניסת השוטרים לביתו של הנאשם בוצעה שלא כדין. בקשת הרשות לערעור נדחתה.</w:t>
      </w:r>
    </w:p>
    <w:p w14:paraId="670201C0" w14:textId="77777777" w:rsidR="008B6E77" w:rsidRPr="002103DB" w:rsidRDefault="00122049" w:rsidP="005603B8">
      <w:pPr>
        <w:pStyle w:val="a"/>
        <w:ind w:left="141"/>
        <w:jc w:val="both"/>
        <w:rPr>
          <w:rStyle w:val="Hyperlink"/>
          <w:color w:val="auto"/>
          <w:u w:val="none"/>
        </w:rPr>
      </w:pPr>
      <w:hyperlink r:id="rId26" w:history="1">
        <w:r w:rsidRPr="00122049">
          <w:rPr>
            <w:rStyle w:val="Hyperlink"/>
            <w:color w:val="0000FF"/>
            <w:rtl/>
          </w:rPr>
          <w:t>רע"פ 6265/20</w:t>
        </w:r>
      </w:hyperlink>
      <w:r w:rsidR="008B6E77" w:rsidRPr="002103DB">
        <w:rPr>
          <w:rStyle w:val="Hyperlink"/>
          <w:color w:val="auto"/>
          <w:u w:val="none"/>
          <w:rtl/>
        </w:rPr>
        <w:t xml:space="preserve"> </w:t>
      </w:r>
      <w:r w:rsidR="008B6E77" w:rsidRPr="002103DB">
        <w:rPr>
          <w:rStyle w:val="Hyperlink"/>
          <w:b/>
          <w:bCs/>
          <w:color w:val="auto"/>
          <w:u w:val="none"/>
          <w:rtl/>
        </w:rPr>
        <w:t>אבו אלקיעאן נ' מדינת ישראל</w:t>
      </w:r>
      <w:r w:rsidR="008B6E77" w:rsidRPr="002103DB">
        <w:rPr>
          <w:rStyle w:val="Hyperlink"/>
          <w:color w:val="auto"/>
          <w:u w:val="none"/>
          <w:rtl/>
        </w:rPr>
        <w:t xml:space="preserve"> (פורסם בנבו, 15.09.2020) - הנאשם הורשע לאחר שמיעת ראיות בהחזקת נשק ותחמושת, בכך שהחזיק מתחת לכיסא הנהג ברכבו אקדח מסוג ברטה בצירוף מחסנית ובה כדורים</w:t>
      </w:r>
      <w:r w:rsidR="008B6E77" w:rsidRPr="002103DB">
        <w:rPr>
          <w:rStyle w:val="Hyperlink"/>
          <w:b/>
          <w:bCs/>
          <w:color w:val="auto"/>
          <w:u w:val="none"/>
          <w:rtl/>
        </w:rPr>
        <w:t>. המתחם שנקבע נע בין 15 ל-30 חודשי מאסר</w:t>
      </w:r>
      <w:r w:rsidR="008B6E77" w:rsidRPr="002103DB">
        <w:rPr>
          <w:rStyle w:val="Hyperlink"/>
          <w:color w:val="auto"/>
          <w:u w:val="none"/>
          <w:rtl/>
        </w:rPr>
        <w:t>. בהעדר עבר פלילי ושלל נסיבות מקלות, נדון הנאשם ל-15 חודשי מאסר. בית-המשפט המחוזי קיבל לידיו תסקיר נוסף ולפנים משורת הדין הקל את עונשו של הנאשם לכדי 12 חודשי מאסר. בקשת הרשות לערעור נדחתה.</w:t>
      </w:r>
    </w:p>
    <w:p w14:paraId="530A0581" w14:textId="77777777" w:rsidR="008B6E77" w:rsidRDefault="00122049" w:rsidP="005603B8">
      <w:pPr>
        <w:pStyle w:val="a"/>
        <w:ind w:left="141"/>
        <w:jc w:val="both"/>
        <w:rPr>
          <w:rtl/>
        </w:rPr>
      </w:pPr>
      <w:hyperlink r:id="rId27" w:history="1">
        <w:r w:rsidRPr="00122049">
          <w:rPr>
            <w:color w:val="0000FF"/>
            <w:u w:val="single"/>
            <w:rtl/>
          </w:rPr>
          <w:t>רע"פ 5613/20</w:t>
        </w:r>
      </w:hyperlink>
      <w:r w:rsidR="008B6E77">
        <w:rPr>
          <w:rtl/>
        </w:rPr>
        <w:t xml:space="preserve"> </w:t>
      </w:r>
      <w:r w:rsidR="008B6E77" w:rsidRPr="00761A4B">
        <w:rPr>
          <w:b/>
          <w:bCs/>
          <w:rtl/>
        </w:rPr>
        <w:t>אלהוזייל נ' מדינת ישראל</w:t>
      </w:r>
      <w:r w:rsidR="008B6E77">
        <w:rPr>
          <w:rtl/>
        </w:rPr>
        <w:t xml:space="preserve"> (פורסם בנבו, 25.08.2020) - הנאשם הורשע על פי הודאתו בעבירות החזקת נשק ותחמושת, בכך שהחזיק במקום מגוריו אקדח מסוג </w:t>
      </w:r>
      <w:r w:rsidR="008B6E77">
        <w:t>FN</w:t>
      </w:r>
      <w:r w:rsidR="008B6E77">
        <w:rPr>
          <w:rtl/>
        </w:rPr>
        <w:t xml:space="preserve"> בקוטר 9 מ"מ ו-20 כדורים בקוטר זהה. </w:t>
      </w:r>
      <w:r w:rsidR="008B6E77" w:rsidRPr="00761A4B">
        <w:rPr>
          <w:b/>
          <w:bCs/>
          <w:rtl/>
        </w:rPr>
        <w:t>המתחם שנקבע נע בין 11 ל-30 חודשי מאסר</w:t>
      </w:r>
      <w:r w:rsidR="008B6E77">
        <w:rPr>
          <w:rtl/>
        </w:rPr>
        <w:t>. בשל שלל נסיבות מקלות, נדון הנאשם ל-12 חודשי מאסר. הן הערעור והן בקשת הרשות לערעור נדחו.</w:t>
      </w:r>
    </w:p>
    <w:p w14:paraId="42820F23" w14:textId="77777777" w:rsidR="008B6E77" w:rsidRDefault="00122049" w:rsidP="005603B8">
      <w:pPr>
        <w:pStyle w:val="a"/>
        <w:ind w:left="141"/>
        <w:jc w:val="both"/>
        <w:rPr>
          <w:rtl/>
        </w:rPr>
      </w:pPr>
      <w:hyperlink r:id="rId28" w:history="1">
        <w:r w:rsidRPr="00122049">
          <w:rPr>
            <w:color w:val="0000FF"/>
            <w:u w:val="single"/>
            <w:rtl/>
          </w:rPr>
          <w:t>עפ"ג 15295-08-23</w:t>
        </w:r>
      </w:hyperlink>
      <w:r w:rsidR="008B6E77">
        <w:rPr>
          <w:rtl/>
        </w:rPr>
        <w:t xml:space="preserve"> </w:t>
      </w:r>
      <w:r w:rsidR="008B6E77" w:rsidRPr="004415C5">
        <w:rPr>
          <w:b/>
          <w:bCs/>
          <w:rtl/>
        </w:rPr>
        <w:t>אלגרינאוי נ' מדינת ישראל</w:t>
      </w:r>
      <w:r w:rsidR="008B6E77">
        <w:rPr>
          <w:rtl/>
        </w:rPr>
        <w:t xml:space="preserve"> (פורסם בנבו, 10.1.2024) - הנאשם הורשע על פי הודאתו בעבירה של החזקת נשק. כאשר </w:t>
      </w:r>
      <w:r w:rsidR="008B6E77" w:rsidRPr="00736611">
        <w:rPr>
          <w:rtl/>
        </w:rPr>
        <w:t xml:space="preserve">במסגרת חיפוש שנערך בביתו של הנאשם נתפס נשק דמוי רובה סער מסוג </w:t>
      </w:r>
      <w:r w:rsidR="008B6E77" w:rsidRPr="00736611">
        <w:t>M-16</w:t>
      </w:r>
      <w:r w:rsidR="008B6E77" w:rsidRPr="00736611">
        <w:rPr>
          <w:rtl/>
        </w:rPr>
        <w:t xml:space="preserve"> – רובה אוויר שהוסב לירי תחמושת בקליבר 5.56*45. כן, נתפסו שלוש מחסניות המכילות כמה עשרות כדורי 5.56 מ״מ. </w:t>
      </w:r>
      <w:r w:rsidR="008B6E77" w:rsidRPr="004415C5">
        <w:rPr>
          <w:b/>
          <w:bCs/>
          <w:rtl/>
        </w:rPr>
        <w:t xml:space="preserve">נקבע עונש הולם שנע בין </w:t>
      </w:r>
      <w:r w:rsidR="008B6E77">
        <w:rPr>
          <w:b/>
          <w:bCs/>
          <w:rtl/>
        </w:rPr>
        <w:t xml:space="preserve">20- 40 </w:t>
      </w:r>
      <w:r w:rsidR="008B6E77" w:rsidRPr="004415C5">
        <w:rPr>
          <w:b/>
          <w:bCs/>
          <w:rtl/>
        </w:rPr>
        <w:t>חודשים</w:t>
      </w:r>
      <w:r w:rsidR="008B6E77" w:rsidRPr="00736611">
        <w:rPr>
          <w:rtl/>
        </w:rPr>
        <w:t>, ונגזרו על הנאשם 29 חודשי מאסר בפועל בניכוי ימי מעצרו, כמו גם מאסר על תנאי וקנס בסך 7,000 ש״ח.</w:t>
      </w:r>
      <w:r w:rsidR="008B6E77">
        <w:rPr>
          <w:rtl/>
        </w:rPr>
        <w:t xml:space="preserve"> במסגרת הערעור הוקל עונשו של הנאשם ל- 26 חודשי מאסר נוכח נסיבותיו האישיות והרפואיות של הנאשם, יחד עם זאת נקבע </w:t>
      </w:r>
      <w:r w:rsidR="008B6E77" w:rsidRPr="005603B8">
        <w:rPr>
          <w:b/>
          <w:bCs/>
          <w:rtl/>
        </w:rPr>
        <w:t>כי המתחם שנקבע ראוי</w:t>
      </w:r>
      <w:r w:rsidR="008B6E77">
        <w:rPr>
          <w:rtl/>
        </w:rPr>
        <w:t xml:space="preserve">. </w:t>
      </w:r>
    </w:p>
    <w:p w14:paraId="128B936D" w14:textId="77777777" w:rsidR="008B6E77" w:rsidRDefault="00122049" w:rsidP="005603B8">
      <w:pPr>
        <w:pStyle w:val="a"/>
        <w:ind w:left="141"/>
        <w:jc w:val="both"/>
        <w:rPr>
          <w:rtl/>
        </w:rPr>
      </w:pPr>
      <w:hyperlink r:id="rId29" w:history="1">
        <w:r w:rsidRPr="00122049">
          <w:rPr>
            <w:color w:val="0000FF"/>
            <w:u w:val="single"/>
            <w:rtl/>
          </w:rPr>
          <w:t>עפ"ג (מחוזי ב"ש) 50590-12-22</w:t>
        </w:r>
      </w:hyperlink>
      <w:r w:rsidR="008B6E77">
        <w:rPr>
          <w:rtl/>
        </w:rPr>
        <w:t xml:space="preserve"> </w:t>
      </w:r>
      <w:r w:rsidR="008B6E77" w:rsidRPr="00761A4B">
        <w:rPr>
          <w:b/>
          <w:bCs/>
          <w:rtl/>
        </w:rPr>
        <w:t>באדר אלסייד נ' מדינת ישראל</w:t>
      </w:r>
      <w:r w:rsidR="008B6E77">
        <w:rPr>
          <w:rtl/>
        </w:rPr>
        <w:t xml:space="preserve"> (פורסם בנבו, 20.03.2023) - הנאשם הורשע על פי הודאתו בהחזקת נשק, בכך שהחזיק במחסן הסמוך לביתו אקדח </w:t>
      </w:r>
      <w:r w:rsidR="008B6E77">
        <w:t>TAURUS</w:t>
      </w:r>
      <w:r w:rsidR="008B6E77">
        <w:rPr>
          <w:rtl/>
        </w:rPr>
        <w:t xml:space="preserve"> בקוטר 9 מ"מ ומחסנית. </w:t>
      </w:r>
      <w:r w:rsidR="008B6E77" w:rsidRPr="00761A4B">
        <w:rPr>
          <w:b/>
          <w:bCs/>
          <w:rtl/>
        </w:rPr>
        <w:t>המתחם שנקבע נע בין 13 ל-36 חודשי מאסר</w:t>
      </w:r>
      <w:r w:rsidR="008B6E77">
        <w:rPr>
          <w:rtl/>
        </w:rPr>
        <w:t>. בשל נסיבות מקלות, נדון הנאשם ל-14 חודשי מאסר. בדחיית ערעורו של הנאשם, ציין בית-המשפט המחוזי כי מתחם העונש שנקבע מתאים לנסיבות וכי הענישה הסופית מקלה עם המערער.</w:t>
      </w:r>
    </w:p>
    <w:p w14:paraId="0FA36AAF" w14:textId="77777777" w:rsidR="008B6E77" w:rsidRPr="00EC5614" w:rsidRDefault="00122049" w:rsidP="005603B8">
      <w:pPr>
        <w:pStyle w:val="a"/>
        <w:ind w:left="141"/>
        <w:jc w:val="both"/>
        <w:rPr>
          <w:b/>
          <w:bCs/>
        </w:rPr>
      </w:pPr>
      <w:hyperlink r:id="rId30" w:history="1">
        <w:r w:rsidRPr="00122049">
          <w:rPr>
            <w:color w:val="0000FF"/>
            <w:u w:val="single"/>
            <w:rtl/>
          </w:rPr>
          <w:t>עפ"ג (מחוזי ב"ש) 25700-08-22</w:t>
        </w:r>
      </w:hyperlink>
      <w:r w:rsidR="008B6E77">
        <w:rPr>
          <w:rtl/>
        </w:rPr>
        <w:t xml:space="preserve"> </w:t>
      </w:r>
      <w:r w:rsidR="008B6E77" w:rsidRPr="00761A4B">
        <w:rPr>
          <w:b/>
          <w:bCs/>
          <w:rtl/>
        </w:rPr>
        <w:t>זהר אלבחירי נ' מדינת ישראל</w:t>
      </w:r>
      <w:r w:rsidR="008B6E77">
        <w:rPr>
          <w:rtl/>
        </w:rPr>
        <w:t xml:space="preserve"> (פורסם בנבו, 07.12.2022) - הנאשם הורשע על פי הודאתו בהחזקת נשק ותחמושת, בכך שהחזיק בקופסת מתכת מעל ארונות המטבח באקדח </w:t>
      </w:r>
      <w:r w:rsidR="008B6E77">
        <w:t>FN</w:t>
      </w:r>
      <w:r w:rsidR="008B6E77">
        <w:rPr>
          <w:rtl/>
        </w:rPr>
        <w:t xml:space="preserve"> עם שתי מחסניות ו-213 כדורי 9 מ"מ. </w:t>
      </w:r>
      <w:r w:rsidR="008B6E77" w:rsidRPr="00EC5614">
        <w:rPr>
          <w:b/>
          <w:bCs/>
          <w:rtl/>
        </w:rPr>
        <w:t>המתחם שנקבע נע בין 12 ל-36 חודשי מאסר</w:t>
      </w:r>
      <w:r w:rsidR="008B6E77">
        <w:rPr>
          <w:rtl/>
        </w:rPr>
        <w:t>.</w:t>
      </w:r>
      <w:r w:rsidR="008B6E77" w:rsidRPr="00EC5614">
        <w:rPr>
          <w:b/>
          <w:bCs/>
          <w:rtl/>
        </w:rPr>
        <w:t xml:space="preserve"> </w:t>
      </w:r>
      <w:r w:rsidR="008B6E77" w:rsidRPr="00EC5614">
        <w:rPr>
          <w:rtl/>
        </w:rPr>
        <w:t>בשל שיקולי הרתעה וחרף היעדר עבר פלילי, נדון הנאשם ל-18 חודשי מאסר.</w:t>
      </w:r>
      <w:r w:rsidR="008B6E77">
        <w:rPr>
          <w:rtl/>
        </w:rPr>
        <w:t xml:space="preserve"> </w:t>
      </w:r>
    </w:p>
    <w:p w14:paraId="0B4063E4" w14:textId="77777777" w:rsidR="008B6E77" w:rsidRDefault="00122049" w:rsidP="005603B8">
      <w:pPr>
        <w:pStyle w:val="a"/>
        <w:ind w:left="141"/>
        <w:jc w:val="both"/>
        <w:rPr>
          <w:rtl/>
        </w:rPr>
      </w:pPr>
      <w:hyperlink r:id="rId31" w:history="1">
        <w:r w:rsidRPr="00122049">
          <w:rPr>
            <w:color w:val="0000FF"/>
            <w:u w:val="single"/>
            <w:rtl/>
          </w:rPr>
          <w:t>ע"פ 1806/22</w:t>
        </w:r>
      </w:hyperlink>
      <w:r w:rsidR="008B6E77">
        <w:rPr>
          <w:rtl/>
        </w:rPr>
        <w:t xml:space="preserve"> </w:t>
      </w:r>
      <w:r w:rsidR="008B6E77" w:rsidRPr="00761A4B">
        <w:rPr>
          <w:b/>
          <w:bCs/>
          <w:rtl/>
        </w:rPr>
        <w:t>עאדל נבארי נ' מדינת ישראל</w:t>
      </w:r>
      <w:r w:rsidR="008B6E77">
        <w:rPr>
          <w:rtl/>
        </w:rPr>
        <w:t xml:space="preserve"> (פורסם בנבו, 15.06.2022) - הנאשם הורשע על פי הודאתו בהחזקת נשק ותחמושת בכך שהחזיק ברכב אקדח </w:t>
      </w:r>
      <w:r w:rsidR="008B6E77">
        <w:t>FN</w:t>
      </w:r>
      <w:r w:rsidR="008B6E77">
        <w:rPr>
          <w:rtl/>
        </w:rPr>
        <w:t xml:space="preserve"> טעון במחסנית ובה 12 כדורי 9 מ"מ. </w:t>
      </w:r>
      <w:r w:rsidR="008B6E77">
        <w:rPr>
          <w:b/>
          <w:bCs/>
          <w:rtl/>
        </w:rPr>
        <w:t xml:space="preserve">המתחם שנקבע בבית </w:t>
      </w:r>
      <w:r w:rsidR="008B6E77" w:rsidRPr="00761A4B">
        <w:rPr>
          <w:b/>
          <w:bCs/>
          <w:rtl/>
        </w:rPr>
        <w:t>המשפט המחוזי נע בין 15 ל-36 חודשי מאסר</w:t>
      </w:r>
      <w:r w:rsidR="008B6E77">
        <w:rPr>
          <w:rtl/>
        </w:rPr>
        <w:t>. על הנאשם נגזרו 20 חודשי מאסר. במסגרת ערעורו, מצא בית המשפט העליון כי יש מקום להקלה מסוימת וגזר דינו ל-16 חודשי מאסר.</w:t>
      </w:r>
    </w:p>
    <w:p w14:paraId="4044CAAA" w14:textId="77777777" w:rsidR="008B6E77" w:rsidRDefault="00122049" w:rsidP="005603B8">
      <w:pPr>
        <w:pStyle w:val="a"/>
        <w:ind w:left="141" w:hanging="272"/>
        <w:jc w:val="both"/>
        <w:rPr>
          <w:rtl/>
        </w:rPr>
      </w:pPr>
      <w:hyperlink r:id="rId32" w:history="1">
        <w:r w:rsidRPr="00122049">
          <w:rPr>
            <w:color w:val="0000FF"/>
            <w:u w:val="single"/>
            <w:rtl/>
          </w:rPr>
          <w:t>ע"פ 5813/21</w:t>
        </w:r>
      </w:hyperlink>
      <w:r w:rsidR="008B6E77">
        <w:rPr>
          <w:rtl/>
        </w:rPr>
        <w:t xml:space="preserve"> </w:t>
      </w:r>
      <w:r w:rsidR="008B6E77" w:rsidRPr="005B2E9A">
        <w:rPr>
          <w:b/>
          <w:bCs/>
          <w:rtl/>
        </w:rPr>
        <w:t xml:space="preserve">ג'בארין נ' מדינת ישראל </w:t>
      </w:r>
      <w:r w:rsidR="008B6E77">
        <w:rPr>
          <w:rtl/>
        </w:rPr>
        <w:t xml:space="preserve">(פורסם בנבו, 31.5.2022) - המערערים הורשעו על יסוד הודאתם בעבירה של החזקת נשק בכך שבחיפוש שנערך ברכבם נמצא רובה ציד מסוג פנטום, שהיה טעון בשני כדורים תואמים, בצירוף חגורת תחמושת ובה 17 כדורים תואמים. </w:t>
      </w:r>
      <w:r w:rsidR="008B6E77" w:rsidRPr="00EC5614">
        <w:rPr>
          <w:b/>
          <w:bCs/>
          <w:rtl/>
        </w:rPr>
        <w:t>בית המשפט המחוזי קבע מתחם ענישה שנע בין 12 ל- 36 חודשי מאסר</w:t>
      </w:r>
      <w:r w:rsidR="008B6E77">
        <w:rPr>
          <w:rtl/>
        </w:rPr>
        <w:t xml:space="preserve"> והשית על מערער 1 עונש של 18 חודשי מאסר ועל מערער 2 עונש של 21 חודשי מאסר. ערעור שהוגש לבית המשפט העליון נדחה. </w:t>
      </w:r>
    </w:p>
    <w:p w14:paraId="2A1FB560" w14:textId="77777777" w:rsidR="008B6E77" w:rsidRDefault="008B6E77" w:rsidP="005D00A9">
      <w:pPr>
        <w:spacing w:line="360" w:lineRule="auto"/>
        <w:jc w:val="both"/>
        <w:rPr>
          <w:rFonts w:ascii="David" w:hAnsi="David"/>
          <w:rtl/>
        </w:rPr>
      </w:pPr>
    </w:p>
    <w:p w14:paraId="1D7DE0A5" w14:textId="77777777" w:rsidR="008B6E77" w:rsidRDefault="008B6E77" w:rsidP="005D00A9">
      <w:pPr>
        <w:spacing w:line="360" w:lineRule="auto"/>
        <w:jc w:val="both"/>
        <w:rPr>
          <w:rFonts w:ascii="David" w:hAnsi="David"/>
          <w:rtl/>
        </w:rPr>
      </w:pPr>
      <w:r w:rsidRPr="009A36EB">
        <w:rPr>
          <w:rFonts w:ascii="David" w:hAnsi="David"/>
          <w:u w:val="single"/>
          <w:rtl/>
        </w:rPr>
        <w:t xml:space="preserve">עיינתי </w:t>
      </w:r>
      <w:r>
        <w:rPr>
          <w:rFonts w:ascii="David" w:hAnsi="David"/>
          <w:u w:val="single"/>
          <w:rtl/>
        </w:rPr>
        <w:t xml:space="preserve">אף </w:t>
      </w:r>
      <w:r w:rsidRPr="009A36EB">
        <w:rPr>
          <w:rFonts w:ascii="David" w:hAnsi="David"/>
          <w:u w:val="single"/>
          <w:rtl/>
        </w:rPr>
        <w:t>בפסיקה שהוגשה ע"י הצדדים</w:t>
      </w:r>
      <w:r>
        <w:rPr>
          <w:rFonts w:ascii="David" w:hAnsi="David"/>
          <w:rtl/>
        </w:rPr>
        <w:t xml:space="preserve">: </w:t>
      </w:r>
    </w:p>
    <w:p w14:paraId="011FD956" w14:textId="77777777" w:rsidR="008B6E77" w:rsidRDefault="008B6E77" w:rsidP="005D00A9">
      <w:pPr>
        <w:spacing w:line="360" w:lineRule="auto"/>
        <w:jc w:val="both"/>
        <w:rPr>
          <w:rFonts w:ascii="David" w:hAnsi="David"/>
          <w:rtl/>
        </w:rPr>
      </w:pPr>
    </w:p>
    <w:p w14:paraId="3DE15EFB" w14:textId="77777777" w:rsidR="008B6E77" w:rsidRDefault="008B6E77" w:rsidP="0045276A">
      <w:pPr>
        <w:spacing w:line="360" w:lineRule="auto"/>
        <w:jc w:val="both"/>
        <w:rPr>
          <w:rFonts w:ascii="David" w:hAnsi="David"/>
          <w:rtl/>
        </w:rPr>
      </w:pPr>
      <w:r w:rsidRPr="009F7106">
        <w:rPr>
          <w:rFonts w:ascii="David" w:hAnsi="David"/>
          <w:b/>
          <w:bCs/>
          <w:rtl/>
        </w:rPr>
        <w:t>פסיקה שהוגשה ע"י המאשימה</w:t>
      </w:r>
      <w:r>
        <w:rPr>
          <w:rFonts w:ascii="David" w:hAnsi="David"/>
          <w:rtl/>
        </w:rPr>
        <w:t>:</w:t>
      </w:r>
    </w:p>
    <w:p w14:paraId="0A059981" w14:textId="77777777" w:rsidR="008B6E77" w:rsidRPr="009F7106" w:rsidRDefault="00122049" w:rsidP="009F7106">
      <w:pPr>
        <w:pStyle w:val="a"/>
        <w:ind w:left="141"/>
        <w:jc w:val="both"/>
      </w:pPr>
      <w:hyperlink r:id="rId33" w:history="1">
        <w:r w:rsidRPr="00122049">
          <w:rPr>
            <w:color w:val="0000FF"/>
            <w:u w:val="single"/>
            <w:rtl/>
          </w:rPr>
          <w:t>ע"פ 166/22</w:t>
        </w:r>
      </w:hyperlink>
      <w:r w:rsidR="008B6E77" w:rsidRPr="009F7106">
        <w:rPr>
          <w:rtl/>
        </w:rPr>
        <w:t xml:space="preserve"> </w:t>
      </w:r>
      <w:r w:rsidR="008B6E77" w:rsidRPr="009F7106">
        <w:rPr>
          <w:b/>
          <w:bCs/>
          <w:rtl/>
        </w:rPr>
        <w:t>מוחמד טאהא נ' מדינת ישראל</w:t>
      </w:r>
      <w:r w:rsidR="008B6E77" w:rsidRPr="009F7106">
        <w:rPr>
          <w:rtl/>
        </w:rPr>
        <w:t xml:space="preserve"> (1.6.2022) - הנאשם </w:t>
      </w:r>
      <w:r w:rsidR="008B6E77">
        <w:rPr>
          <w:rtl/>
        </w:rPr>
        <w:t xml:space="preserve">הורשע בהחזקת נשק, תת מקלע מאולתר, </w:t>
      </w:r>
      <w:r w:rsidR="008B6E77" w:rsidRPr="009F7106">
        <w:rPr>
          <w:rtl/>
        </w:rPr>
        <w:t>לשם העברתו במכוניתו לביתו של האחר</w:t>
      </w:r>
      <w:r w:rsidR="008B6E77">
        <w:rPr>
          <w:rtl/>
        </w:rPr>
        <w:t xml:space="preserve"> ולבקשת האחר</w:t>
      </w:r>
      <w:r w:rsidR="008B6E77" w:rsidRPr="009F7106">
        <w:rPr>
          <w:rtl/>
        </w:rPr>
        <w:t xml:space="preserve">. בית המשפט קבע מתחם ענישה שנע מ-20 חודשים ועד 40 חודשים ונגזרו על הנאשם 22 חודשי מאסר בפועל לצד ענישה נלווית. ערעור שהגיש הנאשם נדחה. </w:t>
      </w:r>
    </w:p>
    <w:p w14:paraId="13DEB266" w14:textId="77777777" w:rsidR="008B6E77" w:rsidRPr="009F7106" w:rsidRDefault="00122049" w:rsidP="0064403C">
      <w:pPr>
        <w:pStyle w:val="a"/>
        <w:ind w:left="141"/>
        <w:jc w:val="both"/>
      </w:pPr>
      <w:hyperlink r:id="rId34" w:history="1">
        <w:r w:rsidRPr="00122049">
          <w:rPr>
            <w:color w:val="0000FF"/>
            <w:u w:val="single"/>
            <w:rtl/>
          </w:rPr>
          <w:t>ע"פ 2141/21</w:t>
        </w:r>
      </w:hyperlink>
      <w:r w:rsidR="008B6E77" w:rsidRPr="009F7106">
        <w:rPr>
          <w:rtl/>
        </w:rPr>
        <w:t xml:space="preserve"> </w:t>
      </w:r>
      <w:r w:rsidR="008B6E77" w:rsidRPr="009F7106">
        <w:rPr>
          <w:b/>
          <w:bCs/>
          <w:rtl/>
        </w:rPr>
        <w:t>איתן חניני נ' מדינת ישראל</w:t>
      </w:r>
      <w:r w:rsidR="008B6E77" w:rsidRPr="009F7106">
        <w:rPr>
          <w:rtl/>
        </w:rPr>
        <w:t xml:space="preserve"> (27.5.2021) - </w:t>
      </w:r>
      <w:r w:rsidR="008B6E77">
        <w:rPr>
          <w:rtl/>
        </w:rPr>
        <w:t xml:space="preserve">הנאשם הורשע בהחזקת נשק, כאשר </w:t>
      </w:r>
      <w:r w:rsidR="008B6E77" w:rsidRPr="009F7106">
        <w:rPr>
          <w:rtl/>
        </w:rPr>
        <w:t>הצטייד באקדח אוויר אשר בוצעו בו שינויים שמאפשרים ירי של תחמושת וכן בכדורים תואמים. נגזרו על הנאשם 20 חודשי מאסר בפועל. ערעור שהגיש נדחה.</w:t>
      </w:r>
      <w:r w:rsidR="008B6E77" w:rsidRPr="009F7106">
        <w:t xml:space="preserve"> </w:t>
      </w:r>
    </w:p>
    <w:p w14:paraId="616E9FEF" w14:textId="77777777" w:rsidR="008B6E77" w:rsidRDefault="00122049" w:rsidP="0045276A">
      <w:pPr>
        <w:pStyle w:val="a"/>
        <w:ind w:left="283"/>
        <w:jc w:val="both"/>
      </w:pPr>
      <w:hyperlink r:id="rId35" w:history="1">
        <w:r w:rsidRPr="00122049">
          <w:rPr>
            <w:color w:val="0000FF"/>
            <w:u w:val="single"/>
            <w:rtl/>
          </w:rPr>
          <w:t>עפ"ג 2024-04-21</w:t>
        </w:r>
      </w:hyperlink>
      <w:r w:rsidR="008B6E77">
        <w:rPr>
          <w:rtl/>
        </w:rPr>
        <w:t xml:space="preserve"> </w:t>
      </w:r>
      <w:r w:rsidR="008B6E77">
        <w:rPr>
          <w:b/>
          <w:bCs/>
          <w:rtl/>
        </w:rPr>
        <w:t xml:space="preserve">מדינת ישראל נ' מנדורי </w:t>
      </w:r>
      <w:r w:rsidR="008B6E77">
        <w:rPr>
          <w:rtl/>
        </w:rPr>
        <w:t xml:space="preserve">(29.6.2021) - </w:t>
      </w:r>
      <w:r w:rsidR="008B6E77" w:rsidRPr="00736611">
        <w:rPr>
          <w:rtl/>
        </w:rPr>
        <w:t xml:space="preserve">בית המשפט המחוזי קיבל את ערעור המדינה, והחמיר בעונשו של הנאשם שהורשע בהחזקת רובה סער דמוי </w:t>
      </w:r>
      <w:r w:rsidR="008B6E77" w:rsidRPr="00736611">
        <w:t>M16</w:t>
      </w:r>
      <w:r w:rsidR="008B6E77" w:rsidRPr="00736611">
        <w:rPr>
          <w:rtl/>
        </w:rPr>
        <w:t xml:space="preserve"> שהוסב מירי כדורי פלסטיק לירי תחמושת חיה, הכולל גם חלקים תקניים וכן החזיק חלקי רובה </w:t>
      </w:r>
      <w:r w:rsidR="008B6E77" w:rsidRPr="00736611">
        <w:t>M16</w:t>
      </w:r>
      <w:r w:rsidR="008B6E77" w:rsidRPr="00736611">
        <w:rPr>
          <w:rtl/>
        </w:rPr>
        <w:t xml:space="preserve"> נוספים ומח</w:t>
      </w:r>
      <w:r w:rsidR="008B6E77">
        <w:rPr>
          <w:rtl/>
        </w:rPr>
        <w:t>סנית תואמת ובה 30 כדורי תחמושת.</w:t>
      </w:r>
      <w:r w:rsidR="008B6E77" w:rsidRPr="00736611">
        <w:rPr>
          <w:rtl/>
        </w:rPr>
        <w:t xml:space="preserve"> </w:t>
      </w:r>
      <w:r w:rsidR="008B6E77" w:rsidRPr="008A0397">
        <w:rPr>
          <w:rtl/>
        </w:rPr>
        <w:t xml:space="preserve">נקבע מתחם של </w:t>
      </w:r>
      <w:r w:rsidR="008B6E77">
        <w:rPr>
          <w:rtl/>
        </w:rPr>
        <w:t>18- 36</w:t>
      </w:r>
      <w:r w:rsidR="008B6E77" w:rsidRPr="008A0397">
        <w:rPr>
          <w:rtl/>
        </w:rPr>
        <w:t xml:space="preserve"> חודשי מאסר בפועל.</w:t>
      </w:r>
      <w:r w:rsidR="008B6E77" w:rsidRPr="00736611">
        <w:rPr>
          <w:rtl/>
        </w:rPr>
        <w:t xml:space="preserve"> </w:t>
      </w:r>
      <w:r w:rsidR="008B6E77">
        <w:rPr>
          <w:rtl/>
        </w:rPr>
        <w:t>נגזרו על הנאשם 20 חודשי מאסר בפועל.</w:t>
      </w:r>
    </w:p>
    <w:p w14:paraId="6BFA8C75" w14:textId="77777777" w:rsidR="008B6E77" w:rsidRDefault="008B6E77" w:rsidP="0045276A">
      <w:pPr>
        <w:pStyle w:val="a"/>
        <w:ind w:left="283"/>
        <w:jc w:val="both"/>
      </w:pPr>
      <w:r>
        <w:rPr>
          <w:rtl/>
        </w:rPr>
        <w:t xml:space="preserve"> </w:t>
      </w:r>
      <w:hyperlink r:id="rId36" w:history="1">
        <w:r w:rsidR="00122049" w:rsidRPr="00122049">
          <w:rPr>
            <w:color w:val="0000FF"/>
            <w:u w:val="single"/>
            <w:rtl/>
          </w:rPr>
          <w:t>ת"פ 52337-07-18</w:t>
        </w:r>
      </w:hyperlink>
      <w:r>
        <w:rPr>
          <w:rtl/>
        </w:rPr>
        <w:t xml:space="preserve"> </w:t>
      </w:r>
      <w:r>
        <w:rPr>
          <w:b/>
          <w:bCs/>
          <w:rtl/>
        </w:rPr>
        <w:t>מדינת ישראל נ' אבו מוסא</w:t>
      </w:r>
      <w:r>
        <w:rPr>
          <w:rtl/>
        </w:rPr>
        <w:t xml:space="preserve"> (27.6.2019) - הנאשם הורשע בעבירה של החזקת נשק כאשר החזיק בביתו נשק חם מסוג תת מקלע מאולתר. בית המשפט קבע מתחם ענישה שנע בין 18- 36 חודשי מאסר וגזר על הנאשם 18 חודשי מאסר בפועל. </w:t>
      </w:r>
    </w:p>
    <w:p w14:paraId="05EB4F48" w14:textId="77777777" w:rsidR="008B6E77" w:rsidRDefault="008B6E77" w:rsidP="0045276A">
      <w:pPr>
        <w:pStyle w:val="a"/>
        <w:ind w:left="283"/>
        <w:jc w:val="both"/>
        <w:rPr>
          <w:rtl/>
        </w:rPr>
      </w:pPr>
      <w:r>
        <w:rPr>
          <w:rtl/>
        </w:rPr>
        <w:t xml:space="preserve">ת"פ 65912-07-18 </w:t>
      </w:r>
      <w:r>
        <w:rPr>
          <w:b/>
          <w:bCs/>
          <w:rtl/>
        </w:rPr>
        <w:t>מדינת ישראל נ' אבו מדעם</w:t>
      </w:r>
      <w:r>
        <w:rPr>
          <w:rtl/>
        </w:rPr>
        <w:t xml:space="preserve"> (14.2.2019) - נאשם 1 הורשע בעבירות של אחזקת נשק ותחמושת. הנאשם החזיק באקדח חצי אוטומט וב-55 כדורים ושלוש מחסניות טעונות. נאשם 2 החזיק אקדח חצי אוטומט לא תקין וכן אקדח תקני ומחסנית טעונה בתחמושת. בית המשפט קבע מתחמים נפרדים ומתחם כולל לנאשם 1 שנע בין 15- 24 חודשים ולנאשם 2 מתחם שנע בין 27- 54 חודשים. על נאשם 1 נגזרו 18 חודשי מאסר ועל נאשם 2 נגזרו 30 חודשי מאסר. בערעור הוקל עונשו של נאשם 1 ונגזרו עליו 14 חודשי מאסר. </w:t>
      </w:r>
    </w:p>
    <w:p w14:paraId="2F4D2A7D" w14:textId="77777777" w:rsidR="008B6E77" w:rsidRPr="0045276A" w:rsidRDefault="008B6E77" w:rsidP="0045276A">
      <w:pPr>
        <w:pStyle w:val="-"/>
        <w:rPr>
          <w:rtl/>
        </w:rPr>
      </w:pPr>
    </w:p>
    <w:p w14:paraId="3E63D321" w14:textId="77777777" w:rsidR="008B6E77" w:rsidRDefault="008B6E77" w:rsidP="006B1B80">
      <w:pPr>
        <w:jc w:val="both"/>
        <w:rPr>
          <w:rFonts w:ascii="David" w:hAnsi="David"/>
          <w:rtl/>
        </w:rPr>
      </w:pPr>
      <w:r w:rsidRPr="0045276A">
        <w:rPr>
          <w:rFonts w:ascii="David" w:hAnsi="David"/>
          <w:b/>
          <w:bCs/>
          <w:rtl/>
        </w:rPr>
        <w:t>פסיקה שהוגשה ע"י ההגנה</w:t>
      </w:r>
      <w:r>
        <w:rPr>
          <w:rFonts w:ascii="David" w:hAnsi="David"/>
          <w:rtl/>
        </w:rPr>
        <w:t xml:space="preserve">: </w:t>
      </w:r>
    </w:p>
    <w:p w14:paraId="16A76B0A" w14:textId="77777777" w:rsidR="008B6E77" w:rsidRDefault="008B6E77" w:rsidP="006B1B80">
      <w:pPr>
        <w:jc w:val="both"/>
        <w:rPr>
          <w:rFonts w:ascii="David" w:hAnsi="David"/>
          <w:rtl/>
        </w:rPr>
      </w:pPr>
    </w:p>
    <w:p w14:paraId="2FC20E23" w14:textId="77777777" w:rsidR="008B6E77" w:rsidRDefault="00122049" w:rsidP="0045276A">
      <w:pPr>
        <w:pStyle w:val="a"/>
        <w:ind w:left="283"/>
        <w:jc w:val="both"/>
      </w:pPr>
      <w:hyperlink r:id="rId37" w:history="1">
        <w:r w:rsidRPr="00122049">
          <w:rPr>
            <w:color w:val="0000FF"/>
            <w:u w:val="single"/>
            <w:rtl/>
          </w:rPr>
          <w:t>ע"פ 4456/21</w:t>
        </w:r>
      </w:hyperlink>
      <w:r w:rsidR="008B6E77" w:rsidRPr="0045276A">
        <w:rPr>
          <w:rtl/>
        </w:rPr>
        <w:t xml:space="preserve"> </w:t>
      </w:r>
      <w:r w:rsidR="008B6E77" w:rsidRPr="0045276A">
        <w:rPr>
          <w:b/>
          <w:bCs/>
          <w:rtl/>
        </w:rPr>
        <w:t>מדינת ישראל נ' מוחמד אבו עבסה</w:t>
      </w:r>
      <w:r w:rsidR="008B6E77" w:rsidRPr="0045276A">
        <w:rPr>
          <w:rtl/>
        </w:rPr>
        <w:t xml:space="preserve"> (23.1.2022) - הנאשם הורשע בעבירות של ניסיון ייצור וסחר בנשק, החזקת נשק ותחמושת, קשירת קשר לביצוע פשע, סחר בנשק ותחמושת והובלת נש</w:t>
      </w:r>
      <w:r w:rsidR="008B6E77">
        <w:rPr>
          <w:rtl/>
        </w:rPr>
        <w:t>ק. נגזרו על הנאשם 54 חודשי מאסר. שם דובר על עבירות שונות ונסיבות אחרות, כך שקשה לבצע היקש לעבירות שבפניי.</w:t>
      </w:r>
      <w:r w:rsidR="008B6E77" w:rsidRPr="0045276A">
        <w:rPr>
          <w:rtl/>
        </w:rPr>
        <w:t xml:space="preserve"> </w:t>
      </w:r>
    </w:p>
    <w:p w14:paraId="42A534B3" w14:textId="77777777" w:rsidR="008B6E77" w:rsidRDefault="00122049" w:rsidP="001328F0">
      <w:pPr>
        <w:pStyle w:val="a"/>
        <w:ind w:left="283"/>
        <w:jc w:val="both"/>
      </w:pPr>
      <w:hyperlink r:id="rId38" w:history="1">
        <w:r w:rsidRPr="00122049">
          <w:rPr>
            <w:color w:val="0000FF"/>
            <w:u w:val="single"/>
            <w:rtl/>
          </w:rPr>
          <w:t>ע"פ 8017/20</w:t>
        </w:r>
      </w:hyperlink>
      <w:r w:rsidR="008B6E77">
        <w:rPr>
          <w:rtl/>
        </w:rPr>
        <w:t xml:space="preserve"> </w:t>
      </w:r>
      <w:r w:rsidR="008B6E77">
        <w:rPr>
          <w:b/>
          <w:bCs/>
          <w:rtl/>
        </w:rPr>
        <w:t>מדינת ישראל נ' פאדי גריפאת</w:t>
      </w:r>
      <w:r w:rsidR="008B6E77">
        <w:rPr>
          <w:rtl/>
        </w:rPr>
        <w:t xml:space="preserve"> (22.12.2020) - הנאשם הורשע בהחזקה ונשיאה של נשק, זאת כאשר שניים אחרים הביאו לרכב בו נהג 3 מטעני חבלה והנאשם יד על כך שקיים לפחות מטען אחד. נגזרו על הנאשם 7 חודשי מאסר בפועל ערעור מדינה על קולת העונש התקבל ונגזרו על הנאשם 14 חודשי מאסר. חלקו של הנאשם במקרה זה היה קטן משל האחרים.</w:t>
      </w:r>
    </w:p>
    <w:p w14:paraId="56E384A7" w14:textId="77777777" w:rsidR="008B6E77" w:rsidRDefault="00122049" w:rsidP="00802DF0">
      <w:pPr>
        <w:pStyle w:val="a"/>
        <w:ind w:left="283"/>
        <w:jc w:val="both"/>
      </w:pPr>
      <w:hyperlink r:id="rId39" w:history="1">
        <w:r w:rsidRPr="00122049">
          <w:rPr>
            <w:color w:val="0000FF"/>
            <w:u w:val="single"/>
            <w:rtl/>
          </w:rPr>
          <w:t>ת"פ 6695-10-23</w:t>
        </w:r>
      </w:hyperlink>
      <w:r w:rsidR="008B6E77">
        <w:rPr>
          <w:rtl/>
        </w:rPr>
        <w:t xml:space="preserve"> </w:t>
      </w:r>
      <w:r w:rsidR="008B6E77">
        <w:rPr>
          <w:b/>
          <w:bCs/>
          <w:rtl/>
        </w:rPr>
        <w:t>מדינת ישראל נ' אבו חלווה ואח'</w:t>
      </w:r>
      <w:r w:rsidR="008B6E77">
        <w:rPr>
          <w:rtl/>
        </w:rPr>
        <w:t xml:space="preserve"> (26.2.2024) – הנאשמים הורשעו במסגרת הסדר טיעון, במסגרת כך הצהיר התובע כי אין כל מידע פלילי או בטחוני בעניינם של השניים. נאשם 2 הורשע בעבירה של נשיאה והובלת נשק מסוג </w:t>
      </w:r>
      <w:r w:rsidR="008B6E77">
        <w:t>CZ</w:t>
      </w:r>
      <w:r w:rsidR="008B6E77">
        <w:rPr>
          <w:rtl/>
        </w:rPr>
        <w:t xml:space="preserve"> וכן מחסנית ללא כדורים ואילו נאשם 3 הורשע בעבירה של החזקת אותו הנשק, כאשר הצטלם עמו. בעניינו של נאשם 2 נקבע מתחם ענישה של 24 - 48 חודשים ואילו לגבי נאשם 3 בין 18- 36 חודשים. בסופו של דבר נגזרו 24על נאשם 2 חודשי מאסר ואילו על נאשם 3 נגזרו 18 חודשי מאסר. דווקא ענישה זו שהוגשה על ידי ההגנה מחזקת את עתירת המאשימה.</w:t>
      </w:r>
    </w:p>
    <w:p w14:paraId="7164DB66" w14:textId="77777777" w:rsidR="008B6E77" w:rsidRPr="008A0397" w:rsidRDefault="00122049" w:rsidP="00A85828">
      <w:pPr>
        <w:pStyle w:val="a"/>
        <w:ind w:left="283"/>
        <w:jc w:val="both"/>
        <w:rPr>
          <w:rtl/>
        </w:rPr>
      </w:pPr>
      <w:hyperlink r:id="rId40" w:history="1">
        <w:r w:rsidRPr="00122049">
          <w:rPr>
            <w:color w:val="0000FF"/>
            <w:u w:val="single"/>
            <w:rtl/>
          </w:rPr>
          <w:t>ת"פ 20212-10-23</w:t>
        </w:r>
      </w:hyperlink>
      <w:r w:rsidR="008B6E77">
        <w:rPr>
          <w:rtl/>
        </w:rPr>
        <w:t xml:space="preserve"> </w:t>
      </w:r>
      <w:r w:rsidR="008B6E77">
        <w:rPr>
          <w:b/>
          <w:bCs/>
          <w:rtl/>
        </w:rPr>
        <w:t>מדינת ישראל נ' אבו קטיפן</w:t>
      </w:r>
      <w:r w:rsidR="008B6E77">
        <w:rPr>
          <w:rtl/>
        </w:rPr>
        <w:t xml:space="preserve"> (26.2.2024) - הנאשם הודה והורשע בנשיאת נשק בתיקו, שם הייתה תחמושת; שני אקדחים טעונים בכדורי 9 מ"מ (15 ו- 21 כדורים); שלוש מחסניות; כוונת. עוד הורשע בעבירה של שיבוש הליכי משפט והפרעה לשוטר. הנאשם נשא תיק בית המשפט קבע מתחם ענישה שמתחיל מ-24 חודשי מאסר ונע עד 48 חודשים. נגזרו על הנאשם 24 חודשי מאסר בפועל. גם על פי החלטה זו יש לומר, שהמתחם אותו הציגה ההגנה עומד בסתירה לבקשתה בסופו של יום.</w:t>
      </w:r>
    </w:p>
    <w:p w14:paraId="4541C500" w14:textId="77777777" w:rsidR="008B6E77" w:rsidRDefault="008B6E77" w:rsidP="007917F6">
      <w:pPr>
        <w:spacing w:line="360" w:lineRule="auto"/>
        <w:jc w:val="both"/>
        <w:rPr>
          <w:rFonts w:ascii="David" w:hAnsi="David"/>
          <w:rtl/>
        </w:rPr>
      </w:pPr>
    </w:p>
    <w:p w14:paraId="072F6F0A" w14:textId="77777777" w:rsidR="008B6E77" w:rsidRPr="007917F6" w:rsidRDefault="008B6E77" w:rsidP="00F8727C">
      <w:pPr>
        <w:spacing w:line="360" w:lineRule="auto"/>
        <w:jc w:val="both"/>
        <w:rPr>
          <w:rFonts w:ascii="David" w:hAnsi="David"/>
          <w:u w:val="single"/>
          <w:rtl/>
        </w:rPr>
      </w:pPr>
      <w:r>
        <w:rPr>
          <w:rFonts w:ascii="David" w:hAnsi="David"/>
          <w:rtl/>
        </w:rPr>
        <w:t xml:space="preserve">לפיכך, </w:t>
      </w:r>
      <w:r w:rsidRPr="00C30E32">
        <w:rPr>
          <w:rFonts w:ascii="David" w:hAnsi="David"/>
          <w:rtl/>
        </w:rPr>
        <w:t>לאחר ש</w:t>
      </w:r>
      <w:r>
        <w:rPr>
          <w:rFonts w:ascii="David" w:hAnsi="David"/>
          <w:rtl/>
        </w:rPr>
        <w:t xml:space="preserve">בחנתי את הפסיקה הרבה, </w:t>
      </w:r>
      <w:r w:rsidRPr="00C30E32">
        <w:rPr>
          <w:rFonts w:ascii="David" w:hAnsi="David"/>
          <w:rtl/>
        </w:rPr>
        <w:t xml:space="preserve">שמעתי טיעוני הצדדים, עמדתי על נסיבות ביצוע העבירות, הערכים המוגנים והפגיעה בהם, מצאתי לקבוע מתחם עונש הנע בין </w:t>
      </w:r>
      <w:r w:rsidRPr="00C30E32">
        <w:rPr>
          <w:rFonts w:ascii="David" w:hAnsi="David"/>
          <w:b/>
          <w:bCs/>
          <w:rtl/>
        </w:rPr>
        <w:t xml:space="preserve"> </w:t>
      </w:r>
      <w:r>
        <w:rPr>
          <w:rFonts w:ascii="David" w:hAnsi="David"/>
          <w:b/>
          <w:bCs/>
        </w:rPr>
        <w:t>32</w:t>
      </w:r>
      <w:r w:rsidRPr="00C30E32">
        <w:rPr>
          <w:rFonts w:ascii="David" w:hAnsi="David"/>
          <w:b/>
          <w:bCs/>
          <w:rtl/>
        </w:rPr>
        <w:t xml:space="preserve"> חודשי מאסר בפועל ועד ל</w:t>
      </w:r>
      <w:r>
        <w:rPr>
          <w:rFonts w:ascii="David" w:hAnsi="David"/>
          <w:b/>
          <w:bCs/>
          <w:rtl/>
        </w:rPr>
        <w:t>-54</w:t>
      </w:r>
      <w:r w:rsidRPr="00C30E32">
        <w:rPr>
          <w:rFonts w:ascii="David" w:hAnsi="David"/>
          <w:b/>
          <w:bCs/>
          <w:rtl/>
        </w:rPr>
        <w:t xml:space="preserve"> חודשי מאסר בפועל</w:t>
      </w:r>
      <w:r w:rsidRPr="00C30E32">
        <w:rPr>
          <w:rFonts w:ascii="David" w:hAnsi="David"/>
          <w:rtl/>
        </w:rPr>
        <w:t>.</w:t>
      </w:r>
    </w:p>
    <w:p w14:paraId="41C38489" w14:textId="77777777" w:rsidR="008B6E77" w:rsidRDefault="008B6E77" w:rsidP="00C30E32">
      <w:pPr>
        <w:spacing w:line="360" w:lineRule="auto"/>
        <w:jc w:val="both"/>
      </w:pPr>
    </w:p>
    <w:p w14:paraId="04C05490" w14:textId="77777777" w:rsidR="008B6E77" w:rsidRPr="0055649C" w:rsidRDefault="008B6E77" w:rsidP="00C30E32">
      <w:pPr>
        <w:spacing w:line="360" w:lineRule="auto"/>
        <w:jc w:val="both"/>
        <w:rPr>
          <w:u w:val="single"/>
          <w:rtl/>
        </w:rPr>
      </w:pPr>
      <w:r w:rsidRPr="0055649C">
        <w:rPr>
          <w:b/>
          <w:bCs/>
          <w:u w:val="single"/>
          <w:rtl/>
        </w:rPr>
        <w:t xml:space="preserve">העונש המתאים לנאשם </w:t>
      </w:r>
    </w:p>
    <w:p w14:paraId="6178D527" w14:textId="77777777" w:rsidR="008B6E77" w:rsidRDefault="008B6E77" w:rsidP="00C30E32">
      <w:pPr>
        <w:spacing w:line="360" w:lineRule="auto"/>
        <w:jc w:val="both"/>
        <w:rPr>
          <w:rtl/>
        </w:rPr>
      </w:pPr>
    </w:p>
    <w:p w14:paraId="739625E3" w14:textId="77777777" w:rsidR="008B6E77" w:rsidRDefault="008B6E77" w:rsidP="002161FE">
      <w:pPr>
        <w:spacing w:line="360" w:lineRule="auto"/>
        <w:jc w:val="both"/>
        <w:rPr>
          <w:lang w:eastAsia="he-IL"/>
        </w:rPr>
      </w:pPr>
      <w:r>
        <w:rPr>
          <w:rFonts w:ascii="David" w:hAnsi="David"/>
          <w:rtl/>
        </w:rPr>
        <w:t>הנאשם, בן כ-44, הורשע לאחר שמיעת ראיות ולא נטל אחריות על מעשיו גם לאחר הרשעתו.  לחובתו 4 הרשעות קודמות, האחרונה משנת 2023 בעבירות שאינן ממין העניין, של גניבה והסגת גבול. עוד בעברו של הנאשם הרשעה בעבירות רכוש, בעבירה של אי נקיטת צעדי זהירות בחיה ועוד הורשע בעבירות של סיוע להבאת אדם לידי עיסוק בזנות. בגין הרשעות אלו אף ריצה הנאשם מאסרים בפועל.</w:t>
      </w:r>
      <w:r>
        <w:rPr>
          <w:rtl/>
          <w:lang w:eastAsia="he-IL"/>
        </w:rPr>
        <w:t xml:space="preserve"> מכל האמור מצאתי למקם את הנאשם באמצעו של מתחם הענישה שנקבע.</w:t>
      </w:r>
    </w:p>
    <w:p w14:paraId="623864CE" w14:textId="77777777" w:rsidR="008B6E77" w:rsidRPr="00121266" w:rsidRDefault="008B6E77" w:rsidP="00C30E32">
      <w:pPr>
        <w:spacing w:line="360" w:lineRule="auto"/>
        <w:jc w:val="both"/>
        <w:rPr>
          <w:rFonts w:ascii="David" w:hAnsi="David"/>
          <w:rtl/>
        </w:rPr>
      </w:pPr>
    </w:p>
    <w:p w14:paraId="2880300B" w14:textId="77777777" w:rsidR="008B6E77" w:rsidRDefault="008B6E77" w:rsidP="00C30E32">
      <w:pPr>
        <w:spacing w:line="360" w:lineRule="auto"/>
        <w:jc w:val="both"/>
        <w:rPr>
          <w:rFonts w:ascii="David" w:hAnsi="David"/>
          <w:b/>
          <w:bCs/>
          <w:u w:val="single"/>
          <w:rtl/>
        </w:rPr>
      </w:pPr>
      <w:r>
        <w:rPr>
          <w:rFonts w:ascii="David" w:hAnsi="David"/>
          <w:b/>
          <w:bCs/>
          <w:u w:val="single"/>
          <w:rtl/>
        </w:rPr>
        <w:t>אשר על כן אני גוזרת על הנאשם את העונשים הבאים</w:t>
      </w:r>
      <w:r>
        <w:rPr>
          <w:rFonts w:ascii="David" w:hAnsi="David"/>
          <w:b/>
          <w:bCs/>
          <w:rtl/>
        </w:rPr>
        <w:t>:</w:t>
      </w:r>
    </w:p>
    <w:p w14:paraId="58BFDD7A" w14:textId="77777777" w:rsidR="008B6E77" w:rsidRDefault="008B6E77" w:rsidP="00C30E32">
      <w:pPr>
        <w:spacing w:line="360" w:lineRule="auto"/>
        <w:jc w:val="both"/>
        <w:rPr>
          <w:rFonts w:ascii="David" w:hAnsi="David"/>
          <w:b/>
          <w:bCs/>
          <w:u w:val="single"/>
          <w:rtl/>
        </w:rPr>
      </w:pPr>
    </w:p>
    <w:p w14:paraId="53A07619" w14:textId="77777777" w:rsidR="008B6E77" w:rsidRPr="00B02B19" w:rsidRDefault="008B6E77" w:rsidP="00F8727C">
      <w:pPr>
        <w:pStyle w:val="ListParagraph"/>
        <w:numPr>
          <w:ilvl w:val="0"/>
          <w:numId w:val="4"/>
        </w:numPr>
        <w:spacing w:after="0"/>
        <w:jc w:val="both"/>
        <w:rPr>
          <w:rFonts w:ascii="David" w:hAnsi="David"/>
        </w:rPr>
      </w:pPr>
      <w:r>
        <w:rPr>
          <w:b/>
          <w:bCs/>
          <w:rtl/>
        </w:rPr>
        <w:t>42</w:t>
      </w:r>
      <w:r w:rsidRPr="00D56131">
        <w:rPr>
          <w:b/>
          <w:bCs/>
          <w:rtl/>
        </w:rPr>
        <w:t xml:space="preserve"> חודשי </w:t>
      </w:r>
      <w:r w:rsidRPr="00D56131">
        <w:rPr>
          <w:rFonts w:ascii="David" w:hAnsi="David"/>
          <w:b/>
          <w:bCs/>
          <w:rtl/>
        </w:rPr>
        <w:t>מאסר בפועל,</w:t>
      </w:r>
      <w:r w:rsidRPr="00B02B19">
        <w:rPr>
          <w:rFonts w:ascii="David" w:hAnsi="David"/>
          <w:rtl/>
        </w:rPr>
        <w:t xml:space="preserve">  בניכוי ימי מעצרו על-פי רישומי שב"ס</w:t>
      </w:r>
      <w:r w:rsidRPr="00B02B19">
        <w:rPr>
          <w:rtl/>
        </w:rPr>
        <w:t>.</w:t>
      </w:r>
    </w:p>
    <w:p w14:paraId="4DDF82AF" w14:textId="77777777" w:rsidR="008B6E77" w:rsidRDefault="008B6E77" w:rsidP="00C30E32">
      <w:pPr>
        <w:pStyle w:val="ListParagraph"/>
        <w:numPr>
          <w:ilvl w:val="0"/>
          <w:numId w:val="4"/>
        </w:numPr>
        <w:spacing w:after="0"/>
        <w:jc w:val="both"/>
        <w:rPr>
          <w:rtl/>
        </w:rPr>
      </w:pPr>
      <w:r>
        <w:rPr>
          <w:rFonts w:ascii="David" w:hAnsi="David"/>
          <w:rtl/>
        </w:rPr>
        <w:t xml:space="preserve">8 חודשי מאסר על תנאי לתקופה של 3 שנים והתנאי הוא שהנאשם לא יעבור עבירה בה הורשע.  </w:t>
      </w:r>
    </w:p>
    <w:p w14:paraId="12A5591B" w14:textId="77777777" w:rsidR="008B6E77" w:rsidRPr="009327CC" w:rsidRDefault="008B6E77" w:rsidP="003E369E">
      <w:pPr>
        <w:pStyle w:val="ListParagraph"/>
        <w:numPr>
          <w:ilvl w:val="0"/>
          <w:numId w:val="4"/>
        </w:numPr>
        <w:spacing w:after="0"/>
        <w:jc w:val="both"/>
        <w:rPr>
          <w:rFonts w:ascii="David" w:hAnsi="David"/>
          <w:u w:val="single"/>
        </w:rPr>
      </w:pPr>
      <w:r w:rsidRPr="009327CC">
        <w:rPr>
          <w:rFonts w:ascii="David" w:hAnsi="David"/>
          <w:rtl/>
        </w:rPr>
        <w:t xml:space="preserve">קנס בסך 3,000 ₪, אשר יקוזזו מההפקדה הכספית שנעשתה במסגרת מ"ת 66119-0723 והיתרה תושב לנאשם או למיופה כוחו, בהיעדר מניעה או עיקול החלים עליו. </w:t>
      </w:r>
    </w:p>
    <w:p w14:paraId="6C581901" w14:textId="77777777" w:rsidR="008B6E77" w:rsidRPr="009327CC" w:rsidRDefault="008B6E77" w:rsidP="009327CC">
      <w:pPr>
        <w:pStyle w:val="ListParagraph"/>
        <w:spacing w:after="0"/>
        <w:ind w:left="360"/>
        <w:jc w:val="both"/>
        <w:rPr>
          <w:rFonts w:ascii="David" w:hAnsi="David"/>
          <w:u w:val="single"/>
        </w:rPr>
      </w:pPr>
    </w:p>
    <w:p w14:paraId="0AC41E0C" w14:textId="77777777" w:rsidR="008B6E77" w:rsidRPr="00F47B6B" w:rsidRDefault="008B6E77" w:rsidP="00B37F97">
      <w:pPr>
        <w:spacing w:line="360" w:lineRule="auto"/>
        <w:jc w:val="both"/>
        <w:rPr>
          <w:rtl/>
        </w:rPr>
      </w:pPr>
      <w:r>
        <w:rPr>
          <w:rFonts w:ascii="David" w:hAnsi="David"/>
          <w:rtl/>
        </w:rPr>
        <w:t xml:space="preserve">ניתן צו כללי למוצגים לפי שיקול דעת קצין המשטרה. המוצגים יחולטו/יושמדו/יושבו לבעליהם עפ"י החלטת קצין משטרה. </w:t>
      </w:r>
      <w:r w:rsidRPr="00F47B6B">
        <w:rPr>
          <w:rFonts w:ascii="David" w:hAnsi="David"/>
        </w:rPr>
        <w:t xml:space="preserve"> </w:t>
      </w:r>
      <w:r>
        <w:rPr>
          <w:rFonts w:ascii="David" w:hAnsi="David"/>
          <w:rtl/>
        </w:rPr>
        <w:t xml:space="preserve">ככל שהופקד פיקדון בתיק או בתיק המעצרים הקשור לתיק זה ובהעדר מניעה על פי דין, יוחזר הפיקדון למפקיד או לידי מי מטעמו עפ"י יפוי כוח. </w:t>
      </w:r>
    </w:p>
    <w:p w14:paraId="20C16E61" w14:textId="77777777" w:rsidR="008B6E77" w:rsidRPr="00F47B6B" w:rsidRDefault="008B6E77" w:rsidP="00B37F97">
      <w:pPr>
        <w:spacing w:line="360" w:lineRule="auto"/>
        <w:jc w:val="both"/>
        <w:rPr>
          <w:rtl/>
        </w:rPr>
      </w:pPr>
    </w:p>
    <w:p w14:paraId="37B445AC" w14:textId="77777777" w:rsidR="008B6E77" w:rsidRDefault="008B6E77" w:rsidP="00B37F97">
      <w:pPr>
        <w:spacing w:line="360" w:lineRule="auto"/>
        <w:jc w:val="both"/>
        <w:rPr>
          <w:rFonts w:ascii="David" w:hAnsi="David"/>
          <w:rtl/>
        </w:rPr>
      </w:pPr>
      <w:r>
        <w:rPr>
          <w:rFonts w:ascii="David" w:hAnsi="David"/>
          <w:rtl/>
        </w:rPr>
        <w:t>ניתן יהיה לשלם את הקנס כעבור שלושה ימים מיום גזר הדין לחשבון המרכז לגביית קנסות, אגרות והוצאות ברשות האכיפה והגבייה באחת מהדרכים הבאות:</w:t>
      </w:r>
    </w:p>
    <w:p w14:paraId="19E1A76F" w14:textId="77777777" w:rsidR="008B6E77" w:rsidRDefault="008B6E77" w:rsidP="00A85828">
      <w:pPr>
        <w:spacing w:line="360" w:lineRule="auto"/>
        <w:rPr>
          <w:rFonts w:ascii="David" w:hAnsi="David"/>
        </w:rPr>
      </w:pPr>
    </w:p>
    <w:p w14:paraId="00E11FE6" w14:textId="77777777" w:rsidR="008B6E77" w:rsidRDefault="008B6E77" w:rsidP="00A85828">
      <w:pPr>
        <w:pStyle w:val="ListParagraph"/>
        <w:numPr>
          <w:ilvl w:val="0"/>
          <w:numId w:val="5"/>
        </w:numPr>
        <w:spacing w:after="0"/>
        <w:rPr>
          <w:rFonts w:ascii="David" w:hAnsi="David"/>
          <w:b/>
          <w:bCs/>
        </w:rPr>
      </w:pPr>
      <w:r>
        <w:rPr>
          <w:rFonts w:ascii="David" w:hAnsi="David"/>
          <w:b/>
          <w:bCs/>
          <w:rtl/>
        </w:rPr>
        <w:t>בכרטיס אשראי</w:t>
      </w:r>
      <w:r>
        <w:rPr>
          <w:rFonts w:ascii="David" w:hAnsi="David"/>
          <w:rtl/>
        </w:rPr>
        <w:t xml:space="preserve"> – באתר המקוון של רשות האכיפה והגבייה, </w:t>
      </w:r>
      <w:hyperlink r:id="rId41" w:history="1">
        <w:r>
          <w:rPr>
            <w:rStyle w:val="Hyperlink"/>
            <w:rFonts w:ascii="David" w:hAnsi="David"/>
          </w:rPr>
          <w:t>www.eca.gov.il</w:t>
        </w:r>
      </w:hyperlink>
      <w:r>
        <w:rPr>
          <w:rFonts w:ascii="David" w:hAnsi="David"/>
        </w:rPr>
        <w:t xml:space="preserve"> </w:t>
      </w:r>
      <w:r w:rsidR="00122049">
        <w:rPr>
          <w:rFonts w:ascii="David" w:hAnsi="David"/>
          <w:rtl/>
        </w:rPr>
        <w:t xml:space="preserve"> </w:t>
      </w:r>
    </w:p>
    <w:p w14:paraId="57917479" w14:textId="77777777" w:rsidR="008B6E77" w:rsidRDefault="008B6E77" w:rsidP="00A85828">
      <w:pPr>
        <w:pStyle w:val="ListParagraph"/>
        <w:numPr>
          <w:ilvl w:val="0"/>
          <w:numId w:val="5"/>
        </w:numPr>
        <w:spacing w:after="0"/>
        <w:rPr>
          <w:rFonts w:ascii="David" w:hAnsi="David"/>
          <w:b/>
          <w:bCs/>
        </w:rPr>
      </w:pPr>
      <w:r>
        <w:rPr>
          <w:rFonts w:ascii="David" w:hAnsi="David"/>
          <w:b/>
          <w:bCs/>
          <w:rtl/>
        </w:rPr>
        <w:t>מוקד שירות טלפוני בשרות עצמי (מרכז גבייה)</w:t>
      </w:r>
      <w:r w:rsidR="00122049">
        <w:rPr>
          <w:rFonts w:ascii="David" w:hAnsi="David"/>
          <w:b/>
          <w:bCs/>
          <w:rtl/>
        </w:rPr>
        <w:t xml:space="preserve"> </w:t>
      </w:r>
      <w:r>
        <w:rPr>
          <w:rFonts w:ascii="David" w:hAnsi="David"/>
          <w:b/>
          <w:bCs/>
          <w:rtl/>
        </w:rPr>
        <w:t xml:space="preserve"> – בטלפון 35592* או בטלפון 073-2055000</w:t>
      </w:r>
    </w:p>
    <w:p w14:paraId="022E2F76" w14:textId="77777777" w:rsidR="008B6E77" w:rsidRDefault="008B6E77" w:rsidP="00A85828">
      <w:pPr>
        <w:pStyle w:val="ListParagraph"/>
        <w:numPr>
          <w:ilvl w:val="0"/>
          <w:numId w:val="5"/>
        </w:numPr>
        <w:spacing w:after="0"/>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40DF7737" w14:textId="77777777" w:rsidR="008B6E77" w:rsidRDefault="008B6E77" w:rsidP="00C30E32">
      <w:pPr>
        <w:pStyle w:val="ListParagraph"/>
        <w:rPr>
          <w:rFonts w:ascii="Calibri" w:hAnsi="Calibri" w:cs="Arial"/>
          <w:sz w:val="22"/>
          <w:szCs w:val="22"/>
          <w:rtl/>
        </w:rPr>
      </w:pPr>
    </w:p>
    <w:p w14:paraId="57ED5F69" w14:textId="77777777" w:rsidR="008B6E77" w:rsidRDefault="00122049" w:rsidP="00C30E32">
      <w:pPr>
        <w:spacing w:line="360" w:lineRule="auto"/>
        <w:jc w:val="both"/>
        <w:rPr>
          <w:rFonts w:ascii="David" w:hAnsi="David"/>
          <w:b/>
          <w:bCs/>
        </w:rPr>
      </w:pPr>
      <w:r w:rsidRPr="00122049">
        <w:rPr>
          <w:rFonts w:ascii="David" w:hAnsi="David"/>
          <w:b/>
          <w:bCs/>
          <w:color w:val="FFFFFF"/>
          <w:sz w:val="2"/>
          <w:szCs w:val="2"/>
          <w:rtl/>
        </w:rPr>
        <w:t>5129371</w:t>
      </w:r>
      <w:r w:rsidR="008B6E77">
        <w:rPr>
          <w:rFonts w:ascii="David" w:hAnsi="David"/>
          <w:b/>
          <w:bCs/>
          <w:rtl/>
        </w:rPr>
        <w:t xml:space="preserve">זכות ערעור לביהמ"ש המחוזי בתוך 45 ימים מהיום. </w:t>
      </w:r>
    </w:p>
    <w:p w14:paraId="4872153D" w14:textId="77777777" w:rsidR="008B6E77" w:rsidRPr="00122049" w:rsidRDefault="00122049">
      <w:pPr>
        <w:rPr>
          <w:rFonts w:ascii="Arial" w:hAnsi="Arial"/>
          <w:b/>
          <w:bCs/>
          <w:color w:val="FFFFFF"/>
          <w:sz w:val="2"/>
          <w:szCs w:val="2"/>
          <w:rtl/>
        </w:rPr>
      </w:pPr>
      <w:r w:rsidRPr="00122049">
        <w:rPr>
          <w:rFonts w:ascii="Arial" w:hAnsi="Arial"/>
          <w:b/>
          <w:bCs/>
          <w:color w:val="FFFFFF"/>
          <w:sz w:val="2"/>
          <w:szCs w:val="2"/>
          <w:rtl/>
        </w:rPr>
        <w:t>54678313</w:t>
      </w:r>
    </w:p>
    <w:p w14:paraId="5BA593AF" w14:textId="77777777" w:rsidR="008B6E77" w:rsidRPr="000F2247" w:rsidRDefault="008B6E77">
      <w:pPr>
        <w:rPr>
          <w:rFonts w:ascii="Arial" w:hAnsi="Arial"/>
          <w:b/>
          <w:bCs/>
          <w:sz w:val="26"/>
          <w:szCs w:val="26"/>
          <w:rtl/>
        </w:rPr>
      </w:pPr>
    </w:p>
    <w:p w14:paraId="7A1F8832" w14:textId="77777777" w:rsidR="008B6E77" w:rsidRPr="000F2247" w:rsidRDefault="008B6E77">
      <w:pPr>
        <w:rPr>
          <w:rFonts w:ascii="Arial" w:hAnsi="Arial"/>
          <w:b/>
          <w:bCs/>
          <w:sz w:val="26"/>
          <w:szCs w:val="26"/>
          <w:rtl/>
        </w:rPr>
      </w:pPr>
    </w:p>
    <w:p w14:paraId="26B8EE63" w14:textId="77777777" w:rsidR="008B6E77" w:rsidRPr="000F2247" w:rsidRDefault="00122049" w:rsidP="00FD7CF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ה' תשרי תשפ"ה, 07 אוקטובר 2024, במעמד הצדדים. </w:t>
      </w:r>
      <w:bookmarkEnd w:id="8"/>
      <w:r w:rsidR="008B6E77">
        <w:rPr>
          <w:rFonts w:ascii="Arial" w:hAnsi="Arial"/>
          <w:b/>
          <w:bCs/>
          <w:sz w:val="26"/>
          <w:szCs w:val="26"/>
          <w:rtl/>
        </w:rPr>
        <w:tab/>
      </w:r>
      <w:r w:rsidR="008B6E77">
        <w:rPr>
          <w:rFonts w:ascii="Arial" w:hAnsi="Arial"/>
          <w:b/>
          <w:bCs/>
          <w:sz w:val="26"/>
          <w:szCs w:val="26"/>
          <w:rtl/>
        </w:rPr>
        <w:tab/>
      </w:r>
      <w:r w:rsidR="008B6E77">
        <w:rPr>
          <w:rFonts w:ascii="Arial" w:hAnsi="Arial"/>
          <w:b/>
          <w:bCs/>
          <w:sz w:val="26"/>
          <w:szCs w:val="26"/>
          <w:rtl/>
        </w:rPr>
        <w:tab/>
      </w:r>
      <w:r w:rsidR="008B6E77">
        <w:rPr>
          <w:rFonts w:ascii="Arial" w:hAnsi="Arial"/>
          <w:b/>
          <w:bCs/>
          <w:sz w:val="26"/>
          <w:szCs w:val="26"/>
          <w:rtl/>
        </w:rPr>
        <w:tab/>
      </w:r>
      <w:r w:rsidR="008B6E77">
        <w:rPr>
          <w:rFonts w:ascii="Arial" w:hAnsi="Arial"/>
          <w:b/>
          <w:bCs/>
          <w:sz w:val="26"/>
          <w:szCs w:val="26"/>
          <w:rtl/>
        </w:rPr>
        <w:tab/>
      </w:r>
      <w:r w:rsidR="008B6E77">
        <w:rPr>
          <w:rFonts w:ascii="Arial" w:hAnsi="Arial"/>
          <w:b/>
          <w:bCs/>
          <w:sz w:val="26"/>
          <w:szCs w:val="26"/>
          <w:rtl/>
        </w:rPr>
        <w:tab/>
      </w:r>
      <w:r w:rsidR="008B6E77">
        <w:rPr>
          <w:rFonts w:ascii="Arial" w:hAnsi="Arial"/>
          <w:b/>
          <w:bCs/>
          <w:sz w:val="26"/>
          <w:szCs w:val="26"/>
          <w:rtl/>
        </w:rPr>
        <w:tab/>
        <w:t xml:space="preserve">         </w:t>
      </w:r>
    </w:p>
    <w:p w14:paraId="1F9E0822" w14:textId="77777777" w:rsidR="008B6E77" w:rsidRPr="000F2247" w:rsidRDefault="008B6E77" w:rsidP="0012204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CAAD4B9" w14:textId="77777777" w:rsidR="008B6E77" w:rsidRPr="00122049" w:rsidRDefault="008B6E77" w:rsidP="00122049">
      <w:pPr>
        <w:keepNext/>
        <w:rPr>
          <w:rFonts w:ascii="David" w:hAnsi="David"/>
          <w:color w:val="000000"/>
          <w:sz w:val="22"/>
          <w:szCs w:val="22"/>
          <w:rtl/>
        </w:rPr>
      </w:pPr>
    </w:p>
    <w:p w14:paraId="10AF84EB" w14:textId="77777777" w:rsidR="00122049" w:rsidRPr="00122049" w:rsidRDefault="00122049" w:rsidP="00122049">
      <w:pPr>
        <w:keepNext/>
        <w:rPr>
          <w:rFonts w:ascii="David" w:hAnsi="David"/>
          <w:color w:val="000000"/>
          <w:sz w:val="22"/>
          <w:szCs w:val="22"/>
          <w:rtl/>
        </w:rPr>
      </w:pPr>
      <w:r w:rsidRPr="00122049">
        <w:rPr>
          <w:rFonts w:ascii="David" w:hAnsi="David"/>
          <w:color w:val="000000"/>
          <w:sz w:val="22"/>
          <w:szCs w:val="22"/>
          <w:rtl/>
        </w:rPr>
        <w:t>ענת יהב 54678313</w:t>
      </w:r>
    </w:p>
    <w:p w14:paraId="388AD854" w14:textId="77777777" w:rsidR="00122049" w:rsidRDefault="00122049" w:rsidP="00122049">
      <w:pPr>
        <w:rPr>
          <w:rFonts w:ascii="Arial" w:hAnsi="Arial"/>
          <w:b/>
          <w:bCs/>
          <w:sz w:val="26"/>
          <w:szCs w:val="26"/>
          <w:rtl/>
        </w:rPr>
      </w:pPr>
      <w:r w:rsidRPr="00122049">
        <w:rPr>
          <w:rFonts w:ascii="Arial" w:hAnsi="Arial"/>
          <w:b/>
          <w:bCs/>
          <w:color w:val="000000"/>
          <w:sz w:val="26"/>
          <w:szCs w:val="26"/>
          <w:rtl/>
        </w:rPr>
        <w:t>נוסח מסמך זה כפוף לשינויי ניסוח ועריכה</w:t>
      </w:r>
    </w:p>
    <w:p w14:paraId="4199E7C1" w14:textId="77777777" w:rsidR="00122049" w:rsidRDefault="00122049" w:rsidP="00122049">
      <w:pPr>
        <w:rPr>
          <w:rFonts w:ascii="Arial" w:hAnsi="Arial"/>
          <w:b/>
          <w:bCs/>
          <w:sz w:val="26"/>
          <w:szCs w:val="26"/>
          <w:rtl/>
        </w:rPr>
      </w:pPr>
    </w:p>
    <w:p w14:paraId="485CBDC4" w14:textId="77777777" w:rsidR="00122049" w:rsidRDefault="00122049" w:rsidP="00122049">
      <w:pPr>
        <w:jc w:val="center"/>
        <w:rPr>
          <w:rFonts w:ascii="Arial" w:hAnsi="Arial"/>
          <w:b/>
          <w:bCs/>
          <w:color w:val="0000FF"/>
          <w:sz w:val="26"/>
          <w:u w:val="single"/>
          <w:rtl/>
        </w:rPr>
      </w:pPr>
      <w:hyperlink r:id="rId42" w:history="1">
        <w:r>
          <w:rPr>
            <w:rFonts w:ascii="Arial" w:hAnsi="Arial"/>
            <w:b/>
            <w:bCs/>
            <w:color w:val="0000FF"/>
            <w:sz w:val="26"/>
            <w:u w:val="single"/>
            <w:rtl/>
          </w:rPr>
          <w:t>בעניין עריכה ושינויים במסמכי פסיקה, חקיקה ועוד באתר נבו – הקש כאן</w:t>
        </w:r>
      </w:hyperlink>
    </w:p>
    <w:p w14:paraId="28E8DC33" w14:textId="77777777" w:rsidR="00122049" w:rsidRPr="00122049" w:rsidRDefault="00122049" w:rsidP="00122049">
      <w:pPr>
        <w:jc w:val="center"/>
        <w:rPr>
          <w:rFonts w:ascii="Arial" w:hAnsi="Arial"/>
          <w:b/>
          <w:bCs/>
          <w:color w:val="0000FF"/>
          <w:sz w:val="26"/>
          <w:u w:val="single"/>
          <w:rtl/>
        </w:rPr>
      </w:pPr>
    </w:p>
    <w:sectPr w:rsidR="00122049" w:rsidRPr="00122049" w:rsidSect="00122049">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E7F47" w14:textId="77777777" w:rsidR="00F81FE2" w:rsidRDefault="00F81FE2">
      <w:r>
        <w:separator/>
      </w:r>
    </w:p>
  </w:endnote>
  <w:endnote w:type="continuationSeparator" w:id="0">
    <w:p w14:paraId="2931A969" w14:textId="77777777" w:rsidR="00F81FE2" w:rsidRDefault="00F8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BA42B" w14:textId="77777777" w:rsidR="00122049" w:rsidRDefault="00122049" w:rsidP="0012204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05D978" w14:textId="77777777" w:rsidR="008B6E77" w:rsidRPr="00122049" w:rsidRDefault="00122049" w:rsidP="0012204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0746" w14:textId="77777777" w:rsidR="00122049" w:rsidRDefault="00122049" w:rsidP="0012204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772CC">
      <w:rPr>
        <w:rFonts w:ascii="FrankRuehl" w:hAnsi="FrankRuehl" w:cs="FrankRuehl"/>
        <w:noProof/>
        <w:rtl/>
      </w:rPr>
      <w:t>1</w:t>
    </w:r>
    <w:r>
      <w:rPr>
        <w:rFonts w:ascii="FrankRuehl" w:hAnsi="FrankRuehl" w:cs="FrankRuehl"/>
        <w:rtl/>
      </w:rPr>
      <w:fldChar w:fldCharType="end"/>
    </w:r>
  </w:p>
  <w:p w14:paraId="4347B8AF" w14:textId="77777777" w:rsidR="008B6E77" w:rsidRPr="00122049" w:rsidRDefault="00122049" w:rsidP="0012204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3C7A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0E30A" w14:textId="77777777" w:rsidR="00F81FE2" w:rsidRDefault="00F81FE2">
      <w:r>
        <w:separator/>
      </w:r>
    </w:p>
  </w:footnote>
  <w:footnote w:type="continuationSeparator" w:id="0">
    <w:p w14:paraId="0345A7E7" w14:textId="77777777" w:rsidR="00F81FE2" w:rsidRDefault="00F81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F821E" w14:textId="77777777" w:rsidR="00122049" w:rsidRPr="00122049" w:rsidRDefault="00122049" w:rsidP="00122049">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66127-07-23</w:t>
    </w:r>
    <w:r>
      <w:rPr>
        <w:rFonts w:ascii="David" w:hAnsi="David"/>
        <w:color w:val="000000"/>
        <w:sz w:val="22"/>
        <w:szCs w:val="22"/>
        <w:rtl/>
      </w:rPr>
      <w:tab/>
      <w:t xml:space="preserve"> מדינת ישראל נ' זאור נטרושוילי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B9817" w14:textId="77777777" w:rsidR="008B6E77" w:rsidRPr="00122049" w:rsidRDefault="00122049" w:rsidP="00122049">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66127-07-23</w:t>
    </w:r>
    <w:r>
      <w:rPr>
        <w:rFonts w:ascii="David" w:hAnsi="David"/>
        <w:color w:val="000000"/>
        <w:sz w:val="22"/>
        <w:szCs w:val="22"/>
        <w:rtl/>
      </w:rPr>
      <w:tab/>
      <w:t xml:space="preserve"> מדינת ישראל נ' זאור נטרושוילי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246"/>
    <w:multiLevelType w:val="hybridMultilevel"/>
    <w:tmpl w:val="5B647F5E"/>
    <w:lvl w:ilvl="0" w:tplc="4E06A1F2">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08A6001B"/>
    <w:multiLevelType w:val="hybridMultilevel"/>
    <w:tmpl w:val="5582F008"/>
    <w:lvl w:ilvl="0" w:tplc="0FB630CA">
      <w:start w:val="1"/>
      <w:numFmt w:val="decimal"/>
      <w:pStyle w:val="Ruller4"/>
      <w:lvlText w:val="%1."/>
      <w:lvlJc w:val="left"/>
      <w:pPr>
        <w:tabs>
          <w:tab w:val="num" w:pos="907"/>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C386B12"/>
    <w:multiLevelType w:val="hybridMultilevel"/>
    <w:tmpl w:val="74BCA9D8"/>
    <w:lvl w:ilvl="0" w:tplc="0409000F">
      <w:start w:val="1"/>
      <w:numFmt w:val="decimal"/>
      <w:lvlText w:val="%1."/>
      <w:lvlJc w:val="left"/>
      <w:pPr>
        <w:ind w:left="1494"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B449B"/>
    <w:multiLevelType w:val="hybridMultilevel"/>
    <w:tmpl w:val="498AA134"/>
    <w:lvl w:ilvl="0" w:tplc="C9B48B1E">
      <w:start w:val="1"/>
      <w:numFmt w:val="hebrew1"/>
      <w:lvlText w:val="%1."/>
      <w:lvlJc w:val="left"/>
      <w:pPr>
        <w:ind w:left="720" w:hanging="360"/>
      </w:pPr>
      <w:rPr>
        <w:rFonts w:ascii="David" w:hAnsi="David" w:cs="David" w:hint="default"/>
        <w:b w:val="0"/>
        <w:bCs/>
        <w:sz w:val="28"/>
        <w:szCs w:val="28"/>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7103851"/>
    <w:multiLevelType w:val="hybridMultilevel"/>
    <w:tmpl w:val="EE468362"/>
    <w:lvl w:ilvl="0" w:tplc="3F88A6B0">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369C3C64"/>
    <w:multiLevelType w:val="hybridMultilevel"/>
    <w:tmpl w:val="36E4234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3D355491"/>
    <w:multiLevelType w:val="hybridMultilevel"/>
    <w:tmpl w:val="075A577E"/>
    <w:lvl w:ilvl="0" w:tplc="D3B8CB40">
      <w:start w:val="1"/>
      <w:numFmt w:val="hebrew1"/>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9" w15:restartNumberingAfterBreak="0">
    <w:nsid w:val="474D1B85"/>
    <w:multiLevelType w:val="hybridMultilevel"/>
    <w:tmpl w:val="EB628C7C"/>
    <w:lvl w:ilvl="0" w:tplc="952427D8">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23E1E40"/>
    <w:multiLevelType w:val="hybridMultilevel"/>
    <w:tmpl w:val="6CA08D36"/>
    <w:lvl w:ilvl="0" w:tplc="445249E6">
      <w:start w:val="1"/>
      <w:numFmt w:val="hebrew1"/>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2" w15:restartNumberingAfterBreak="0">
    <w:nsid w:val="62A22845"/>
    <w:multiLevelType w:val="hybridMultilevel"/>
    <w:tmpl w:val="B0902414"/>
    <w:lvl w:ilvl="0" w:tplc="BAE8C538">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72685967"/>
    <w:multiLevelType w:val="hybridMultilevel"/>
    <w:tmpl w:val="089C9322"/>
    <w:lvl w:ilvl="0" w:tplc="F5623B8A">
      <w:start w:val="1"/>
      <w:numFmt w:val="hebrew1"/>
      <w:pStyle w:val="a"/>
      <w:lvlText w:val="%1."/>
      <w:lvlJc w:val="center"/>
      <w:pPr>
        <w:ind w:left="927" w:hanging="360"/>
      </w:pPr>
      <w:rPr>
        <w:rFonts w:cs="Times New Roman"/>
        <w:b w:val="0"/>
        <w:bCs w:val="0"/>
      </w:rPr>
    </w:lvl>
    <w:lvl w:ilvl="1" w:tplc="B56C6704">
      <w:start w:val="1"/>
      <w:numFmt w:val="lowerLetter"/>
      <w:lvlText w:val="%2."/>
      <w:lvlJc w:val="left"/>
      <w:pPr>
        <w:ind w:left="1800" w:hanging="360"/>
      </w:pPr>
      <w:rPr>
        <w:rFonts w:cs="Times New Roman"/>
      </w:rPr>
    </w:lvl>
    <w:lvl w:ilvl="2" w:tplc="6DA0FED2">
      <w:start w:val="1"/>
      <w:numFmt w:val="lowerRoman"/>
      <w:lvlText w:val="%3."/>
      <w:lvlJc w:val="right"/>
      <w:pPr>
        <w:ind w:left="2520" w:hanging="180"/>
      </w:pPr>
      <w:rPr>
        <w:rFonts w:cs="Times New Roman"/>
      </w:rPr>
    </w:lvl>
    <w:lvl w:ilvl="3" w:tplc="8A0A448E">
      <w:start w:val="1"/>
      <w:numFmt w:val="decimal"/>
      <w:lvlText w:val="%4."/>
      <w:lvlJc w:val="left"/>
      <w:pPr>
        <w:ind w:left="3240" w:hanging="360"/>
      </w:pPr>
      <w:rPr>
        <w:rFonts w:cs="Times New Roman"/>
      </w:rPr>
    </w:lvl>
    <w:lvl w:ilvl="4" w:tplc="72E89E72">
      <w:start w:val="1"/>
      <w:numFmt w:val="lowerLetter"/>
      <w:lvlText w:val="%5."/>
      <w:lvlJc w:val="left"/>
      <w:pPr>
        <w:ind w:left="3960" w:hanging="360"/>
      </w:pPr>
      <w:rPr>
        <w:rFonts w:cs="Times New Roman"/>
      </w:rPr>
    </w:lvl>
    <w:lvl w:ilvl="5" w:tplc="16FE696A">
      <w:start w:val="1"/>
      <w:numFmt w:val="lowerRoman"/>
      <w:lvlText w:val="%6."/>
      <w:lvlJc w:val="right"/>
      <w:pPr>
        <w:ind w:left="4680" w:hanging="180"/>
      </w:pPr>
      <w:rPr>
        <w:rFonts w:cs="Times New Roman"/>
      </w:rPr>
    </w:lvl>
    <w:lvl w:ilvl="6" w:tplc="99C6CB16">
      <w:start w:val="1"/>
      <w:numFmt w:val="decimal"/>
      <w:lvlText w:val="%7."/>
      <w:lvlJc w:val="left"/>
      <w:pPr>
        <w:ind w:left="5400" w:hanging="360"/>
      </w:pPr>
      <w:rPr>
        <w:rFonts w:cs="Times New Roman"/>
      </w:rPr>
    </w:lvl>
    <w:lvl w:ilvl="7" w:tplc="A34E50D4">
      <w:start w:val="1"/>
      <w:numFmt w:val="lowerLetter"/>
      <w:lvlText w:val="%8."/>
      <w:lvlJc w:val="left"/>
      <w:pPr>
        <w:ind w:left="6120" w:hanging="360"/>
      </w:pPr>
      <w:rPr>
        <w:rFonts w:cs="Times New Roman"/>
      </w:rPr>
    </w:lvl>
    <w:lvl w:ilvl="8" w:tplc="4BEAB0EA">
      <w:start w:val="1"/>
      <w:numFmt w:val="lowerRoman"/>
      <w:lvlText w:val="%9."/>
      <w:lvlJc w:val="right"/>
      <w:pPr>
        <w:ind w:left="6840" w:hanging="180"/>
      </w:pPr>
      <w:rPr>
        <w:rFonts w:cs="Times New Roman"/>
      </w:rPr>
    </w:lvl>
  </w:abstractNum>
  <w:num w:numId="1" w16cid:durableId="1132821344">
    <w:abstractNumId w:val="10"/>
  </w:num>
  <w:num w:numId="2" w16cid:durableId="1551454703">
    <w:abstractNumId w:val="4"/>
  </w:num>
  <w:num w:numId="3" w16cid:durableId="1201993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55342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4704019">
    <w:abstractNumId w:val="3"/>
  </w:num>
  <w:num w:numId="6" w16cid:durableId="6294365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260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97712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48534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24944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3467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00060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14204649">
    <w:abstractNumId w:val="9"/>
  </w:num>
  <w:num w:numId="14" w16cid:durableId="1804619245">
    <w:abstractNumId w:val="12"/>
  </w:num>
  <w:num w:numId="15" w16cid:durableId="1057626421">
    <w:abstractNumId w:val="5"/>
  </w:num>
  <w:num w:numId="16" w16cid:durableId="12763999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80469418"/>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80469418&amp;lt;/CaseID&amp;gt;_x000d__x000a_        &amp;lt;CaseMonth&amp;gt;7&amp;lt;/CaseMonth&amp;gt;_x000d__x000a_        &amp;lt;CaseYear&amp;gt;2023&amp;lt;/CaseYear&amp;gt;_x000d__x000a_        &amp;lt;CaseNumber&amp;gt;66127&amp;lt;/CaseNumber&amp;gt;_x000d__x000a_        &amp;lt;NumeratorGroupID&amp;gt;1&amp;lt;/NumeratorGroupID&amp;gt;_x000d__x000a_        &amp;lt;CaseName&amp;gt;îãéðú éùøàì ð&amp;#39; ðèøåùåéìé(òöéø)&amp;lt;/CaseName&amp;gt;_x000d__x000a_        &amp;lt;CourtID&amp;gt;32&amp;lt;/CourtID&amp;gt;_x000d__x000a_        &amp;lt;CaseTypeID&amp;gt;10048&amp;lt;/CaseTypeID&amp;gt;_x000d__x000a_        &amp;lt;CaseJudgeName&amp;gt;òðú éäá&amp;lt;/CaseJudgeName&amp;gt;_x000d__x000a_        &amp;lt;CaseLinkTypeID&amp;gt;7&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true&amp;lt;/IsAppealingCaseExist&amp;gt;_x000d__x000a_        &amp;lt;CaseDisplayIdentifier&amp;gt;66127-07-23&amp;lt;/CaseDisplayIdentifier&amp;gt;_x000d__x000a_        &amp;lt;CaseTypeDesc&amp;gt;ú&amp;quot;ô&amp;lt;/CaseTypeDesc&amp;gt;_x000d__x000a_        &amp;lt;CourtDesc&amp;gt;ùìåí úì àáéá - éôå&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23-07-28T08:54:00+03:00&amp;lt;/CaseOpenDate&amp;gt;_x000d__x000a_        &amp;lt;PleaTypeID&amp;gt;8&amp;lt;/PleaTypeID&amp;gt;_x000d__x000a_        &amp;lt;CourtLevelID&amp;gt;1&amp;lt;/CourtLevelID&amp;gt;_x000d__x000a_        &amp;lt;CourtLevelCaseTypeInterestID&amp;gt;211&amp;lt;/CourtLevelCaseTypeInterestID&amp;gt;_x000d__x000a_        &amp;lt;CaseJudgeFirstName&amp;gt;òðú&amp;lt;/CaseJudgeFirstName&amp;gt;_x000d__x000a_        &amp;lt;CaseJudgeLastName&amp;gt;éäá&amp;lt;/CaseJudgeLastName&amp;gt;_x000d__x000a_        &amp;lt;JudicalPersonID&amp;gt;022756118@GOV.IL&amp;lt;/JudicalPersonID&amp;gt;_x000d__x000a_        &amp;lt;IsJudicalPanel&amp;gt;false&amp;lt;/IsJudicalPanel&amp;gt;_x000d__x000a_        &amp;lt;CourtDisplayName&amp;gt;áéú îùôè äùìåí áúì àáéá -éôå&amp;lt;/CourtDisplayName&amp;gt;_x000d__x000a_        &amp;lt;IsAllStartDataCollected&amp;gt;true&amp;lt;/IsAllStartDataCollected&amp;gt;_x000d__x000a_        &amp;lt;IsMainCase&amp;gt;false&amp;lt;/IsMainCase&amp;gt;_x000d__x000a_        &amp;lt;CaseDesc&amp;gt;ùåççúé òí ñåôéä(îäîùôçä ùì äðàùí) òì îðú ùúâéù á÷ùä áùîå ìâáé ÷áìú äôé÷ãåï ùì öå ääáàä.&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80469418&amp;lt;/CaseID&amp;gt;_x000d__x000a_        &amp;lt;CaseMonth&amp;gt;7&amp;lt;/CaseMonth&amp;gt;_x000d__x000a_        &amp;lt;CaseYear&amp;gt;2023&amp;lt;/CaseYear&amp;gt;_x000d__x000a_        &amp;lt;CaseNumber&amp;gt;66127&amp;lt;/CaseNumber&amp;gt;_x000d__x000a_        &amp;lt;NumeratorGroupID&amp;gt;1&amp;lt;/NumeratorGroupID&amp;gt;_x000d__x000a_        &amp;lt;CaseName&amp;gt;îãéðú éùøàì ð&amp;#39; ðèøåùåéìé(òöéø)&amp;lt;/CaseName&amp;gt;_x000d__x000a_        &amp;lt;CourtID&amp;gt;32&amp;lt;/CourtID&amp;gt;_x000d__x000a_        &amp;lt;CaseTypeID&amp;gt;10048&amp;lt;/CaseTypeID&amp;gt;_x000d__x000a_        &amp;lt;CaseJudgeName&amp;gt;òðú éäá&amp;lt;/CaseJudgeName&amp;gt;_x000d__x000a_        &amp;lt;CaseLinkTypeID&amp;gt;7&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true&amp;lt;/IsAppealingCaseExist&amp;gt;_x000d__x000a_        &amp;lt;CaseDisplayIdentifier&amp;gt;66127-07-23&amp;lt;/CaseDisplayIdentifier&amp;gt;_x000d__x000a_        &amp;lt;CaseTypeDesc&amp;gt;ú&amp;quot;ô&amp;lt;/CaseTypeDesc&amp;gt;_x000d__x000a_        &amp;lt;CourtDesc&amp;gt;ùìåí úì àáéá - éôå&amp;lt;/CourtDesc&amp;gt;_x000d__x000a_        &amp;lt;CaseStageDesc&amp;gt;úé÷ àì÷èøåðé&amp;lt;/CaseStageDesc&amp;gt;_x000d__x000a_        &amp;lt;CaseNextDeterminingTask&amp;gt;150&amp;lt;/CaseNextDeterminingTask&amp;gt;_x000d__x000a_        &amp;lt;CaseOpenDate&amp;gt;2023-07-28T08:54:00+03:00&amp;lt;/CaseOpenDate&amp;gt;_x000d__x000a_        &amp;lt;PleaTypeID&amp;gt;8&amp;lt;/PleaTypeID&amp;gt;_x000d__x000a_        &amp;lt;CourtLevelID&amp;gt;1&amp;lt;/CourtLevelID&amp;gt;_x000d__x000a_        &amp;lt;CourtLevelCaseTypeInterestID&amp;gt;211&amp;lt;/CourtLevelCaseTypeInterestID&amp;gt;_x000d__x000a_        &amp;lt;CaseJudgeFirstName&amp;gt;òðú&amp;lt;/CaseJudgeFirstName&amp;gt;_x000d__x000a_        &amp;lt;CaseJudgeLastName&amp;gt;éäá&amp;lt;/CaseJudgeLastName&amp;gt;_x000d__x000a_        &amp;lt;JudicalPersonID&amp;gt;022756118@GOV.IL&amp;lt;/JudicalPersonID&amp;gt;_x000d__x000a_        &amp;lt;IsJudicalPanel&amp;gt;false&amp;lt;/IsJudicalPanel&amp;gt;_x000d__x000a_        &amp;lt;CourtDisplayName&amp;gt;áéú îùôè äùìåí áúì àáéá -éôå&amp;lt;/CourtDisplayName&amp;gt;_x000d__x000a_        &amp;lt;IsAllStartDataCollected&amp;gt;true&amp;lt;/IsAllStartDataCollected&amp;gt;_x000d__x000a_        &amp;lt;IsMainCase&amp;gt;false&amp;lt;/IsMainCase&amp;gt;_x000d__x000a_        &amp;lt;CaseDesc&amp;gt;ùåççúé òí ñåôéä(îäîùôçä ùì äðàùí) òì îðú ùúâéù á÷ùä áùîå ìâáé ÷áìú äôé÷ãåï ùì öå ääáàä.&amp;lt;/CaseDesc&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32"/>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54976385&amp;lt;/DecisionID&amp;gt;_x000d__x000a_        &amp;lt;DecisionName&amp;gt;âæø ãéï  ùðéúðä ò&amp;quot;é  òðú éäá&amp;lt;/DecisionName&amp;gt;_x000d__x000a_        &amp;lt;DecisionStatusID&amp;gt;1&amp;lt;/DecisionStatusID&amp;gt;_x000d__x000a_        &amp;lt;DecisionStatusChangeDate&amp;gt;2024-10-07T11:52:28.54+03:00&amp;lt;/DecisionStatusChangeDate&amp;gt;_x000d__x000a_        &amp;lt;DecisionSignatureDate&amp;gt;2024-09-17T18:06:53.063+03:00&amp;lt;/DecisionSignatureDate&amp;gt;_x000d__x000a_        &amp;lt;DecisionSignatureUserID&amp;gt;022756118@GOV.IL&amp;lt;/DecisionSignatureUserID&amp;gt;_x000d__x000a_        &amp;lt;DecisionCreateDate&amp;gt;2024-09-17T18:09:32.43+03:00&amp;lt;/DecisionCreateDate&amp;gt;_x000d__x000a_        &amp;lt;DecisionChangeDate&amp;gt;2024-10-07T11:52:28.803+03:00&amp;lt;/DecisionChangeDate&amp;gt;_x000d__x000a_        &amp;lt;DecisionChangeUserID&amp;gt;022756118@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55490917&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2756118@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204127583@GOV.IL&amp;lt;/DecisionCreationUserID&amp;gt;_x000d__x000a_        &amp;lt;DecisionDisplayName&amp;gt;âæø ãéï  ùðéúðä ò&amp;quot;é  òðú éäá&amp;lt;/DecisionDisplayName&amp;gt;_x000d__x000a_        &amp;lt;IsScanned&amp;gt;false&amp;lt;/IsScanned&amp;gt;_x000d__x000a_        &amp;lt;DecisionSignatureUserName&amp;gt;òðú éäá&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17&amp;lt;/DecisionNumberInCase&amp;gt;_x000d__x000a_      &amp;lt;/dt_Decision&amp;gt;_x000d__x000a_      &amp;lt;dt_DecisionCase diffgr:id=&amp;quot;dt_DecisionCase1&amp;quot; msdata:rowOrder=&amp;quot;0&amp;quot;&amp;gt;_x000d__x000a_        &amp;lt;DecisionID&amp;gt;154976385&amp;lt;/DecisionID&amp;gt;_x000d__x000a_        &amp;lt;CaseID&amp;gt;80469418&amp;lt;/CaseID&amp;gt;_x000d__x000a_        &amp;lt;IsOriginal&amp;gt;true&amp;lt;/IsOriginal&amp;gt;_x000d__x000a_        &amp;lt;IsDeleted&amp;gt;false&amp;lt;/IsDeleted&amp;gt;_x000d__x000a_        &amp;lt;CaseName&amp;gt;îãéðú éùøàì ð&amp;#39; ðèøåùåéìé(òöéø)&amp;lt;/CaseName&amp;gt;_x000d__x000a_        &amp;lt;CaseDisplayIdentifier&amp;gt;66127-07-23 ú&amp;quot;ô&amp;lt;/CaseDisplayIdentifier&amp;gt;_x000d__x000a_      &amp;lt;/dt_DecisionCase&amp;gt;_x000d__x000a_    &amp;lt;/DecisionDS&amp;gt;_x000d__x000a_  &amp;lt;/diffgr:diffgram&amp;gt;_x000d__x000a_&amp;lt;/DecisionDS&amp;gt;"/>
    <w:docVar w:name="DecisionID" w:val="154976385"/>
    <w:docVar w:name="MyInfo" w:val="This document was extracted from Nevo's site"/>
    <w:docVar w:name="WordClientAssemblyName" w:val="NGCS.Decision.ClientWordBL"/>
    <w:docVar w:name="WordClientClassName" w:val="NGCS.Decision.ClientWordBL.DecisionClient"/>
  </w:docVars>
  <w:rsids>
    <w:rsidRoot w:val="00507694"/>
    <w:rsid w:val="0000752B"/>
    <w:rsid w:val="00022A47"/>
    <w:rsid w:val="00031F8A"/>
    <w:rsid w:val="000454A8"/>
    <w:rsid w:val="000503AB"/>
    <w:rsid w:val="000524AF"/>
    <w:rsid w:val="00054FC4"/>
    <w:rsid w:val="0006726A"/>
    <w:rsid w:val="000D4C97"/>
    <w:rsid w:val="000D7D09"/>
    <w:rsid w:val="000F2247"/>
    <w:rsid w:val="00100577"/>
    <w:rsid w:val="0011282E"/>
    <w:rsid w:val="00121266"/>
    <w:rsid w:val="00122049"/>
    <w:rsid w:val="001224E1"/>
    <w:rsid w:val="001328F0"/>
    <w:rsid w:val="001352F8"/>
    <w:rsid w:val="00140B50"/>
    <w:rsid w:val="00181B80"/>
    <w:rsid w:val="0019207B"/>
    <w:rsid w:val="001B6740"/>
    <w:rsid w:val="002103DB"/>
    <w:rsid w:val="00212125"/>
    <w:rsid w:val="00213567"/>
    <w:rsid w:val="002161FE"/>
    <w:rsid w:val="00224AC0"/>
    <w:rsid w:val="00267D0A"/>
    <w:rsid w:val="002B7D23"/>
    <w:rsid w:val="002D6C61"/>
    <w:rsid w:val="002F6D34"/>
    <w:rsid w:val="00304816"/>
    <w:rsid w:val="00310B6C"/>
    <w:rsid w:val="003230B7"/>
    <w:rsid w:val="00367565"/>
    <w:rsid w:val="003A2EFD"/>
    <w:rsid w:val="003D7D8A"/>
    <w:rsid w:val="003E0C9F"/>
    <w:rsid w:val="003E369E"/>
    <w:rsid w:val="004215DC"/>
    <w:rsid w:val="00424A22"/>
    <w:rsid w:val="004415C5"/>
    <w:rsid w:val="0045276A"/>
    <w:rsid w:val="004621FF"/>
    <w:rsid w:val="004902D6"/>
    <w:rsid w:val="004B7F1F"/>
    <w:rsid w:val="004C0B32"/>
    <w:rsid w:val="004F7EA9"/>
    <w:rsid w:val="00507694"/>
    <w:rsid w:val="0055635F"/>
    <w:rsid w:val="0055649C"/>
    <w:rsid w:val="005603B8"/>
    <w:rsid w:val="005772CC"/>
    <w:rsid w:val="005814B7"/>
    <w:rsid w:val="00593D3D"/>
    <w:rsid w:val="005A01BB"/>
    <w:rsid w:val="005A0358"/>
    <w:rsid w:val="005B2E9A"/>
    <w:rsid w:val="005C7B0B"/>
    <w:rsid w:val="005D00A9"/>
    <w:rsid w:val="005E6C07"/>
    <w:rsid w:val="005F3E2F"/>
    <w:rsid w:val="00602CA4"/>
    <w:rsid w:val="00604F6C"/>
    <w:rsid w:val="0064403C"/>
    <w:rsid w:val="00647E7A"/>
    <w:rsid w:val="00651FA6"/>
    <w:rsid w:val="006756B5"/>
    <w:rsid w:val="006812DC"/>
    <w:rsid w:val="00683ABD"/>
    <w:rsid w:val="00684E84"/>
    <w:rsid w:val="00691E5D"/>
    <w:rsid w:val="006B1B80"/>
    <w:rsid w:val="006B35E2"/>
    <w:rsid w:val="006C2095"/>
    <w:rsid w:val="006C330D"/>
    <w:rsid w:val="006D134E"/>
    <w:rsid w:val="00706644"/>
    <w:rsid w:val="007141AE"/>
    <w:rsid w:val="00721305"/>
    <w:rsid w:val="00721FEB"/>
    <w:rsid w:val="00725917"/>
    <w:rsid w:val="00732DEE"/>
    <w:rsid w:val="00736611"/>
    <w:rsid w:val="0075612C"/>
    <w:rsid w:val="00757983"/>
    <w:rsid w:val="00761A4B"/>
    <w:rsid w:val="00774483"/>
    <w:rsid w:val="007917F6"/>
    <w:rsid w:val="00795ABA"/>
    <w:rsid w:val="007B70EF"/>
    <w:rsid w:val="007D46DD"/>
    <w:rsid w:val="00802DF0"/>
    <w:rsid w:val="00821B68"/>
    <w:rsid w:val="00821F29"/>
    <w:rsid w:val="00822550"/>
    <w:rsid w:val="00832D73"/>
    <w:rsid w:val="008714F5"/>
    <w:rsid w:val="0087244F"/>
    <w:rsid w:val="008819B4"/>
    <w:rsid w:val="008A0397"/>
    <w:rsid w:val="008B04A7"/>
    <w:rsid w:val="008B6E77"/>
    <w:rsid w:val="00905F46"/>
    <w:rsid w:val="009061A5"/>
    <w:rsid w:val="00924697"/>
    <w:rsid w:val="009327CC"/>
    <w:rsid w:val="00947B38"/>
    <w:rsid w:val="009549A0"/>
    <w:rsid w:val="009705CC"/>
    <w:rsid w:val="00986ABD"/>
    <w:rsid w:val="00992D9D"/>
    <w:rsid w:val="009A36EB"/>
    <w:rsid w:val="009A730D"/>
    <w:rsid w:val="009E35A7"/>
    <w:rsid w:val="009E49A1"/>
    <w:rsid w:val="009F504D"/>
    <w:rsid w:val="009F7106"/>
    <w:rsid w:val="00A070D6"/>
    <w:rsid w:val="00A07292"/>
    <w:rsid w:val="00A43836"/>
    <w:rsid w:val="00A504C4"/>
    <w:rsid w:val="00A6167F"/>
    <w:rsid w:val="00A63AB1"/>
    <w:rsid w:val="00A85828"/>
    <w:rsid w:val="00B02B19"/>
    <w:rsid w:val="00B05847"/>
    <w:rsid w:val="00B14C7D"/>
    <w:rsid w:val="00B22E0A"/>
    <w:rsid w:val="00B23FA5"/>
    <w:rsid w:val="00B37F97"/>
    <w:rsid w:val="00B46B82"/>
    <w:rsid w:val="00B72BEC"/>
    <w:rsid w:val="00BD67E7"/>
    <w:rsid w:val="00BE0015"/>
    <w:rsid w:val="00BE6609"/>
    <w:rsid w:val="00C02463"/>
    <w:rsid w:val="00C168C9"/>
    <w:rsid w:val="00C30E32"/>
    <w:rsid w:val="00C45023"/>
    <w:rsid w:val="00C55E62"/>
    <w:rsid w:val="00C572E8"/>
    <w:rsid w:val="00C958E9"/>
    <w:rsid w:val="00CA03C0"/>
    <w:rsid w:val="00CF4134"/>
    <w:rsid w:val="00D13971"/>
    <w:rsid w:val="00D202F4"/>
    <w:rsid w:val="00D209C1"/>
    <w:rsid w:val="00D3203D"/>
    <w:rsid w:val="00D56131"/>
    <w:rsid w:val="00D76AE0"/>
    <w:rsid w:val="00D8244E"/>
    <w:rsid w:val="00D95050"/>
    <w:rsid w:val="00D968B5"/>
    <w:rsid w:val="00DD722D"/>
    <w:rsid w:val="00E01E37"/>
    <w:rsid w:val="00E052BA"/>
    <w:rsid w:val="00E70F9C"/>
    <w:rsid w:val="00EA1CBE"/>
    <w:rsid w:val="00EB20FF"/>
    <w:rsid w:val="00EC5614"/>
    <w:rsid w:val="00ED2D88"/>
    <w:rsid w:val="00ED4465"/>
    <w:rsid w:val="00F0493D"/>
    <w:rsid w:val="00F25FC7"/>
    <w:rsid w:val="00F26177"/>
    <w:rsid w:val="00F30C11"/>
    <w:rsid w:val="00F4025F"/>
    <w:rsid w:val="00F47B6B"/>
    <w:rsid w:val="00F75AFC"/>
    <w:rsid w:val="00F75CD9"/>
    <w:rsid w:val="00F81FE2"/>
    <w:rsid w:val="00F84A80"/>
    <w:rsid w:val="00F8727C"/>
    <w:rsid w:val="00F918EF"/>
    <w:rsid w:val="00FD7CF9"/>
    <w:rsid w:val="00FF627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B460DCF"/>
  <w15:chartTrackingRefBased/>
  <w15:docId w15:val="{463BDC20-05AF-4304-9BD4-884F3E0C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bidi/>
    </w:pPr>
    <w:rPr>
      <w:rFonts w:cs="David"/>
      <w:sz w:val="24"/>
      <w:szCs w:val="24"/>
    </w:rPr>
  </w:style>
  <w:style w:type="paragraph" w:styleId="1">
    <w:name w:val="heading 1"/>
    <w:basedOn w:val="a0"/>
    <w:next w:val="a0"/>
    <w:qFormat/>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C30E32"/>
    <w:pPr>
      <w:keepNext/>
      <w:keepLines/>
      <w:spacing w:before="40"/>
      <w:outlineLvl w:val="1"/>
    </w:pPr>
    <w:rPr>
      <w:rFonts w:ascii="Cambria" w:hAnsi="Cambria" w:cs="Times New Roman"/>
      <w:color w:val="365F91"/>
      <w:sz w:val="26"/>
      <w:szCs w:val="26"/>
    </w:rPr>
  </w:style>
  <w:style w:type="paragraph" w:styleId="4">
    <w:name w:val="heading 4"/>
    <w:basedOn w:val="a0"/>
    <w:next w:val="a0"/>
    <w:qFormat/>
    <w:pPr>
      <w:keepNext/>
      <w:ind w:left="5760" w:firstLine="720"/>
      <w:outlineLvl w:val="3"/>
    </w:pPr>
    <w:rPr>
      <w:rFonts w:cs="Narkisim"/>
      <w:b/>
      <w:bCs/>
    </w:rPr>
  </w:style>
  <w:style w:type="paragraph" w:styleId="5">
    <w:name w:val="heading 5"/>
    <w:basedOn w:val="a0"/>
    <w:next w:val="a0"/>
    <w:link w:val="50"/>
    <w:qFormat/>
    <w:rsid w:val="00CF4134"/>
    <w:pPr>
      <w:keepNext/>
      <w:keepLines/>
      <w:spacing w:before="40"/>
      <w:outlineLvl w:val="4"/>
    </w:pPr>
    <w:rPr>
      <w:rFonts w:ascii="Cambria" w:hAnsi="Cambria" w:cs="Times New Roman"/>
      <w:color w:val="365F91"/>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pPr>
      <w:tabs>
        <w:tab w:val="center" w:pos="4153"/>
        <w:tab w:val="right" w:pos="8306"/>
      </w:tabs>
    </w:pPr>
  </w:style>
  <w:style w:type="paragraph" w:styleId="a5">
    <w:name w:val="footer"/>
    <w:basedOn w:val="a0"/>
    <w:pPr>
      <w:tabs>
        <w:tab w:val="center" w:pos="4153"/>
        <w:tab w:val="right" w:pos="8306"/>
      </w:tabs>
    </w:pPr>
  </w:style>
  <w:style w:type="character" w:styleId="a6">
    <w:name w:val="annotation reference"/>
    <w:semiHidden/>
    <w:rPr>
      <w:sz w:val="16"/>
    </w:rPr>
  </w:style>
  <w:style w:type="paragraph" w:styleId="a7">
    <w:name w:val="annotation text"/>
    <w:basedOn w:val="a0"/>
    <w:semiHidden/>
    <w:rPr>
      <w:rFonts w:cs="Times New Roman"/>
      <w:lang w:eastAsia="he-IL"/>
    </w:rPr>
  </w:style>
  <w:style w:type="paragraph" w:styleId="a8">
    <w:name w:val="Balloon Text"/>
    <w:basedOn w:val="a0"/>
    <w:semiHidden/>
    <w:rPr>
      <w:rFonts w:ascii="Tahoma" w:hAnsi="Tahoma" w:cs="Tahoma"/>
      <w:sz w:val="16"/>
      <w:szCs w:val="16"/>
    </w:rPr>
  </w:style>
  <w:style w:type="table" w:styleId="a9">
    <w:name w:val="Table Grid"/>
    <w:basedOn w:val="a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BD67E7"/>
    <w:rPr>
      <w:rFonts w:cs="Times New Roman"/>
    </w:rPr>
  </w:style>
  <w:style w:type="character" w:customStyle="1" w:styleId="PlaceholderText">
    <w:name w:val="Placeholder Text"/>
    <w:semiHidden/>
    <w:rsid w:val="003D7D8A"/>
    <w:rPr>
      <w:color w:val="808080"/>
    </w:rPr>
  </w:style>
  <w:style w:type="character" w:customStyle="1" w:styleId="20">
    <w:name w:val="כותרת 2 תו"/>
    <w:link w:val="2"/>
    <w:semiHidden/>
    <w:locked/>
    <w:rsid w:val="00C30E32"/>
    <w:rPr>
      <w:rFonts w:ascii="Cambria" w:hAnsi="Cambria"/>
      <w:color w:val="365F91"/>
      <w:sz w:val="26"/>
    </w:rPr>
  </w:style>
  <w:style w:type="character" w:customStyle="1" w:styleId="ListParagraphChar">
    <w:name w:val="List Paragraph Char"/>
    <w:link w:val="ListParagraph"/>
    <w:locked/>
    <w:rsid w:val="00C30E32"/>
    <w:rPr>
      <w:sz w:val="24"/>
    </w:rPr>
  </w:style>
  <w:style w:type="paragraph" w:customStyle="1" w:styleId="ListParagraph">
    <w:name w:val="List Paragraph"/>
    <w:basedOn w:val="a0"/>
    <w:link w:val="ListParagraphChar"/>
    <w:qFormat/>
    <w:rsid w:val="00C30E32"/>
    <w:pPr>
      <w:spacing w:after="120" w:line="360" w:lineRule="auto"/>
      <w:ind w:left="720"/>
      <w:contextualSpacing/>
    </w:pPr>
  </w:style>
  <w:style w:type="character" w:styleId="Hyperlink">
    <w:name w:val="Hyperlink"/>
    <w:semiHidden/>
    <w:rsid w:val="00C30E32"/>
    <w:rPr>
      <w:color w:val="0563C1"/>
      <w:u w:val="single"/>
    </w:rPr>
  </w:style>
  <w:style w:type="paragraph" w:customStyle="1" w:styleId="Ruller40">
    <w:name w:val="Ruller4"/>
    <w:basedOn w:val="a0"/>
    <w:rsid w:val="00A43836"/>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4">
    <w:name w:val="Ruller 4 ממוספר"/>
    <w:basedOn w:val="Ruller40"/>
    <w:next w:val="Ruller40"/>
    <w:rsid w:val="00A43836"/>
    <w:pPr>
      <w:numPr>
        <w:numId w:val="7"/>
      </w:numPr>
    </w:pPr>
    <w:rPr>
      <w:rFonts w:ascii="Garamond" w:hAnsi="Garamond"/>
      <w:sz w:val="24"/>
    </w:rPr>
  </w:style>
  <w:style w:type="paragraph" w:customStyle="1" w:styleId="ab">
    <w:name w:val="ללא מספור"/>
    <w:rsid w:val="00E052BA"/>
    <w:pPr>
      <w:bidi/>
      <w:spacing w:after="240" w:line="360" w:lineRule="auto"/>
      <w:ind w:left="651" w:hanging="7"/>
      <w:jc w:val="both"/>
    </w:pPr>
    <w:rPr>
      <w:rFonts w:ascii="David" w:hAnsi="David" w:cs="David"/>
      <w:sz w:val="24"/>
      <w:szCs w:val="24"/>
    </w:rPr>
  </w:style>
  <w:style w:type="paragraph" w:customStyle="1" w:styleId="ac">
    <w:name w:val="צטוט"/>
    <w:next w:val="ab"/>
    <w:rsid w:val="00E052BA"/>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F84A80"/>
    <w:pPr>
      <w:bidi/>
      <w:spacing w:after="120" w:line="360" w:lineRule="auto"/>
      <w:ind w:left="1218"/>
      <w:jc w:val="both"/>
    </w:pPr>
    <w:rPr>
      <w:rFonts w:ascii="David" w:hAnsi="David" w:cs="David"/>
      <w:sz w:val="24"/>
      <w:szCs w:val="24"/>
    </w:rPr>
  </w:style>
  <w:style w:type="paragraph" w:customStyle="1" w:styleId="a">
    <w:name w:val="מספור אות"/>
    <w:next w:val="-"/>
    <w:rsid w:val="00F84A80"/>
    <w:pPr>
      <w:numPr>
        <w:numId w:val="8"/>
      </w:numPr>
      <w:bidi/>
      <w:spacing w:before="240" w:after="120" w:line="360" w:lineRule="auto"/>
    </w:pPr>
    <w:rPr>
      <w:rFonts w:ascii="David" w:hAnsi="David" w:cs="David"/>
      <w:sz w:val="24"/>
      <w:szCs w:val="24"/>
    </w:rPr>
  </w:style>
  <w:style w:type="character" w:customStyle="1" w:styleId="50">
    <w:name w:val="כותרת 5 תו"/>
    <w:link w:val="5"/>
    <w:semiHidden/>
    <w:locked/>
    <w:rsid w:val="00CF4134"/>
    <w:rPr>
      <w:rFonts w:ascii="Cambria" w:hAnsi="Cambria"/>
      <w:color w:val="365F91"/>
      <w:sz w:val="24"/>
    </w:rPr>
  </w:style>
  <w:style w:type="paragraph" w:customStyle="1" w:styleId="10">
    <w:name w:val="פיסקת רשימה1"/>
    <w:basedOn w:val="a0"/>
    <w:rsid w:val="00821B68"/>
    <w:pPr>
      <w:autoSpaceDE w:val="0"/>
      <w:autoSpaceDN w:val="0"/>
      <w:spacing w:line="360" w:lineRule="auto"/>
      <w:ind w:left="720"/>
      <w:contextualSpacing/>
      <w:jc w:val="both"/>
    </w:pPr>
    <w:rPr>
      <w:rFonts w:cs="Times New Roman"/>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905927"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986974" TargetMode="External"/><Relationship Id="rId39" Type="http://schemas.openxmlformats.org/officeDocument/2006/relationships/hyperlink" Target="http://www.nevo.co.il/case/30079394" TargetMode="External"/><Relationship Id="rId21" Type="http://schemas.openxmlformats.org/officeDocument/2006/relationships/hyperlink" Target="http://www.nevo.co.il/case/29650897" TargetMode="External"/><Relationship Id="rId34" Type="http://schemas.openxmlformats.org/officeDocument/2006/relationships/hyperlink" Target="http://www.nevo.co.il/case/27502726"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7791493" TargetMode="External"/><Relationship Id="rId29" Type="http://schemas.openxmlformats.org/officeDocument/2006/relationships/hyperlink" Target="http://www.nevo.co.il/case/292432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9591873" TargetMode="External"/><Relationship Id="rId32" Type="http://schemas.openxmlformats.org/officeDocument/2006/relationships/hyperlink" Target="http://www.nevo.co.il/case/27894608" TargetMode="External"/><Relationship Id="rId37" Type="http://schemas.openxmlformats.org/officeDocument/2006/relationships/hyperlink" Target="http://www.nevo.co.il/case/27734980" TargetMode="External"/><Relationship Id="rId40" Type="http://schemas.openxmlformats.org/officeDocument/2006/relationships/hyperlink" Target="http://www.nevo.co.il/case/30070353"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852404" TargetMode="External"/><Relationship Id="rId23" Type="http://schemas.openxmlformats.org/officeDocument/2006/relationships/hyperlink" Target="http://www.nevo.co.il/case/10527728" TargetMode="External"/><Relationship Id="rId28" Type="http://schemas.openxmlformats.org/officeDocument/2006/relationships/hyperlink" Target="http://www.nevo.co.il/case/29903642" TargetMode="External"/><Relationship Id="rId36" Type="http://schemas.openxmlformats.org/officeDocument/2006/relationships/hyperlink" Target="http://www.nevo.co.il/case/24404287"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144.g" TargetMode="External"/><Relationship Id="rId31" Type="http://schemas.openxmlformats.org/officeDocument/2006/relationships/hyperlink" Target="http://www.nevo.co.il/case/28400048"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case/2730927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913995" TargetMode="External"/><Relationship Id="rId30" Type="http://schemas.openxmlformats.org/officeDocument/2006/relationships/hyperlink" Target="http://www.nevo.co.il/case/28852952" TargetMode="External"/><Relationship Id="rId35" Type="http://schemas.openxmlformats.org/officeDocument/2006/relationships/hyperlink" Target="http://www.nevo.co.il/case/2751094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5821327" TargetMode="External"/><Relationship Id="rId25" Type="http://schemas.openxmlformats.org/officeDocument/2006/relationships/hyperlink" Target="http://www.nevo.co.il/case/28567439" TargetMode="External"/><Relationship Id="rId33" Type="http://schemas.openxmlformats.org/officeDocument/2006/relationships/hyperlink" Target="http://www.nevo.co.il/case/28229995" TargetMode="External"/><Relationship Id="rId38" Type="http://schemas.openxmlformats.org/officeDocument/2006/relationships/hyperlink" Target="http://www.nevo.co.il/case/27171364" TargetMode="External"/><Relationship Id="rId46" Type="http://schemas.openxmlformats.org/officeDocument/2006/relationships/footer" Target="footer2.xml"/><Relationship Id="rId20" Type="http://schemas.openxmlformats.org/officeDocument/2006/relationships/hyperlink" Target="http://www.nevo.co.il/case/28513828" TargetMode="External"/><Relationship Id="rId41"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2968</Words>
  <Characters>14842</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17775</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7864368</vt:i4>
      </vt:variant>
      <vt:variant>
        <vt:i4>102</vt:i4>
      </vt:variant>
      <vt:variant>
        <vt:i4>0</vt:i4>
      </vt:variant>
      <vt:variant>
        <vt:i4>5</vt:i4>
      </vt:variant>
      <vt:variant>
        <vt:lpwstr>http://www.eca.gov.il/</vt:lpwstr>
      </vt:variant>
      <vt:variant>
        <vt:lpwstr/>
      </vt:variant>
      <vt:variant>
        <vt:i4>3539056</vt:i4>
      </vt:variant>
      <vt:variant>
        <vt:i4>99</vt:i4>
      </vt:variant>
      <vt:variant>
        <vt:i4>0</vt:i4>
      </vt:variant>
      <vt:variant>
        <vt:i4>5</vt:i4>
      </vt:variant>
      <vt:variant>
        <vt:lpwstr>http://www.nevo.co.il/case/30070353</vt:lpwstr>
      </vt:variant>
      <vt:variant>
        <vt:lpwstr/>
      </vt:variant>
      <vt:variant>
        <vt:i4>3342448</vt:i4>
      </vt:variant>
      <vt:variant>
        <vt:i4>96</vt:i4>
      </vt:variant>
      <vt:variant>
        <vt:i4>0</vt:i4>
      </vt:variant>
      <vt:variant>
        <vt:i4>5</vt:i4>
      </vt:variant>
      <vt:variant>
        <vt:lpwstr>http://www.nevo.co.il/case/30079394</vt:lpwstr>
      </vt:variant>
      <vt:variant>
        <vt:lpwstr/>
      </vt:variant>
      <vt:variant>
        <vt:i4>3407991</vt:i4>
      </vt:variant>
      <vt:variant>
        <vt:i4>93</vt:i4>
      </vt:variant>
      <vt:variant>
        <vt:i4>0</vt:i4>
      </vt:variant>
      <vt:variant>
        <vt:i4>5</vt:i4>
      </vt:variant>
      <vt:variant>
        <vt:lpwstr>http://www.nevo.co.il/case/27171364</vt:lpwstr>
      </vt:variant>
      <vt:variant>
        <vt:lpwstr/>
      </vt:variant>
      <vt:variant>
        <vt:i4>3735673</vt:i4>
      </vt:variant>
      <vt:variant>
        <vt:i4>90</vt:i4>
      </vt:variant>
      <vt:variant>
        <vt:i4>0</vt:i4>
      </vt:variant>
      <vt:variant>
        <vt:i4>5</vt:i4>
      </vt:variant>
      <vt:variant>
        <vt:lpwstr>http://www.nevo.co.il/case/27734980</vt:lpwstr>
      </vt:variant>
      <vt:variant>
        <vt:lpwstr/>
      </vt:variant>
      <vt:variant>
        <vt:i4>3801202</vt:i4>
      </vt:variant>
      <vt:variant>
        <vt:i4>87</vt:i4>
      </vt:variant>
      <vt:variant>
        <vt:i4>0</vt:i4>
      </vt:variant>
      <vt:variant>
        <vt:i4>5</vt:i4>
      </vt:variant>
      <vt:variant>
        <vt:lpwstr>http://www.nevo.co.il/case/24404287</vt:lpwstr>
      </vt:variant>
      <vt:variant>
        <vt:lpwstr/>
      </vt:variant>
      <vt:variant>
        <vt:i4>3342459</vt:i4>
      </vt:variant>
      <vt:variant>
        <vt:i4>84</vt:i4>
      </vt:variant>
      <vt:variant>
        <vt:i4>0</vt:i4>
      </vt:variant>
      <vt:variant>
        <vt:i4>5</vt:i4>
      </vt:variant>
      <vt:variant>
        <vt:lpwstr>http://www.nevo.co.il/case/27510949</vt:lpwstr>
      </vt:variant>
      <vt:variant>
        <vt:lpwstr/>
      </vt:variant>
      <vt:variant>
        <vt:i4>3604596</vt:i4>
      </vt:variant>
      <vt:variant>
        <vt:i4>81</vt:i4>
      </vt:variant>
      <vt:variant>
        <vt:i4>0</vt:i4>
      </vt:variant>
      <vt:variant>
        <vt:i4>5</vt:i4>
      </vt:variant>
      <vt:variant>
        <vt:lpwstr>http://www.nevo.co.il/case/27502726</vt:lpwstr>
      </vt:variant>
      <vt:variant>
        <vt:lpwstr/>
      </vt:variant>
      <vt:variant>
        <vt:i4>3145847</vt:i4>
      </vt:variant>
      <vt:variant>
        <vt:i4>78</vt:i4>
      </vt:variant>
      <vt:variant>
        <vt:i4>0</vt:i4>
      </vt:variant>
      <vt:variant>
        <vt:i4>5</vt:i4>
      </vt:variant>
      <vt:variant>
        <vt:lpwstr>http://www.nevo.co.il/case/28229995</vt:lpwstr>
      </vt:variant>
      <vt:variant>
        <vt:lpwstr/>
      </vt:variant>
      <vt:variant>
        <vt:i4>4063356</vt:i4>
      </vt:variant>
      <vt:variant>
        <vt:i4>75</vt:i4>
      </vt:variant>
      <vt:variant>
        <vt:i4>0</vt:i4>
      </vt:variant>
      <vt:variant>
        <vt:i4>5</vt:i4>
      </vt:variant>
      <vt:variant>
        <vt:lpwstr>http://www.nevo.co.il/case/27894608</vt:lpwstr>
      </vt:variant>
      <vt:variant>
        <vt:lpwstr/>
      </vt:variant>
      <vt:variant>
        <vt:i4>3276924</vt:i4>
      </vt:variant>
      <vt:variant>
        <vt:i4>72</vt:i4>
      </vt:variant>
      <vt:variant>
        <vt:i4>0</vt:i4>
      </vt:variant>
      <vt:variant>
        <vt:i4>5</vt:i4>
      </vt:variant>
      <vt:variant>
        <vt:lpwstr>http://www.nevo.co.il/case/28400048</vt:lpwstr>
      </vt:variant>
      <vt:variant>
        <vt:lpwstr/>
      </vt:variant>
      <vt:variant>
        <vt:i4>3997808</vt:i4>
      </vt:variant>
      <vt:variant>
        <vt:i4>69</vt:i4>
      </vt:variant>
      <vt:variant>
        <vt:i4>0</vt:i4>
      </vt:variant>
      <vt:variant>
        <vt:i4>5</vt:i4>
      </vt:variant>
      <vt:variant>
        <vt:lpwstr>http://www.nevo.co.il/case/28852952</vt:lpwstr>
      </vt:variant>
      <vt:variant>
        <vt:lpwstr/>
      </vt:variant>
      <vt:variant>
        <vt:i4>3866747</vt:i4>
      </vt:variant>
      <vt:variant>
        <vt:i4>66</vt:i4>
      </vt:variant>
      <vt:variant>
        <vt:i4>0</vt:i4>
      </vt:variant>
      <vt:variant>
        <vt:i4>5</vt:i4>
      </vt:variant>
      <vt:variant>
        <vt:lpwstr>http://www.nevo.co.il/case/29243283</vt:lpwstr>
      </vt:variant>
      <vt:variant>
        <vt:lpwstr/>
      </vt:variant>
      <vt:variant>
        <vt:i4>3932283</vt:i4>
      </vt:variant>
      <vt:variant>
        <vt:i4>63</vt:i4>
      </vt:variant>
      <vt:variant>
        <vt:i4>0</vt:i4>
      </vt:variant>
      <vt:variant>
        <vt:i4>5</vt:i4>
      </vt:variant>
      <vt:variant>
        <vt:lpwstr>http://www.nevo.co.il/case/29903642</vt:lpwstr>
      </vt:variant>
      <vt:variant>
        <vt:lpwstr/>
      </vt:variant>
      <vt:variant>
        <vt:i4>3211386</vt:i4>
      </vt:variant>
      <vt:variant>
        <vt:i4>60</vt:i4>
      </vt:variant>
      <vt:variant>
        <vt:i4>0</vt:i4>
      </vt:variant>
      <vt:variant>
        <vt:i4>5</vt:i4>
      </vt:variant>
      <vt:variant>
        <vt:lpwstr>http://www.nevo.co.il/case/26913995</vt:lpwstr>
      </vt:variant>
      <vt:variant>
        <vt:lpwstr/>
      </vt:variant>
      <vt:variant>
        <vt:i4>3801203</vt:i4>
      </vt:variant>
      <vt:variant>
        <vt:i4>57</vt:i4>
      </vt:variant>
      <vt:variant>
        <vt:i4>0</vt:i4>
      </vt:variant>
      <vt:variant>
        <vt:i4>5</vt:i4>
      </vt:variant>
      <vt:variant>
        <vt:lpwstr>http://www.nevo.co.il/case/26986974</vt:lpwstr>
      </vt:variant>
      <vt:variant>
        <vt:lpwstr/>
      </vt:variant>
      <vt:variant>
        <vt:i4>3342462</vt:i4>
      </vt:variant>
      <vt:variant>
        <vt:i4>54</vt:i4>
      </vt:variant>
      <vt:variant>
        <vt:i4>0</vt:i4>
      </vt:variant>
      <vt:variant>
        <vt:i4>5</vt:i4>
      </vt:variant>
      <vt:variant>
        <vt:lpwstr>http://www.nevo.co.il/case/28567439</vt:lpwstr>
      </vt:variant>
      <vt:variant>
        <vt:lpwstr/>
      </vt:variant>
      <vt:variant>
        <vt:i4>3211388</vt:i4>
      </vt:variant>
      <vt:variant>
        <vt:i4>51</vt:i4>
      </vt:variant>
      <vt:variant>
        <vt:i4>0</vt:i4>
      </vt:variant>
      <vt:variant>
        <vt:i4>5</vt:i4>
      </vt:variant>
      <vt:variant>
        <vt:lpwstr>http://www.nevo.co.il/case/29591873</vt:lpwstr>
      </vt:variant>
      <vt:variant>
        <vt:lpwstr/>
      </vt:variant>
      <vt:variant>
        <vt:i4>3211377</vt:i4>
      </vt:variant>
      <vt:variant>
        <vt:i4>48</vt:i4>
      </vt:variant>
      <vt:variant>
        <vt:i4>0</vt:i4>
      </vt:variant>
      <vt:variant>
        <vt:i4>5</vt:i4>
      </vt:variant>
      <vt:variant>
        <vt:lpwstr>http://www.nevo.co.il/case/10527728</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3997808</vt:i4>
      </vt:variant>
      <vt:variant>
        <vt:i4>42</vt:i4>
      </vt:variant>
      <vt:variant>
        <vt:i4>0</vt:i4>
      </vt:variant>
      <vt:variant>
        <vt:i4>5</vt:i4>
      </vt:variant>
      <vt:variant>
        <vt:lpwstr>http://www.nevo.co.il/case/29650897</vt:lpwstr>
      </vt:variant>
      <vt:variant>
        <vt:lpwstr/>
      </vt:variant>
      <vt:variant>
        <vt:i4>3539061</vt:i4>
      </vt:variant>
      <vt:variant>
        <vt:i4>39</vt:i4>
      </vt:variant>
      <vt:variant>
        <vt:i4>0</vt:i4>
      </vt:variant>
      <vt:variant>
        <vt:i4>5</vt:i4>
      </vt:variant>
      <vt:variant>
        <vt:lpwstr>http://www.nevo.co.il/case/28513828</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7995492</vt:i4>
      </vt:variant>
      <vt:variant>
        <vt:i4>33</vt:i4>
      </vt:variant>
      <vt:variant>
        <vt:i4>0</vt:i4>
      </vt:variant>
      <vt:variant>
        <vt:i4>5</vt:i4>
      </vt:variant>
      <vt:variant>
        <vt:lpwstr>http://www.nevo.co.il/law/70301</vt:lpwstr>
      </vt:variant>
      <vt:variant>
        <vt:lpwstr/>
      </vt:variant>
      <vt:variant>
        <vt:i4>3342463</vt:i4>
      </vt:variant>
      <vt:variant>
        <vt:i4>30</vt:i4>
      </vt:variant>
      <vt:variant>
        <vt:i4>0</vt:i4>
      </vt:variant>
      <vt:variant>
        <vt:i4>5</vt:i4>
      </vt:variant>
      <vt:variant>
        <vt:lpwstr>http://www.nevo.co.il/case/5821327</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3145854</vt:i4>
      </vt:variant>
      <vt:variant>
        <vt:i4>24</vt:i4>
      </vt:variant>
      <vt:variant>
        <vt:i4>0</vt:i4>
      </vt:variant>
      <vt:variant>
        <vt:i4>5</vt:i4>
      </vt:variant>
      <vt:variant>
        <vt:lpwstr>http://www.nevo.co.il/case/5852404</vt:lpwstr>
      </vt:variant>
      <vt:variant>
        <vt:lpwstr/>
      </vt:variant>
      <vt:variant>
        <vt:i4>4128881</vt:i4>
      </vt:variant>
      <vt:variant>
        <vt:i4>21</vt:i4>
      </vt:variant>
      <vt:variant>
        <vt:i4>0</vt:i4>
      </vt:variant>
      <vt:variant>
        <vt:i4>5</vt:i4>
      </vt:variant>
      <vt:variant>
        <vt:lpwstr>http://www.nevo.co.il/case/27309272</vt:lpwstr>
      </vt:variant>
      <vt:variant>
        <vt:lpwstr/>
      </vt:variant>
      <vt:variant>
        <vt:i4>3932283</vt:i4>
      </vt:variant>
      <vt:variant>
        <vt:i4>18</vt:i4>
      </vt:variant>
      <vt:variant>
        <vt:i4>0</vt:i4>
      </vt:variant>
      <vt:variant>
        <vt:i4>5</vt:i4>
      </vt:variant>
      <vt:variant>
        <vt:lpwstr>http://www.nevo.co.il/case/26905927</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2025-04-25T11:08:00Z</dcterms:created>
  <dcterms:modified xsi:type="dcterms:W3CDTF">2025-04-25T11:08:00Z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66127</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זאור נטרושוילי</vt:lpwstr>
  </property>
  <property fmtid="{D5CDD505-2E9C-101B-9397-08002B2CF9AE}" pid="10" name="LAWYER">
    <vt:lpwstr>שמשון וייס;מתמחה רוני גת</vt:lpwstr>
  </property>
  <property fmtid="{D5CDD505-2E9C-101B-9397-08002B2CF9AE}" pid="11" name="JUDGE">
    <vt:lpwstr>ענת יהב</vt:lpwstr>
  </property>
  <property fmtid="{D5CDD505-2E9C-101B-9397-08002B2CF9AE}" pid="12" name="CITY">
    <vt:lpwstr>ת"א</vt:lpwstr>
  </property>
  <property fmtid="{D5CDD505-2E9C-101B-9397-08002B2CF9AE}" pid="13" name="DATE">
    <vt:lpwstr>20241007</vt:lpwstr>
  </property>
  <property fmtid="{D5CDD505-2E9C-101B-9397-08002B2CF9AE}" pid="14" name="TYPE_N_DATE">
    <vt:lpwstr>38020241007</vt:lpwstr>
  </property>
  <property fmtid="{D5CDD505-2E9C-101B-9397-08002B2CF9AE}" pid="15" name="CASESLISTTMP1">
    <vt:lpwstr>26905927;27309272;5852404;7791493;5821327;28513828;29650897;10527728;29591873;28567439;26986974;26913995;29903642;29243283;28852952;28400048;27894608;28229995;27502726;27510949;24404287;27734980;27171364;30079394;30070353</vt:lpwstr>
  </property>
  <property fmtid="{D5CDD505-2E9C-101B-9397-08002B2CF9AE}" pid="16" name="CASENOTES1">
    <vt:lpwstr>ProcID=209&amp;PartA=65912&amp;PartB=07&amp;PartC=18</vt:lpwstr>
  </property>
  <property fmtid="{D5CDD505-2E9C-101B-9397-08002B2CF9AE}" pid="17" name="CASENOTES2">
    <vt:lpwstr>ProcID=133;209&amp;PartA=25183&amp;PartB=10&amp;PartC=16</vt:lpwstr>
  </property>
  <property fmtid="{D5CDD505-2E9C-101B-9397-08002B2CF9AE}" pid="18" name="CASENOTES3">
    <vt:lpwstr>ProcID=80;213&amp;PartA=66119&amp;PartC=07</vt:lpwstr>
  </property>
  <property fmtid="{D5CDD505-2E9C-101B-9397-08002B2CF9AE}" pid="19" name="WORDNUMPAGES">
    <vt:lpwstr>9</vt:lpwstr>
  </property>
  <property fmtid="{D5CDD505-2E9C-101B-9397-08002B2CF9AE}" pid="20" name="TYPE_ABS_DATE">
    <vt:lpwstr>380020241007</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70301/144.a;144.g</vt:lpwstr>
  </property>
</Properties>
</file>