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1F61BA" w:rsidRPr="00DB161C" w14:paraId="753B17FF" w14:textId="77777777" w:rsidTr="006A3F09">
        <w:trPr>
          <w:gridAfter w:val="1"/>
          <w:wAfter w:w="99" w:type="dxa"/>
          <w:trHeight w:hRule="exact" w:val="418"/>
          <w:jc w:val="center"/>
        </w:trPr>
        <w:tc>
          <w:tcPr>
            <w:tcW w:w="8721" w:type="dxa"/>
            <w:gridSpan w:val="4"/>
          </w:tcPr>
          <w:p w14:paraId="4E8C3E33" w14:textId="77777777" w:rsidR="001F61BA" w:rsidRPr="00DB161C" w:rsidRDefault="001F61BA" w:rsidP="009A652C">
            <w:pPr>
              <w:pStyle w:val="a3"/>
              <w:jc w:val="center"/>
              <w:rPr>
                <w:rFonts w:ascii="Tahoma" w:hAnsi="Tahoma" w:cs="Tahoma"/>
                <w:color w:val="000080"/>
                <w:rtl/>
              </w:rPr>
            </w:pPr>
            <w:bookmarkStart w:id="0" w:name="LastJudge"/>
            <w:r w:rsidRPr="00DB161C">
              <w:rPr>
                <w:rFonts w:ascii="Tahoma" w:hAnsi="Tahoma" w:cs="Tahoma"/>
                <w:b/>
                <w:bCs/>
                <w:color w:val="000080"/>
                <w:rtl/>
              </w:rPr>
              <w:t>בית משפט השלום בירושלים</w:t>
            </w:r>
          </w:p>
        </w:tc>
      </w:tr>
      <w:tr w:rsidR="001F61BA" w:rsidRPr="00DB161C" w14:paraId="67A3FBFC" w14:textId="77777777" w:rsidTr="006A3F09">
        <w:trPr>
          <w:gridAfter w:val="1"/>
          <w:wAfter w:w="99" w:type="dxa"/>
          <w:trHeight w:val="337"/>
          <w:jc w:val="center"/>
        </w:trPr>
        <w:tc>
          <w:tcPr>
            <w:tcW w:w="5059" w:type="dxa"/>
            <w:gridSpan w:val="3"/>
          </w:tcPr>
          <w:p w14:paraId="771479EF" w14:textId="77777777" w:rsidR="001F61BA" w:rsidRPr="00DB161C" w:rsidRDefault="001F61BA" w:rsidP="009A652C">
            <w:pPr>
              <w:rPr>
                <w:rFonts w:cs="FrankRuehl"/>
                <w:sz w:val="28"/>
                <w:szCs w:val="28"/>
                <w:rtl/>
              </w:rPr>
            </w:pPr>
            <w:r w:rsidRPr="00DB161C">
              <w:rPr>
                <w:rFonts w:cs="FrankRuehl"/>
                <w:sz w:val="28"/>
                <w:szCs w:val="28"/>
                <w:rtl/>
              </w:rPr>
              <w:t>ת"פ</w:t>
            </w:r>
            <w:r w:rsidRPr="00DB161C">
              <w:rPr>
                <w:rFonts w:cs="FrankRuehl" w:hint="cs"/>
                <w:sz w:val="28"/>
                <w:szCs w:val="28"/>
                <w:rtl/>
              </w:rPr>
              <w:t xml:space="preserve"> </w:t>
            </w:r>
            <w:r w:rsidRPr="00DB161C">
              <w:rPr>
                <w:rFonts w:cs="FrankRuehl"/>
                <w:sz w:val="28"/>
                <w:szCs w:val="28"/>
                <w:rtl/>
              </w:rPr>
              <w:t>3748-08-23</w:t>
            </w:r>
            <w:r w:rsidRPr="00DB161C">
              <w:rPr>
                <w:rFonts w:cs="FrankRuehl" w:hint="cs"/>
                <w:sz w:val="28"/>
                <w:szCs w:val="28"/>
                <w:rtl/>
              </w:rPr>
              <w:t xml:space="preserve"> </w:t>
            </w:r>
            <w:r w:rsidRPr="00DB161C">
              <w:rPr>
                <w:rFonts w:cs="FrankRuehl"/>
                <w:sz w:val="28"/>
                <w:szCs w:val="28"/>
                <w:rtl/>
              </w:rPr>
              <w:t>מדינת ישראל נ' לדווייה(עציר) ואח'</w:t>
            </w:r>
          </w:p>
          <w:p w14:paraId="6796C008" w14:textId="77777777" w:rsidR="001F61BA" w:rsidRPr="00DB161C" w:rsidRDefault="001F61BA" w:rsidP="009A652C">
            <w:pPr>
              <w:pStyle w:val="a3"/>
              <w:rPr>
                <w:rFonts w:cs="FrankRuehl"/>
                <w:sz w:val="28"/>
                <w:szCs w:val="28"/>
                <w:rtl/>
              </w:rPr>
            </w:pPr>
          </w:p>
        </w:tc>
        <w:tc>
          <w:tcPr>
            <w:tcW w:w="3662" w:type="dxa"/>
          </w:tcPr>
          <w:p w14:paraId="1D51D6A3" w14:textId="77777777" w:rsidR="001F61BA" w:rsidRPr="00DB161C" w:rsidRDefault="001F61BA" w:rsidP="009A652C">
            <w:pPr>
              <w:pStyle w:val="a3"/>
              <w:jc w:val="right"/>
              <w:rPr>
                <w:rFonts w:cs="FrankRuehl"/>
                <w:sz w:val="28"/>
                <w:szCs w:val="28"/>
                <w:rtl/>
              </w:rPr>
            </w:pPr>
          </w:p>
        </w:tc>
      </w:tr>
      <w:tr w:rsidR="001F61BA" w:rsidRPr="00DB161C" w14:paraId="09194B4A" w14:textId="77777777" w:rsidTr="006A3F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906EB69" w14:textId="77777777" w:rsidR="001F61BA" w:rsidRPr="00DB161C" w:rsidRDefault="001F61BA" w:rsidP="001F61BA">
            <w:pPr>
              <w:jc w:val="both"/>
              <w:rPr>
                <w:rFonts w:ascii="David" w:hAnsi="David"/>
              </w:rPr>
            </w:pPr>
            <w:r w:rsidRPr="00DB161C">
              <w:rPr>
                <w:rFonts w:hint="cs"/>
                <w:rtl/>
              </w:rPr>
              <w:t xml:space="preserve"> </w:t>
            </w:r>
            <w:r w:rsidRPr="00DB161C">
              <w:rPr>
                <w:rFonts w:ascii="David" w:hAnsi="David" w:hint="cs"/>
                <w:rtl/>
              </w:rPr>
              <w:t>ל</w:t>
            </w:r>
            <w:r w:rsidRPr="00DB161C">
              <w:rPr>
                <w:rFonts w:ascii="David" w:hAnsi="David"/>
                <w:rtl/>
              </w:rPr>
              <w:t xml:space="preserve">פני </w:t>
            </w:r>
          </w:p>
        </w:tc>
        <w:tc>
          <w:tcPr>
            <w:tcW w:w="7897" w:type="dxa"/>
            <w:gridSpan w:val="4"/>
            <w:tcBorders>
              <w:top w:val="nil"/>
              <w:left w:val="nil"/>
              <w:bottom w:val="nil"/>
              <w:right w:val="nil"/>
            </w:tcBorders>
            <w:shd w:val="clear" w:color="auto" w:fill="auto"/>
          </w:tcPr>
          <w:p w14:paraId="3981CE19" w14:textId="77777777" w:rsidR="001F61BA" w:rsidRPr="00DB161C" w:rsidRDefault="001F61BA" w:rsidP="009A652C">
            <w:pPr>
              <w:rPr>
                <w:rFonts w:ascii="David" w:hAnsi="David"/>
                <w:b/>
                <w:bCs/>
                <w:rtl/>
              </w:rPr>
            </w:pPr>
            <w:r w:rsidRPr="00DB161C">
              <w:rPr>
                <w:rFonts w:ascii="David" w:hAnsi="David"/>
                <w:b/>
                <w:bCs/>
                <w:rtl/>
              </w:rPr>
              <w:t>כבוד השופט  ארנון איתן</w:t>
            </w:r>
          </w:p>
          <w:p w14:paraId="43CC5C57" w14:textId="77777777" w:rsidR="001F61BA" w:rsidRPr="00DB161C" w:rsidRDefault="001F61BA" w:rsidP="009A652C">
            <w:pPr>
              <w:rPr>
                <w:rFonts w:ascii="David" w:hAnsi="David"/>
                <w:rtl/>
              </w:rPr>
            </w:pPr>
          </w:p>
          <w:p w14:paraId="11FF457B" w14:textId="77777777" w:rsidR="001F61BA" w:rsidRPr="00DB161C" w:rsidRDefault="001F61BA" w:rsidP="001F61BA">
            <w:pPr>
              <w:jc w:val="both"/>
              <w:rPr>
                <w:rFonts w:ascii="David" w:hAnsi="David"/>
              </w:rPr>
            </w:pPr>
          </w:p>
        </w:tc>
      </w:tr>
      <w:tr w:rsidR="001F61BA" w:rsidRPr="00DB161C" w14:paraId="5D48F1E6" w14:textId="77777777" w:rsidTr="006A3F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6A13ED" w14:textId="77777777" w:rsidR="001F61BA" w:rsidRPr="00DB161C" w:rsidRDefault="001F61BA" w:rsidP="001F61BA">
            <w:pPr>
              <w:jc w:val="both"/>
              <w:rPr>
                <w:rFonts w:ascii="David" w:hAnsi="David"/>
              </w:rPr>
            </w:pPr>
            <w:bookmarkStart w:id="1" w:name="FirstAppellant"/>
            <w:r w:rsidRPr="00DB161C">
              <w:rPr>
                <w:rFonts w:ascii="David" w:hAnsi="David"/>
                <w:rtl/>
              </w:rPr>
              <w:t>בעניין:</w:t>
            </w:r>
          </w:p>
        </w:tc>
        <w:tc>
          <w:tcPr>
            <w:tcW w:w="3219" w:type="dxa"/>
            <w:tcBorders>
              <w:top w:val="nil"/>
              <w:left w:val="nil"/>
              <w:bottom w:val="nil"/>
              <w:right w:val="nil"/>
            </w:tcBorders>
            <w:shd w:val="clear" w:color="auto" w:fill="auto"/>
          </w:tcPr>
          <w:p w14:paraId="428B2DDC" w14:textId="77777777" w:rsidR="001F61BA" w:rsidRPr="00DB161C" w:rsidRDefault="001F61BA" w:rsidP="001F61BA">
            <w:pPr>
              <w:suppressLineNumbers/>
            </w:pPr>
            <w:r w:rsidRPr="00DB161C">
              <w:rPr>
                <w:rFonts w:ascii="Arial" w:hAnsi="Arial" w:hint="cs"/>
                <w:b/>
                <w:bCs/>
                <w:rtl/>
              </w:rPr>
              <w:t>ה</w:t>
            </w:r>
            <w:r w:rsidRPr="00DB161C">
              <w:rPr>
                <w:rFonts w:ascii="Arial" w:hAnsi="Arial"/>
                <w:b/>
                <w:bCs/>
                <w:rtl/>
              </w:rPr>
              <w:t>מאשימה</w:t>
            </w:r>
          </w:p>
          <w:p w14:paraId="706B24B0" w14:textId="77777777" w:rsidR="001F61BA" w:rsidRPr="00DB161C" w:rsidRDefault="001F61BA" w:rsidP="009A652C">
            <w:pPr>
              <w:rPr>
                <w:rFonts w:ascii="David" w:hAnsi="David"/>
              </w:rPr>
            </w:pPr>
          </w:p>
        </w:tc>
        <w:tc>
          <w:tcPr>
            <w:tcW w:w="4678" w:type="dxa"/>
            <w:gridSpan w:val="3"/>
            <w:tcBorders>
              <w:top w:val="nil"/>
              <w:left w:val="nil"/>
              <w:bottom w:val="nil"/>
              <w:right w:val="nil"/>
            </w:tcBorders>
            <w:shd w:val="clear" w:color="auto" w:fill="auto"/>
            <w:vAlign w:val="center"/>
          </w:tcPr>
          <w:p w14:paraId="596B76FC" w14:textId="77777777" w:rsidR="001F61BA" w:rsidRPr="00DB161C" w:rsidRDefault="001F61BA" w:rsidP="001F61BA">
            <w:pPr>
              <w:suppressLineNumbers/>
              <w:rPr>
                <w:rFonts w:ascii="Arial" w:hAnsi="Arial"/>
                <w:b/>
                <w:bCs/>
                <w:rtl/>
              </w:rPr>
            </w:pPr>
            <w:r w:rsidRPr="00DB161C">
              <w:rPr>
                <w:rFonts w:ascii="Arial" w:hAnsi="Arial"/>
                <w:b/>
                <w:bCs/>
                <w:rtl/>
              </w:rPr>
              <w:t>מדינת ישראל</w:t>
            </w:r>
          </w:p>
          <w:p w14:paraId="0AC095EA" w14:textId="77777777" w:rsidR="001F61BA" w:rsidRPr="00DB161C" w:rsidRDefault="001F61BA" w:rsidP="001F61BA">
            <w:pPr>
              <w:suppressLineNumbers/>
            </w:pPr>
            <w:r w:rsidRPr="00DB161C">
              <w:rPr>
                <w:rFonts w:hint="cs"/>
                <w:rtl/>
              </w:rPr>
              <w:t>באמצעות פרקליטות מחוז ירושלים - פלילי</w:t>
            </w:r>
          </w:p>
          <w:p w14:paraId="1943E8DC" w14:textId="77777777" w:rsidR="001F61BA" w:rsidRPr="00DB161C" w:rsidRDefault="001F61BA" w:rsidP="009A652C">
            <w:pPr>
              <w:rPr>
                <w:rFonts w:ascii="David" w:hAnsi="David"/>
              </w:rPr>
            </w:pPr>
          </w:p>
        </w:tc>
      </w:tr>
      <w:bookmarkEnd w:id="1"/>
      <w:tr w:rsidR="001F61BA" w:rsidRPr="00DB161C" w14:paraId="79FAF84D" w14:textId="77777777" w:rsidTr="006A3F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74E450" w14:textId="77777777" w:rsidR="001F61BA" w:rsidRPr="00DB161C" w:rsidRDefault="001F61BA" w:rsidP="001F61BA">
            <w:pPr>
              <w:jc w:val="both"/>
              <w:rPr>
                <w:rFonts w:ascii="David" w:hAnsi="David"/>
                <w:rtl/>
              </w:rPr>
            </w:pPr>
          </w:p>
        </w:tc>
        <w:tc>
          <w:tcPr>
            <w:tcW w:w="7897" w:type="dxa"/>
            <w:gridSpan w:val="4"/>
            <w:tcBorders>
              <w:top w:val="nil"/>
              <w:left w:val="nil"/>
              <w:bottom w:val="nil"/>
              <w:right w:val="nil"/>
            </w:tcBorders>
            <w:shd w:val="clear" w:color="auto" w:fill="auto"/>
          </w:tcPr>
          <w:p w14:paraId="6967B025" w14:textId="77777777" w:rsidR="001F61BA" w:rsidRPr="00DB161C" w:rsidRDefault="001F61BA" w:rsidP="001F61BA">
            <w:pPr>
              <w:jc w:val="center"/>
              <w:rPr>
                <w:rFonts w:ascii="David" w:hAnsi="David"/>
                <w:b/>
                <w:bCs/>
                <w:rtl/>
              </w:rPr>
            </w:pPr>
          </w:p>
          <w:p w14:paraId="49DD6889" w14:textId="77777777" w:rsidR="001F61BA" w:rsidRPr="00DB161C" w:rsidRDefault="001F61BA" w:rsidP="001F61BA">
            <w:pPr>
              <w:jc w:val="center"/>
              <w:rPr>
                <w:rFonts w:ascii="David" w:hAnsi="David"/>
                <w:b/>
                <w:bCs/>
                <w:rtl/>
              </w:rPr>
            </w:pPr>
            <w:r w:rsidRPr="00DB161C">
              <w:rPr>
                <w:rFonts w:ascii="David" w:hAnsi="David"/>
                <w:b/>
                <w:bCs/>
                <w:rtl/>
              </w:rPr>
              <w:t>נגד</w:t>
            </w:r>
          </w:p>
          <w:p w14:paraId="4E003B97" w14:textId="77777777" w:rsidR="001F61BA" w:rsidRPr="00DB161C" w:rsidRDefault="001F61BA" w:rsidP="001F61BA">
            <w:pPr>
              <w:jc w:val="both"/>
              <w:rPr>
                <w:rFonts w:ascii="David" w:hAnsi="David"/>
              </w:rPr>
            </w:pPr>
          </w:p>
        </w:tc>
      </w:tr>
      <w:tr w:rsidR="001F61BA" w:rsidRPr="00DB161C" w14:paraId="7C1DB01D" w14:textId="77777777" w:rsidTr="006A3F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14AA1E" w14:textId="77777777" w:rsidR="001F61BA" w:rsidRPr="00DB161C" w:rsidRDefault="001F61BA" w:rsidP="009A652C">
            <w:pPr>
              <w:rPr>
                <w:rFonts w:ascii="David" w:hAnsi="David"/>
                <w:rtl/>
              </w:rPr>
            </w:pPr>
          </w:p>
        </w:tc>
        <w:tc>
          <w:tcPr>
            <w:tcW w:w="3219" w:type="dxa"/>
            <w:tcBorders>
              <w:top w:val="nil"/>
              <w:left w:val="nil"/>
              <w:bottom w:val="nil"/>
              <w:right w:val="nil"/>
            </w:tcBorders>
            <w:shd w:val="clear" w:color="auto" w:fill="auto"/>
          </w:tcPr>
          <w:p w14:paraId="2FCF1C63" w14:textId="77777777" w:rsidR="001F61BA" w:rsidRPr="00DB161C" w:rsidRDefault="001F61BA" w:rsidP="009A652C">
            <w:pPr>
              <w:rPr>
                <w:rFonts w:ascii="Arial" w:hAnsi="Arial"/>
                <w:b/>
                <w:bCs/>
                <w:rtl/>
              </w:rPr>
            </w:pPr>
            <w:r w:rsidRPr="00DB161C">
              <w:rPr>
                <w:rFonts w:ascii="Arial" w:hAnsi="Arial"/>
                <w:b/>
                <w:bCs/>
                <w:rtl/>
              </w:rPr>
              <w:t>הנאשמים</w:t>
            </w:r>
          </w:p>
        </w:tc>
        <w:tc>
          <w:tcPr>
            <w:tcW w:w="4678" w:type="dxa"/>
            <w:gridSpan w:val="3"/>
            <w:tcBorders>
              <w:top w:val="nil"/>
              <w:left w:val="nil"/>
              <w:bottom w:val="nil"/>
              <w:right w:val="nil"/>
            </w:tcBorders>
            <w:shd w:val="clear" w:color="auto" w:fill="auto"/>
            <w:vAlign w:val="center"/>
          </w:tcPr>
          <w:p w14:paraId="3780D37D" w14:textId="77777777" w:rsidR="001F61BA" w:rsidRPr="00DB161C" w:rsidRDefault="001F61BA" w:rsidP="009A652C">
            <w:pPr>
              <w:rPr>
                <w:rFonts w:ascii="David" w:hAnsi="David"/>
              </w:rPr>
            </w:pPr>
          </w:p>
          <w:p w14:paraId="643E2DDC" w14:textId="77777777" w:rsidR="001F61BA" w:rsidRPr="00DB161C" w:rsidRDefault="001F61BA" w:rsidP="001F61BA">
            <w:pPr>
              <w:suppressLineNumbers/>
            </w:pPr>
            <w:r w:rsidRPr="00DB161C">
              <w:rPr>
                <w:rFonts w:ascii="Arial" w:hAnsi="Arial"/>
                <w:b/>
                <w:bCs/>
                <w:rtl/>
              </w:rPr>
              <w:t>1. מוחמד לידאוויה (עציר)</w:t>
            </w:r>
          </w:p>
          <w:p w14:paraId="40724DC1" w14:textId="77777777" w:rsidR="001F61BA" w:rsidRPr="00DB161C" w:rsidRDefault="001F61BA" w:rsidP="001F61BA">
            <w:pPr>
              <w:suppressLineNumbers/>
            </w:pPr>
            <w:r w:rsidRPr="00DB161C">
              <w:rPr>
                <w:rFonts w:ascii="Arial" w:hAnsi="Arial"/>
                <w:b/>
                <w:bCs/>
                <w:rtl/>
              </w:rPr>
              <w:t>2. אחמד לידאוויה (עציר)</w:t>
            </w:r>
            <w:r w:rsidRPr="00DB161C">
              <w:rPr>
                <w:rFonts w:ascii="Arial" w:hAnsi="Arial"/>
                <w:b/>
                <w:bCs/>
                <w:rtl/>
              </w:rPr>
              <w:br/>
            </w:r>
            <w:r w:rsidRPr="00DB161C">
              <w:rPr>
                <w:rFonts w:ascii="Arial" w:hAnsi="Arial" w:hint="cs"/>
                <w:b/>
                <w:bCs/>
                <w:rtl/>
              </w:rPr>
              <w:t xml:space="preserve">    </w:t>
            </w:r>
            <w:r w:rsidRPr="00DB161C">
              <w:rPr>
                <w:rFonts w:ascii="Arial" w:hAnsi="Arial" w:hint="cs"/>
                <w:rtl/>
              </w:rPr>
              <w:t>ע"י ב"כ עוה"ד מוסטאפה יחיא</w:t>
            </w:r>
          </w:p>
        </w:tc>
      </w:tr>
    </w:tbl>
    <w:p w14:paraId="19FA41EC" w14:textId="77777777" w:rsidR="00DB161C" w:rsidRPr="00DB161C" w:rsidRDefault="00DB161C" w:rsidP="00DB161C">
      <w:pPr>
        <w:spacing w:before="120" w:after="120" w:line="240" w:lineRule="exact"/>
        <w:ind w:left="283" w:hanging="283"/>
        <w:jc w:val="both"/>
        <w:rPr>
          <w:rFonts w:ascii="FrankRuehl" w:hAnsi="FrankRuehl" w:cs="FrankRuehl"/>
          <w:rtl/>
        </w:rPr>
      </w:pPr>
    </w:p>
    <w:p w14:paraId="30BFB81A" w14:textId="77777777" w:rsidR="00DB161C" w:rsidRPr="00DB161C" w:rsidRDefault="00DB161C" w:rsidP="00DB161C">
      <w:pPr>
        <w:rPr>
          <w:sz w:val="26"/>
          <w:szCs w:val="26"/>
          <w:rtl/>
        </w:rPr>
      </w:pPr>
    </w:p>
    <w:p w14:paraId="46068E38" w14:textId="77777777" w:rsidR="006A3F09" w:rsidRPr="006A3F09" w:rsidRDefault="006A3F09" w:rsidP="006A3F09">
      <w:pPr>
        <w:spacing w:before="120" w:after="120" w:line="240" w:lineRule="exact"/>
        <w:ind w:left="283" w:hanging="283"/>
        <w:jc w:val="both"/>
        <w:rPr>
          <w:rFonts w:ascii="FrankRuehl" w:hAnsi="FrankRuehl" w:cs="FrankRuehl"/>
          <w:rtl/>
        </w:rPr>
      </w:pPr>
    </w:p>
    <w:p w14:paraId="048ACCD8" w14:textId="77777777" w:rsidR="006945C2" w:rsidRPr="006945C2" w:rsidRDefault="006945C2" w:rsidP="006945C2">
      <w:pPr>
        <w:spacing w:before="120" w:after="120" w:line="240" w:lineRule="exact"/>
        <w:ind w:left="283" w:hanging="283"/>
        <w:jc w:val="both"/>
        <w:rPr>
          <w:rFonts w:ascii="FrankRuehl" w:hAnsi="FrankRuehl" w:cs="FrankRuehl"/>
          <w:rtl/>
        </w:rPr>
      </w:pPr>
    </w:p>
    <w:p w14:paraId="5BE12D6B" w14:textId="77777777" w:rsidR="006D3DBD" w:rsidRDefault="006D3DBD" w:rsidP="006D3DBD">
      <w:pPr>
        <w:rPr>
          <w:sz w:val="26"/>
          <w:szCs w:val="26"/>
          <w:rtl/>
        </w:rPr>
      </w:pPr>
      <w:bookmarkStart w:id="2" w:name="LawTable"/>
      <w:bookmarkEnd w:id="2"/>
    </w:p>
    <w:p w14:paraId="68984F7D" w14:textId="77777777" w:rsidR="006D3DBD" w:rsidRPr="006D3DBD" w:rsidRDefault="006D3DBD" w:rsidP="006D3DBD">
      <w:pPr>
        <w:spacing w:before="120" w:after="120" w:line="240" w:lineRule="exact"/>
        <w:ind w:left="283" w:hanging="283"/>
        <w:jc w:val="both"/>
        <w:rPr>
          <w:rFonts w:ascii="FrankRuehl" w:hAnsi="FrankRuehl" w:cs="FrankRuehl"/>
          <w:rtl/>
        </w:rPr>
      </w:pPr>
    </w:p>
    <w:p w14:paraId="362E64A6" w14:textId="77777777" w:rsidR="006D3DBD" w:rsidRPr="006D3DBD" w:rsidRDefault="006D3DBD" w:rsidP="006D3DBD">
      <w:pPr>
        <w:spacing w:before="120" w:after="120" w:line="240" w:lineRule="exact"/>
        <w:ind w:left="283" w:hanging="283"/>
        <w:jc w:val="both"/>
        <w:rPr>
          <w:rFonts w:ascii="FrankRuehl" w:hAnsi="FrankRuehl" w:cs="FrankRuehl"/>
          <w:rtl/>
        </w:rPr>
      </w:pPr>
    </w:p>
    <w:p w14:paraId="2CD7FFE9" w14:textId="77777777" w:rsidR="006D3DBD" w:rsidRPr="006D3DBD" w:rsidRDefault="006D3DBD" w:rsidP="006D3DBD">
      <w:pPr>
        <w:spacing w:before="120" w:after="120" w:line="240" w:lineRule="exact"/>
        <w:ind w:left="283" w:hanging="283"/>
        <w:jc w:val="both"/>
        <w:rPr>
          <w:rFonts w:ascii="FrankRuehl" w:hAnsi="FrankRuehl" w:cs="FrankRuehl"/>
          <w:rtl/>
        </w:rPr>
      </w:pPr>
      <w:r w:rsidRPr="006D3DBD">
        <w:rPr>
          <w:rFonts w:ascii="FrankRuehl" w:hAnsi="FrankRuehl" w:cs="FrankRuehl"/>
          <w:rtl/>
        </w:rPr>
        <w:t xml:space="preserve">חקיקה שאוזכרה: </w:t>
      </w:r>
    </w:p>
    <w:p w14:paraId="75814BAF" w14:textId="77777777" w:rsidR="006D3DBD" w:rsidRPr="006D3DBD" w:rsidRDefault="006D3DBD" w:rsidP="006D3DBD">
      <w:pPr>
        <w:spacing w:before="120" w:after="120" w:line="240" w:lineRule="exact"/>
        <w:ind w:left="283" w:hanging="283"/>
        <w:jc w:val="both"/>
        <w:rPr>
          <w:rFonts w:ascii="FrankRuehl" w:hAnsi="FrankRuehl" w:cs="FrankRuehl"/>
          <w:rtl/>
        </w:rPr>
      </w:pPr>
      <w:hyperlink r:id="rId7" w:history="1">
        <w:r w:rsidRPr="006D3DBD">
          <w:rPr>
            <w:rFonts w:ascii="FrankRuehl" w:hAnsi="FrankRuehl" w:cs="FrankRuehl"/>
            <w:color w:val="0000FF"/>
            <w:rtl/>
          </w:rPr>
          <w:t>חוק העונשין, תשל"ז-1977</w:t>
        </w:r>
      </w:hyperlink>
      <w:r w:rsidRPr="006D3DBD">
        <w:rPr>
          <w:rFonts w:ascii="FrankRuehl" w:hAnsi="FrankRuehl" w:cs="FrankRuehl"/>
          <w:rtl/>
        </w:rPr>
        <w:t xml:space="preserve">: סע'  </w:t>
      </w:r>
      <w:hyperlink r:id="rId8" w:history="1">
        <w:r w:rsidRPr="006D3DBD">
          <w:rPr>
            <w:rFonts w:ascii="FrankRuehl" w:hAnsi="FrankRuehl" w:cs="FrankRuehl"/>
            <w:color w:val="0000FF"/>
            <w:rtl/>
          </w:rPr>
          <w:t>144</w:t>
        </w:r>
      </w:hyperlink>
      <w:r w:rsidRPr="006D3DBD">
        <w:rPr>
          <w:rFonts w:ascii="FrankRuehl" w:hAnsi="FrankRuehl" w:cs="FrankRuehl"/>
          <w:rtl/>
        </w:rPr>
        <w:t xml:space="preserve">, </w:t>
      </w:r>
      <w:hyperlink r:id="rId9" w:history="1">
        <w:r w:rsidRPr="006D3DBD">
          <w:rPr>
            <w:rFonts w:ascii="FrankRuehl" w:hAnsi="FrankRuehl" w:cs="FrankRuehl"/>
            <w:color w:val="0000FF"/>
            <w:rtl/>
          </w:rPr>
          <w:t>144(א)</w:t>
        </w:r>
      </w:hyperlink>
      <w:r w:rsidRPr="006D3DBD">
        <w:rPr>
          <w:rFonts w:ascii="FrankRuehl" w:hAnsi="FrankRuehl" w:cs="FrankRuehl"/>
          <w:rtl/>
        </w:rPr>
        <w:t xml:space="preserve">, </w:t>
      </w:r>
      <w:hyperlink r:id="rId10" w:history="1">
        <w:r w:rsidRPr="006D3DBD">
          <w:rPr>
            <w:rFonts w:ascii="FrankRuehl" w:hAnsi="FrankRuehl" w:cs="FrankRuehl"/>
            <w:color w:val="0000FF"/>
            <w:rtl/>
          </w:rPr>
          <w:t>144ז</w:t>
        </w:r>
      </w:hyperlink>
    </w:p>
    <w:p w14:paraId="7C4161B2" w14:textId="77777777" w:rsidR="006D3DBD" w:rsidRPr="006D3DBD" w:rsidRDefault="006D3DBD" w:rsidP="006D3DBD">
      <w:pPr>
        <w:rPr>
          <w:sz w:val="26"/>
          <w:szCs w:val="26"/>
          <w:rtl/>
        </w:rPr>
      </w:pPr>
      <w:bookmarkStart w:id="3" w:name="LawTable_End"/>
      <w:bookmarkEnd w:id="3"/>
    </w:p>
    <w:p w14:paraId="734DE3DF" w14:textId="77777777" w:rsidR="006A3F09" w:rsidRPr="006945C2" w:rsidRDefault="006A3F09" w:rsidP="006945C2">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61BA" w14:paraId="05D2767B" w14:textId="77777777" w:rsidTr="001F61BA">
        <w:trPr>
          <w:trHeight w:val="355"/>
          <w:jc w:val="center"/>
        </w:trPr>
        <w:tc>
          <w:tcPr>
            <w:tcW w:w="8820" w:type="dxa"/>
            <w:tcBorders>
              <w:top w:val="nil"/>
              <w:left w:val="nil"/>
              <w:bottom w:val="nil"/>
              <w:right w:val="nil"/>
            </w:tcBorders>
            <w:shd w:val="clear" w:color="auto" w:fill="auto"/>
          </w:tcPr>
          <w:p w14:paraId="0E2BC5BF" w14:textId="77777777" w:rsidR="00DB161C" w:rsidRPr="00DB161C" w:rsidRDefault="00DB161C" w:rsidP="00DB161C">
            <w:pPr>
              <w:jc w:val="center"/>
              <w:rPr>
                <w:rFonts w:ascii="David" w:hAnsi="David"/>
                <w:b/>
                <w:bCs/>
                <w:u w:val="single"/>
                <w:rtl/>
              </w:rPr>
            </w:pPr>
            <w:bookmarkStart w:id="4" w:name="PsakDin" w:colFirst="0" w:colLast="0"/>
            <w:bookmarkEnd w:id="0"/>
            <w:r w:rsidRPr="00DB161C">
              <w:rPr>
                <w:rFonts w:ascii="David" w:hAnsi="David"/>
                <w:b/>
                <w:bCs/>
                <w:u w:val="single"/>
                <w:rtl/>
              </w:rPr>
              <w:t>גזר דין</w:t>
            </w:r>
          </w:p>
          <w:p w14:paraId="404DDADF" w14:textId="77777777" w:rsidR="001F61BA" w:rsidRPr="00DB161C" w:rsidRDefault="001F61BA" w:rsidP="00DB161C">
            <w:pPr>
              <w:jc w:val="center"/>
              <w:rPr>
                <w:rFonts w:ascii="David" w:hAnsi="David"/>
                <w:bCs/>
                <w:u w:val="single"/>
                <w:rtl/>
              </w:rPr>
            </w:pPr>
          </w:p>
        </w:tc>
      </w:tr>
      <w:bookmarkEnd w:id="4"/>
    </w:tbl>
    <w:p w14:paraId="7617FB83" w14:textId="77777777" w:rsidR="001F61BA" w:rsidRPr="000F2247" w:rsidRDefault="001F61BA" w:rsidP="001F61BA">
      <w:pPr>
        <w:rPr>
          <w:rFonts w:ascii="Arial" w:hAnsi="Arial"/>
          <w:b/>
          <w:bCs/>
          <w:sz w:val="26"/>
          <w:szCs w:val="26"/>
          <w:rtl/>
        </w:rPr>
      </w:pPr>
    </w:p>
    <w:p w14:paraId="1118BE96" w14:textId="77777777" w:rsidR="001F61BA" w:rsidRPr="000F2247" w:rsidRDefault="001F61BA" w:rsidP="001F61BA">
      <w:pPr>
        <w:rPr>
          <w:rFonts w:ascii="Arial" w:hAnsi="Arial"/>
          <w:b/>
          <w:bCs/>
          <w:sz w:val="26"/>
          <w:szCs w:val="26"/>
          <w:rtl/>
        </w:rPr>
      </w:pPr>
    </w:p>
    <w:p w14:paraId="7D544CD7" w14:textId="77777777" w:rsidR="001F61BA" w:rsidRPr="00051270" w:rsidRDefault="001F61BA" w:rsidP="001F61BA">
      <w:pPr>
        <w:spacing w:line="360" w:lineRule="auto"/>
        <w:ind w:firstLine="390"/>
        <w:jc w:val="both"/>
        <w:rPr>
          <w:rFonts w:ascii="David" w:hAnsi="David"/>
          <w:b/>
          <w:bCs/>
          <w:color w:val="000000"/>
        </w:rPr>
      </w:pPr>
      <w:r w:rsidRPr="00051270">
        <w:rPr>
          <w:rFonts w:ascii="David" w:hAnsi="David" w:hint="cs"/>
          <w:b/>
          <w:bCs/>
          <w:color w:val="000000"/>
          <w:u w:val="single"/>
          <w:rtl/>
        </w:rPr>
        <w:t>כתב האישום</w:t>
      </w:r>
      <w:r w:rsidRPr="00051270">
        <w:rPr>
          <w:rFonts w:ascii="David" w:hAnsi="David" w:hint="cs"/>
          <w:b/>
          <w:bCs/>
          <w:color w:val="000000"/>
          <w:rtl/>
        </w:rPr>
        <w:t>:</w:t>
      </w:r>
    </w:p>
    <w:p w14:paraId="2614D7D5" w14:textId="77777777" w:rsidR="001F61BA" w:rsidRPr="000D4DCD" w:rsidRDefault="001F61BA" w:rsidP="001F61BA">
      <w:pPr>
        <w:pStyle w:val="a9"/>
        <w:numPr>
          <w:ilvl w:val="0"/>
          <w:numId w:val="2"/>
        </w:numPr>
        <w:spacing w:line="360" w:lineRule="auto"/>
        <w:jc w:val="both"/>
        <w:rPr>
          <w:rFonts w:ascii="David" w:hAnsi="David"/>
          <w:color w:val="000000"/>
        </w:rPr>
      </w:pPr>
      <w:bookmarkStart w:id="5" w:name="ABSTRACT_START"/>
      <w:bookmarkEnd w:id="5"/>
      <w:r w:rsidRPr="000D4DCD">
        <w:rPr>
          <w:rFonts w:ascii="David" w:hAnsi="David" w:hint="cs"/>
          <w:color w:val="000000"/>
          <w:rtl/>
        </w:rPr>
        <w:t>הנאשמים הורשעו על פי הודאתם, ובמסגרת הסדר טיעון, בכתב אישום מתוקן המייחס להם עבירה של</w:t>
      </w:r>
      <w:r w:rsidRPr="000D4DCD">
        <w:rPr>
          <w:rFonts w:ascii="Arial" w:hAnsi="Arial" w:hint="cs"/>
          <w:b/>
          <w:bCs/>
          <w:sz w:val="26"/>
          <w:szCs w:val="26"/>
          <w:rtl/>
        </w:rPr>
        <w:t xml:space="preserve"> </w:t>
      </w:r>
      <w:r w:rsidRPr="000D4DCD">
        <w:rPr>
          <w:rFonts w:ascii="David" w:hAnsi="David" w:hint="cs"/>
          <w:color w:val="000000"/>
          <w:rtl/>
        </w:rPr>
        <w:t xml:space="preserve">החזקת נשק לפי </w:t>
      </w:r>
      <w:hyperlink r:id="rId11" w:history="1">
        <w:r w:rsidR="006A3F09" w:rsidRPr="006A3F09">
          <w:rPr>
            <w:rStyle w:val="Hyperlink"/>
            <w:rFonts w:ascii="David" w:hAnsi="David" w:hint="eastAsia"/>
            <w:rtl/>
          </w:rPr>
          <w:t>סעיף</w:t>
        </w:r>
        <w:r w:rsidR="006A3F09" w:rsidRPr="006A3F09">
          <w:rPr>
            <w:rStyle w:val="Hyperlink"/>
            <w:rFonts w:ascii="David" w:hAnsi="David"/>
            <w:rtl/>
          </w:rPr>
          <w:t xml:space="preserve"> 144(א)</w:t>
        </w:r>
      </w:hyperlink>
      <w:r w:rsidRPr="000D4DCD">
        <w:rPr>
          <w:rFonts w:ascii="David" w:hAnsi="David" w:hint="cs"/>
          <w:color w:val="000000"/>
          <w:rtl/>
        </w:rPr>
        <w:t xml:space="preserve"> רישא ל</w:t>
      </w:r>
      <w:hyperlink r:id="rId12" w:history="1">
        <w:r w:rsidR="00DB161C" w:rsidRPr="00DB161C">
          <w:rPr>
            <w:rFonts w:ascii="David" w:hAnsi="David"/>
            <w:color w:val="0000FF"/>
            <w:u w:val="single"/>
            <w:rtl/>
          </w:rPr>
          <w:t>חוק העונשין</w:t>
        </w:r>
      </w:hyperlink>
      <w:r w:rsidRPr="000D4DCD">
        <w:rPr>
          <w:rFonts w:ascii="David" w:hAnsi="David" w:hint="cs"/>
          <w:color w:val="000000"/>
          <w:rtl/>
        </w:rPr>
        <w:t xml:space="preserve"> תשל"ז-1977 (להלן: "</w:t>
      </w:r>
      <w:r w:rsidRPr="000D4DCD">
        <w:rPr>
          <w:rFonts w:ascii="David" w:hAnsi="David" w:hint="cs"/>
          <w:b/>
          <w:bCs/>
          <w:color w:val="000000"/>
          <w:rtl/>
        </w:rPr>
        <w:t>חוק</w:t>
      </w:r>
      <w:r>
        <w:rPr>
          <w:rFonts w:ascii="David" w:hAnsi="David" w:hint="cs"/>
          <w:b/>
          <w:bCs/>
          <w:color w:val="000000"/>
          <w:rtl/>
        </w:rPr>
        <w:t xml:space="preserve"> העונשין</w:t>
      </w:r>
      <w:r w:rsidRPr="000D4DCD">
        <w:rPr>
          <w:rFonts w:ascii="David" w:hAnsi="David" w:hint="cs"/>
          <w:color w:val="000000"/>
          <w:rtl/>
        </w:rPr>
        <w:t>").</w:t>
      </w:r>
    </w:p>
    <w:p w14:paraId="08A8C672" w14:textId="77777777" w:rsidR="001F61BA" w:rsidRDefault="001F61BA" w:rsidP="001F61BA">
      <w:pPr>
        <w:pStyle w:val="a9"/>
        <w:numPr>
          <w:ilvl w:val="0"/>
          <w:numId w:val="2"/>
        </w:numPr>
        <w:spacing w:line="360" w:lineRule="auto"/>
        <w:jc w:val="both"/>
        <w:rPr>
          <w:rFonts w:ascii="David" w:hAnsi="David"/>
          <w:color w:val="000000"/>
        </w:rPr>
      </w:pPr>
      <w:r w:rsidRPr="000D4DCD">
        <w:rPr>
          <w:rFonts w:ascii="David" w:hAnsi="David" w:hint="cs"/>
          <w:color w:val="000000"/>
          <w:rtl/>
        </w:rPr>
        <w:t>על פי המתואר בכתב האישום, עובר ליום 17.7.2023 או בסמוך לכך, במועד שאינו ידוע במדויק למאשימה, החזיקו הנאשמים נשק מאולתר מסוג "קארלו" (להלן:</w:t>
      </w:r>
      <w:r>
        <w:rPr>
          <w:rFonts w:ascii="David" w:hAnsi="David" w:hint="cs"/>
          <w:color w:val="000000"/>
          <w:rtl/>
        </w:rPr>
        <w:t xml:space="preserve"> "</w:t>
      </w:r>
      <w:r w:rsidRPr="000D4DCD">
        <w:rPr>
          <w:rFonts w:ascii="David" w:hAnsi="David" w:hint="cs"/>
          <w:b/>
          <w:bCs/>
          <w:color w:val="000000"/>
          <w:rtl/>
        </w:rPr>
        <w:t>הנשק</w:t>
      </w:r>
      <w:r>
        <w:rPr>
          <w:rFonts w:ascii="David" w:hAnsi="David" w:hint="cs"/>
          <w:color w:val="000000"/>
          <w:rtl/>
        </w:rPr>
        <w:t>"</w:t>
      </w:r>
      <w:r w:rsidRPr="000D4DCD">
        <w:rPr>
          <w:rFonts w:ascii="David" w:hAnsi="David" w:hint="cs"/>
          <w:color w:val="000000"/>
          <w:rtl/>
        </w:rPr>
        <w:t>), ומחסנית ריקה תואמת לנשק, בתוך שקית שחורה.</w:t>
      </w:r>
    </w:p>
    <w:p w14:paraId="4DD1C281" w14:textId="77777777" w:rsidR="001F61BA" w:rsidRDefault="001F61BA" w:rsidP="001F61BA">
      <w:pPr>
        <w:spacing w:line="360" w:lineRule="auto"/>
        <w:ind w:left="390"/>
        <w:jc w:val="both"/>
        <w:rPr>
          <w:rFonts w:ascii="David" w:hAnsi="David"/>
          <w:b/>
          <w:bCs/>
          <w:color w:val="000000"/>
          <w:u w:val="single"/>
          <w:rtl/>
        </w:rPr>
      </w:pPr>
      <w:bookmarkStart w:id="6" w:name="ABSTRACT_END"/>
      <w:bookmarkEnd w:id="6"/>
    </w:p>
    <w:p w14:paraId="031FA675" w14:textId="77777777" w:rsidR="001F61BA" w:rsidRDefault="001F61BA" w:rsidP="001F61BA">
      <w:pPr>
        <w:spacing w:line="360" w:lineRule="auto"/>
        <w:ind w:left="390"/>
        <w:jc w:val="both"/>
        <w:rPr>
          <w:rFonts w:ascii="David" w:hAnsi="David"/>
          <w:color w:val="000000"/>
          <w:rtl/>
        </w:rPr>
      </w:pPr>
      <w:r w:rsidRPr="00132022">
        <w:rPr>
          <w:rFonts w:ascii="David" w:hAnsi="David" w:hint="cs"/>
          <w:b/>
          <w:bCs/>
          <w:color w:val="000000"/>
          <w:u w:val="single"/>
          <w:rtl/>
        </w:rPr>
        <w:t>ראיות ההגנה לעונש</w:t>
      </w:r>
      <w:r w:rsidRPr="00132022">
        <w:rPr>
          <w:rFonts w:ascii="David" w:hAnsi="David" w:hint="cs"/>
          <w:b/>
          <w:bCs/>
          <w:color w:val="000000"/>
          <w:rtl/>
        </w:rPr>
        <w:t>:</w:t>
      </w:r>
      <w:r w:rsidRPr="00132022">
        <w:rPr>
          <w:rFonts w:ascii="David" w:hAnsi="David" w:hint="cs"/>
          <w:color w:val="000000"/>
          <w:rtl/>
        </w:rPr>
        <w:t xml:space="preserve"> </w:t>
      </w:r>
    </w:p>
    <w:p w14:paraId="704196F1" w14:textId="77777777" w:rsidR="001F61BA" w:rsidRPr="00132022" w:rsidRDefault="001F61BA" w:rsidP="001F61BA">
      <w:pPr>
        <w:spacing w:line="360" w:lineRule="auto"/>
        <w:ind w:left="390"/>
        <w:jc w:val="both"/>
        <w:rPr>
          <w:rFonts w:ascii="David" w:hAnsi="David"/>
          <w:color w:val="000000"/>
          <w:rtl/>
        </w:rPr>
      </w:pPr>
      <w:r w:rsidRPr="00132022">
        <w:rPr>
          <w:rFonts w:ascii="David" w:hAnsi="David" w:hint="cs"/>
          <w:color w:val="000000"/>
          <w:rtl/>
        </w:rPr>
        <w:lastRenderedPageBreak/>
        <w:t>במסגרת זו העיד אביו של הנאשמים, בסאם לידוואה שמסר, כי לאחרונה איבד את אחד מבניו שנרצח מיריות מתנקשים, אך טרם נתפסו הרוצחים. האב הוסיף, כי אנשים שומרי חוק, בבעלותו עסק לאלומיניו</w:t>
      </w:r>
      <w:r w:rsidRPr="00132022">
        <w:rPr>
          <w:rFonts w:ascii="David" w:hAnsi="David" w:hint="eastAsia"/>
          <w:color w:val="000000"/>
          <w:rtl/>
        </w:rPr>
        <w:t>ם</w:t>
      </w:r>
      <w:r w:rsidRPr="00132022">
        <w:rPr>
          <w:rFonts w:ascii="David" w:hAnsi="David" w:hint="cs"/>
          <w:color w:val="000000"/>
          <w:rtl/>
        </w:rPr>
        <w:t xml:space="preserve"> ובניו מסייעים לו בתפעול העסק.</w:t>
      </w:r>
    </w:p>
    <w:p w14:paraId="1F487D7D" w14:textId="77777777" w:rsidR="001F61BA" w:rsidRPr="00C70378" w:rsidRDefault="001F61BA" w:rsidP="001F61BA">
      <w:pPr>
        <w:spacing w:line="360" w:lineRule="auto"/>
        <w:jc w:val="both"/>
        <w:rPr>
          <w:rFonts w:ascii="David" w:hAnsi="David"/>
          <w:color w:val="000000"/>
          <w:rtl/>
        </w:rPr>
      </w:pPr>
    </w:p>
    <w:p w14:paraId="3B02D809" w14:textId="77777777" w:rsidR="001F61BA" w:rsidRPr="00554146" w:rsidRDefault="001F61BA" w:rsidP="001F61BA">
      <w:pPr>
        <w:spacing w:line="360" w:lineRule="auto"/>
        <w:ind w:firstLine="390"/>
        <w:jc w:val="both"/>
        <w:rPr>
          <w:rFonts w:ascii="Arial" w:hAnsi="Arial"/>
          <w:b/>
          <w:bCs/>
          <w:u w:val="single"/>
          <w:rtl/>
        </w:rPr>
      </w:pPr>
      <w:r>
        <w:rPr>
          <w:rFonts w:ascii="Arial" w:hAnsi="Arial" w:hint="cs"/>
          <w:b/>
          <w:bCs/>
          <w:u w:val="single"/>
          <w:rtl/>
        </w:rPr>
        <w:t xml:space="preserve">תמצית טיעוני </w:t>
      </w:r>
      <w:r w:rsidRPr="00554146">
        <w:rPr>
          <w:rFonts w:ascii="Arial" w:hAnsi="Arial" w:hint="cs"/>
          <w:b/>
          <w:bCs/>
          <w:u w:val="single"/>
          <w:rtl/>
        </w:rPr>
        <w:t>הצדדים</w:t>
      </w:r>
    </w:p>
    <w:p w14:paraId="7726B0E0" w14:textId="77777777" w:rsidR="001F61BA" w:rsidRDefault="001F61BA" w:rsidP="001F61BA">
      <w:pPr>
        <w:pStyle w:val="a9"/>
        <w:numPr>
          <w:ilvl w:val="0"/>
          <w:numId w:val="2"/>
        </w:numPr>
        <w:spacing w:line="360" w:lineRule="auto"/>
        <w:jc w:val="both"/>
        <w:rPr>
          <w:rFonts w:ascii="David" w:hAnsi="David"/>
          <w:color w:val="000000"/>
        </w:rPr>
      </w:pPr>
      <w:r w:rsidRPr="00836057">
        <w:rPr>
          <w:rFonts w:ascii="David" w:hAnsi="David" w:hint="cs"/>
          <w:color w:val="000000"/>
          <w:rtl/>
        </w:rPr>
        <w:t>המאשימה הפנתה בטיעוניה לכך ש</w:t>
      </w:r>
      <w:r>
        <w:rPr>
          <w:rFonts w:ascii="David" w:hAnsi="David" w:hint="cs"/>
          <w:color w:val="000000"/>
          <w:rtl/>
        </w:rPr>
        <w:t xml:space="preserve">בהחזקה בנשק מסוג זה קיימת חומרה יתרה, </w:t>
      </w:r>
      <w:r w:rsidRPr="00836057">
        <w:rPr>
          <w:rFonts w:ascii="David" w:hAnsi="David" w:hint="cs"/>
          <w:color w:val="000000"/>
          <w:rtl/>
        </w:rPr>
        <w:t xml:space="preserve"> שכן </w:t>
      </w:r>
      <w:r>
        <w:rPr>
          <w:rFonts w:ascii="David" w:hAnsi="David" w:hint="cs"/>
          <w:color w:val="000000"/>
          <w:rtl/>
        </w:rPr>
        <w:t>הוא א</w:t>
      </w:r>
      <w:r w:rsidRPr="00836057">
        <w:rPr>
          <w:rFonts w:ascii="David" w:hAnsi="David" w:hint="cs"/>
          <w:color w:val="000000"/>
          <w:rtl/>
        </w:rPr>
        <w:t xml:space="preserve">ינו כולל </w:t>
      </w:r>
      <w:r>
        <w:rPr>
          <w:rFonts w:ascii="David" w:hAnsi="David" w:hint="cs"/>
          <w:color w:val="000000"/>
          <w:rtl/>
        </w:rPr>
        <w:t>את ה</w:t>
      </w:r>
      <w:r w:rsidRPr="00836057">
        <w:rPr>
          <w:rFonts w:ascii="David" w:hAnsi="David" w:hint="cs"/>
          <w:color w:val="000000"/>
          <w:rtl/>
        </w:rPr>
        <w:t xml:space="preserve">מנגנונים הקיימים בנשק רגיל. לדבריה, הנאשם פגע במספר ערכים מוגנים: שמירה על גופו של אדם, </w:t>
      </w:r>
      <w:r>
        <w:rPr>
          <w:rFonts w:ascii="David" w:hAnsi="David" w:hint="cs"/>
          <w:color w:val="000000"/>
          <w:rtl/>
        </w:rPr>
        <w:t xml:space="preserve">ביטחון הציבור ושלום </w:t>
      </w:r>
      <w:r w:rsidRPr="00836057">
        <w:rPr>
          <w:rFonts w:ascii="David" w:hAnsi="David" w:hint="cs"/>
          <w:color w:val="000000"/>
          <w:rtl/>
        </w:rPr>
        <w:t>הציבור</w:t>
      </w:r>
      <w:r>
        <w:rPr>
          <w:rFonts w:ascii="David" w:hAnsi="David" w:hint="cs"/>
          <w:color w:val="000000"/>
          <w:rtl/>
        </w:rPr>
        <w:t>, ו</w:t>
      </w:r>
      <w:r w:rsidRPr="00836057">
        <w:rPr>
          <w:rFonts w:ascii="David" w:hAnsi="David" w:hint="cs"/>
          <w:color w:val="000000"/>
          <w:rtl/>
        </w:rPr>
        <w:t xml:space="preserve">בהתאם לפסיקת בית המשפט העליון יש להחמיר בענישה </w:t>
      </w:r>
      <w:r>
        <w:rPr>
          <w:rFonts w:ascii="David" w:hAnsi="David" w:hint="cs"/>
          <w:color w:val="000000"/>
          <w:rtl/>
        </w:rPr>
        <w:t xml:space="preserve">בעבירות נשק, משום </w:t>
      </w:r>
      <w:r w:rsidRPr="00836057">
        <w:rPr>
          <w:rFonts w:ascii="David" w:hAnsi="David" w:hint="cs"/>
          <w:color w:val="000000"/>
          <w:rtl/>
        </w:rPr>
        <w:t>הסיכונים הקיימים מהשימוש וההחזקה ב</w:t>
      </w:r>
      <w:r>
        <w:rPr>
          <w:rFonts w:ascii="David" w:hAnsi="David" w:hint="cs"/>
          <w:color w:val="000000"/>
          <w:rtl/>
        </w:rPr>
        <w:t xml:space="preserve">ו, </w:t>
      </w:r>
      <w:r w:rsidRPr="00836057">
        <w:rPr>
          <w:rFonts w:ascii="David" w:hAnsi="David" w:hint="cs"/>
          <w:color w:val="000000"/>
          <w:rtl/>
        </w:rPr>
        <w:t>ופוטנציאל הסיכון הקיים</w:t>
      </w:r>
      <w:r>
        <w:rPr>
          <w:rFonts w:ascii="David" w:hAnsi="David" w:hint="cs"/>
          <w:color w:val="000000"/>
          <w:rtl/>
        </w:rPr>
        <w:t xml:space="preserve"> במעשה.</w:t>
      </w:r>
    </w:p>
    <w:p w14:paraId="225C78E3" w14:textId="77777777" w:rsidR="001F61BA" w:rsidRPr="00051270" w:rsidRDefault="001F61BA" w:rsidP="001F61BA">
      <w:pPr>
        <w:pStyle w:val="a9"/>
        <w:numPr>
          <w:ilvl w:val="0"/>
          <w:numId w:val="2"/>
        </w:numPr>
        <w:spacing w:line="360" w:lineRule="auto"/>
        <w:jc w:val="both"/>
        <w:rPr>
          <w:rFonts w:ascii="David" w:hAnsi="David"/>
          <w:color w:val="000000"/>
          <w:rtl/>
        </w:rPr>
      </w:pPr>
      <w:r w:rsidRPr="00051270">
        <w:rPr>
          <w:rFonts w:ascii="David" w:hAnsi="David" w:hint="cs"/>
          <w:color w:val="000000"/>
          <w:rtl/>
        </w:rPr>
        <w:t xml:space="preserve">המאשימה ביקשה לקבוע מתחם ענישה החל 24 חודשים ועד ל-48 חודשים, וכן ציינה, כי בהתאם </w:t>
      </w:r>
      <w:hyperlink r:id="rId13" w:history="1">
        <w:r w:rsidR="006A3F09" w:rsidRPr="006A3F09">
          <w:rPr>
            <w:rStyle w:val="Hyperlink"/>
            <w:rFonts w:ascii="David" w:hAnsi="David" w:hint="eastAsia"/>
            <w:rtl/>
          </w:rPr>
          <w:t>לסעיף</w:t>
        </w:r>
        <w:r w:rsidR="006A3F09" w:rsidRPr="006A3F09">
          <w:rPr>
            <w:rStyle w:val="Hyperlink"/>
            <w:rFonts w:ascii="David" w:hAnsi="David"/>
            <w:rtl/>
          </w:rPr>
          <w:t xml:space="preserve"> 144</w:t>
        </w:r>
      </w:hyperlink>
      <w:r w:rsidRPr="00051270">
        <w:rPr>
          <w:rFonts w:ascii="David" w:hAnsi="David" w:hint="cs"/>
          <w:color w:val="000000"/>
          <w:rtl/>
        </w:rPr>
        <w:t xml:space="preserve"> ל</w:t>
      </w:r>
      <w:hyperlink r:id="rId14" w:history="1">
        <w:r w:rsidR="00DB161C" w:rsidRPr="00DB161C">
          <w:rPr>
            <w:rFonts w:ascii="David" w:hAnsi="David"/>
            <w:color w:val="0000FF"/>
            <w:u w:val="single"/>
            <w:rtl/>
          </w:rPr>
          <w:t>חוק העונשין</w:t>
        </w:r>
      </w:hyperlink>
      <w:r w:rsidRPr="00051270">
        <w:rPr>
          <w:rFonts w:ascii="David" w:hAnsi="David" w:hint="cs"/>
          <w:color w:val="000000"/>
          <w:rtl/>
        </w:rPr>
        <w:t>, יש להטיל עונש מינימום של 21 חודשי מאסר. צוין, כי הנאשמים נעדרי רישום פלילי, נטלו אחריות על מעשיהם וחסכו זמן שיפוטי, ועל כן יש לקבוע את עונשם ב</w:t>
      </w:r>
      <w:r>
        <w:rPr>
          <w:rFonts w:ascii="David" w:hAnsi="David" w:hint="cs"/>
          <w:color w:val="000000"/>
          <w:rtl/>
        </w:rPr>
        <w:t>חלק התחתון של מ</w:t>
      </w:r>
      <w:r w:rsidRPr="00051270">
        <w:rPr>
          <w:rFonts w:ascii="David" w:hAnsi="David" w:hint="cs"/>
          <w:color w:val="000000"/>
          <w:rtl/>
        </w:rPr>
        <w:t xml:space="preserve">תחם העונש ההולם, </w:t>
      </w:r>
      <w:r>
        <w:rPr>
          <w:rFonts w:ascii="David" w:hAnsi="David" w:hint="cs"/>
          <w:color w:val="000000"/>
          <w:rtl/>
        </w:rPr>
        <w:t xml:space="preserve">כך שיוטל </w:t>
      </w:r>
      <w:r w:rsidRPr="00051270">
        <w:rPr>
          <w:rFonts w:ascii="David" w:hAnsi="David" w:hint="cs"/>
          <w:color w:val="000000"/>
          <w:rtl/>
        </w:rPr>
        <w:t>על כל אחד מהם 28 חודשי מאסר, לצד מאסר על תנאי וקנס.</w:t>
      </w:r>
    </w:p>
    <w:p w14:paraId="50966B83" w14:textId="77777777" w:rsidR="001F61BA" w:rsidRPr="000D4DCD" w:rsidRDefault="001F61BA" w:rsidP="001F61BA">
      <w:pPr>
        <w:pStyle w:val="a9"/>
        <w:numPr>
          <w:ilvl w:val="0"/>
          <w:numId w:val="2"/>
        </w:numPr>
        <w:spacing w:line="360" w:lineRule="auto"/>
        <w:jc w:val="both"/>
        <w:rPr>
          <w:rFonts w:ascii="David" w:hAnsi="David"/>
          <w:color w:val="000000"/>
          <w:rtl/>
        </w:rPr>
      </w:pPr>
      <w:r w:rsidRPr="000D4DCD">
        <w:rPr>
          <w:rFonts w:ascii="David" w:hAnsi="David" w:hint="cs"/>
          <w:color w:val="000000"/>
          <w:rtl/>
        </w:rPr>
        <w:t xml:space="preserve">הסנגור הפנה לגילם הצעיר של הנאשמים </w:t>
      </w:r>
      <w:r>
        <w:rPr>
          <w:rFonts w:ascii="David" w:hAnsi="David" w:hint="cs"/>
          <w:color w:val="000000"/>
          <w:rtl/>
        </w:rPr>
        <w:t>(</w:t>
      </w:r>
      <w:r w:rsidRPr="000D4DCD">
        <w:rPr>
          <w:rFonts w:ascii="David" w:hAnsi="David" w:hint="cs"/>
          <w:color w:val="000000"/>
          <w:rtl/>
        </w:rPr>
        <w:t>ילידי 2001</w:t>
      </w:r>
      <w:r>
        <w:rPr>
          <w:rFonts w:ascii="David" w:hAnsi="David" w:hint="cs"/>
          <w:color w:val="000000"/>
          <w:rtl/>
        </w:rPr>
        <w:t>)</w:t>
      </w:r>
      <w:r w:rsidRPr="000D4DCD">
        <w:rPr>
          <w:rFonts w:ascii="David" w:hAnsi="David" w:hint="cs"/>
          <w:color w:val="000000"/>
          <w:rtl/>
        </w:rPr>
        <w:t xml:space="preserve">, </w:t>
      </w:r>
      <w:r>
        <w:rPr>
          <w:rFonts w:ascii="David" w:hAnsi="David" w:hint="cs"/>
          <w:color w:val="000000"/>
          <w:rtl/>
        </w:rPr>
        <w:t xml:space="preserve">משך מעצרם בתיק זה, </w:t>
      </w:r>
      <w:r w:rsidRPr="000D4DCD">
        <w:rPr>
          <w:rFonts w:ascii="David" w:hAnsi="David" w:hint="cs"/>
          <w:color w:val="000000"/>
          <w:rtl/>
        </w:rPr>
        <w:t xml:space="preserve">ולכך שמדובר במעצרם הראשון. עוד ציין כי </w:t>
      </w:r>
      <w:r>
        <w:rPr>
          <w:rFonts w:ascii="David" w:hAnsi="David" w:hint="cs"/>
          <w:color w:val="000000"/>
          <w:rtl/>
        </w:rPr>
        <w:t xml:space="preserve">הנאשמים נטלו אחריות על העבירה בשלב מוקדם של ההליך. עוד צוין, כי המדובר בהחזקה קצרה, בנשק אשר </w:t>
      </w:r>
      <w:r w:rsidRPr="000D4DCD">
        <w:rPr>
          <w:rFonts w:ascii="David" w:hAnsi="David" w:hint="cs"/>
          <w:color w:val="000000"/>
          <w:rtl/>
        </w:rPr>
        <w:t xml:space="preserve">לא נעשה </w:t>
      </w:r>
      <w:r>
        <w:rPr>
          <w:rFonts w:ascii="David" w:hAnsi="David" w:hint="cs"/>
          <w:color w:val="000000"/>
          <w:rtl/>
        </w:rPr>
        <w:t xml:space="preserve">בו </w:t>
      </w:r>
      <w:r w:rsidRPr="000D4DCD">
        <w:rPr>
          <w:rFonts w:ascii="David" w:hAnsi="David" w:hint="cs"/>
          <w:color w:val="000000"/>
          <w:rtl/>
        </w:rPr>
        <w:t xml:space="preserve">שימוש, </w:t>
      </w:r>
      <w:r>
        <w:rPr>
          <w:rFonts w:ascii="David" w:hAnsi="David" w:hint="cs"/>
          <w:color w:val="000000"/>
          <w:rtl/>
        </w:rPr>
        <w:t xml:space="preserve">ואף תחמושת לא נתפסה, לבד ממחסנית ריקה. </w:t>
      </w:r>
      <w:r w:rsidRPr="000D4DCD">
        <w:rPr>
          <w:rFonts w:ascii="David" w:hAnsi="David" w:hint="cs"/>
          <w:color w:val="000000"/>
          <w:rtl/>
        </w:rPr>
        <w:t xml:space="preserve"> </w:t>
      </w:r>
    </w:p>
    <w:p w14:paraId="35A772A2" w14:textId="77777777" w:rsidR="001F61BA" w:rsidRPr="000D4DCD" w:rsidRDefault="001F61BA" w:rsidP="001F61BA">
      <w:pPr>
        <w:pStyle w:val="a9"/>
        <w:numPr>
          <w:ilvl w:val="0"/>
          <w:numId w:val="2"/>
        </w:numPr>
        <w:spacing w:line="360" w:lineRule="auto"/>
        <w:jc w:val="both"/>
        <w:rPr>
          <w:rFonts w:ascii="David" w:hAnsi="David"/>
          <w:color w:val="000000"/>
          <w:rtl/>
        </w:rPr>
      </w:pPr>
      <w:r w:rsidRPr="000D4DCD">
        <w:rPr>
          <w:rFonts w:ascii="David" w:hAnsi="David" w:hint="cs"/>
          <w:color w:val="000000"/>
          <w:rtl/>
        </w:rPr>
        <w:t xml:space="preserve">לעניין </w:t>
      </w:r>
      <w:hyperlink r:id="rId15" w:history="1">
        <w:r w:rsidR="006A3F09" w:rsidRPr="006A3F09">
          <w:rPr>
            <w:rStyle w:val="Hyperlink"/>
            <w:rFonts w:ascii="David" w:hAnsi="David" w:hint="eastAsia"/>
            <w:rtl/>
          </w:rPr>
          <w:t>סעיף</w:t>
        </w:r>
        <w:r w:rsidR="006A3F09" w:rsidRPr="006A3F09">
          <w:rPr>
            <w:rStyle w:val="Hyperlink"/>
            <w:rFonts w:ascii="David" w:hAnsi="David"/>
            <w:rtl/>
          </w:rPr>
          <w:t xml:space="preserve"> 144ז</w:t>
        </w:r>
      </w:hyperlink>
      <w:r w:rsidRPr="000D4DCD">
        <w:rPr>
          <w:rFonts w:ascii="David" w:hAnsi="David" w:hint="cs"/>
          <w:color w:val="000000"/>
          <w:rtl/>
        </w:rPr>
        <w:t xml:space="preserve"> הקובע עונש מינימום של רבע מהעונש המקסימלי</w:t>
      </w:r>
      <w:r>
        <w:rPr>
          <w:rFonts w:ascii="David" w:hAnsi="David" w:hint="cs"/>
          <w:color w:val="000000"/>
          <w:rtl/>
        </w:rPr>
        <w:t xml:space="preserve"> ציין הסנגור, כי ניתן לסטות ממנו, וביחס ל</w:t>
      </w:r>
      <w:r w:rsidRPr="000D4DCD">
        <w:rPr>
          <w:rFonts w:ascii="David" w:hAnsi="David" w:hint="cs"/>
          <w:color w:val="000000"/>
          <w:rtl/>
        </w:rPr>
        <w:t xml:space="preserve">פגיעה בערכים </w:t>
      </w:r>
      <w:r>
        <w:rPr>
          <w:rFonts w:ascii="David" w:hAnsi="David" w:hint="cs"/>
          <w:color w:val="000000"/>
          <w:rtl/>
        </w:rPr>
        <w:t>ה</w:t>
      </w:r>
      <w:r w:rsidRPr="000D4DCD">
        <w:rPr>
          <w:rFonts w:ascii="David" w:hAnsi="David" w:hint="cs"/>
          <w:color w:val="000000"/>
          <w:rtl/>
        </w:rPr>
        <w:t>מוגנים</w:t>
      </w:r>
      <w:r>
        <w:rPr>
          <w:rFonts w:ascii="David" w:hAnsi="David" w:hint="cs"/>
          <w:color w:val="000000"/>
          <w:rtl/>
        </w:rPr>
        <w:t xml:space="preserve"> הרי שאלו אינם ברף גבוה, שכן </w:t>
      </w:r>
      <w:r w:rsidRPr="000D4DCD">
        <w:rPr>
          <w:rFonts w:ascii="David" w:hAnsi="David" w:hint="cs"/>
          <w:color w:val="000000"/>
          <w:rtl/>
        </w:rPr>
        <w:t xml:space="preserve">הנשק </w:t>
      </w:r>
      <w:r>
        <w:rPr>
          <w:rFonts w:ascii="David" w:hAnsi="David" w:hint="cs"/>
          <w:color w:val="000000"/>
          <w:rtl/>
        </w:rPr>
        <w:t>נתפס בלא תחמושת כך ש</w:t>
      </w:r>
      <w:r w:rsidRPr="000D4DCD">
        <w:rPr>
          <w:rFonts w:ascii="David" w:hAnsi="David" w:hint="cs"/>
          <w:color w:val="000000"/>
          <w:rtl/>
        </w:rPr>
        <w:t xml:space="preserve">פוטנציאל הסיכון </w:t>
      </w:r>
      <w:r>
        <w:rPr>
          <w:rFonts w:ascii="David" w:hAnsi="David" w:hint="cs"/>
          <w:color w:val="000000"/>
          <w:rtl/>
        </w:rPr>
        <w:t xml:space="preserve">כלל </w:t>
      </w:r>
      <w:r w:rsidRPr="000D4DCD">
        <w:rPr>
          <w:rFonts w:ascii="David" w:hAnsi="David" w:hint="cs"/>
          <w:color w:val="000000"/>
          <w:rtl/>
        </w:rPr>
        <w:t>לא התממש</w:t>
      </w:r>
      <w:r>
        <w:rPr>
          <w:rFonts w:ascii="David" w:hAnsi="David" w:hint="cs"/>
          <w:color w:val="000000"/>
          <w:rtl/>
        </w:rPr>
        <w:t xml:space="preserve">. </w:t>
      </w:r>
    </w:p>
    <w:p w14:paraId="73E575DC" w14:textId="77777777" w:rsidR="001F61BA" w:rsidRPr="000D4DCD" w:rsidRDefault="001F61BA" w:rsidP="001F61BA">
      <w:pPr>
        <w:pStyle w:val="a9"/>
        <w:numPr>
          <w:ilvl w:val="0"/>
          <w:numId w:val="2"/>
        </w:numPr>
        <w:spacing w:line="360" w:lineRule="auto"/>
        <w:jc w:val="both"/>
        <w:rPr>
          <w:rFonts w:ascii="David" w:hAnsi="David"/>
          <w:color w:val="000000"/>
          <w:rtl/>
        </w:rPr>
      </w:pPr>
      <w:r>
        <w:rPr>
          <w:rFonts w:ascii="David" w:hAnsi="David" w:hint="cs"/>
          <w:color w:val="000000"/>
          <w:rtl/>
        </w:rPr>
        <w:t>לדעת ההגנה, יש לקבוע את המתחם החל מ-12 חודשים ועד 20 ואת עונשם של הנאשמים, לקבוע בתחתית המתחם לצד ענישה נלווית.</w:t>
      </w:r>
    </w:p>
    <w:p w14:paraId="44E75DED" w14:textId="77777777" w:rsidR="001F61BA" w:rsidRPr="000D4DCD" w:rsidRDefault="001F61BA" w:rsidP="001F61BA">
      <w:pPr>
        <w:pStyle w:val="a9"/>
        <w:numPr>
          <w:ilvl w:val="0"/>
          <w:numId w:val="2"/>
        </w:numPr>
        <w:spacing w:line="360" w:lineRule="auto"/>
        <w:jc w:val="both"/>
        <w:rPr>
          <w:rFonts w:ascii="David" w:hAnsi="David"/>
          <w:color w:val="000000"/>
          <w:rtl/>
        </w:rPr>
      </w:pPr>
      <w:r w:rsidRPr="000D4DCD">
        <w:rPr>
          <w:rFonts w:ascii="David" w:hAnsi="David" w:hint="cs"/>
          <w:color w:val="000000"/>
          <w:rtl/>
        </w:rPr>
        <w:t xml:space="preserve">הנאשמים </w:t>
      </w:r>
      <w:r>
        <w:rPr>
          <w:rFonts w:ascii="David" w:hAnsi="David" w:hint="cs"/>
          <w:color w:val="000000"/>
          <w:rtl/>
        </w:rPr>
        <w:t>הביעו צער על המעשים, והבטיחו כי לא ישובו על המעשה.</w:t>
      </w:r>
    </w:p>
    <w:p w14:paraId="7B0B213D" w14:textId="77777777" w:rsidR="001F61BA" w:rsidRPr="00166893" w:rsidRDefault="001F61BA" w:rsidP="001F61BA">
      <w:pPr>
        <w:spacing w:line="360" w:lineRule="auto"/>
        <w:ind w:firstLine="390"/>
        <w:jc w:val="both"/>
        <w:rPr>
          <w:rFonts w:ascii="David" w:hAnsi="David"/>
          <w:b/>
          <w:bCs/>
          <w:color w:val="000000"/>
          <w:u w:val="single"/>
          <w:rtl/>
        </w:rPr>
      </w:pPr>
      <w:r w:rsidRPr="00166893">
        <w:rPr>
          <w:rFonts w:ascii="David" w:hAnsi="David" w:hint="cs"/>
          <w:b/>
          <w:bCs/>
          <w:color w:val="000000"/>
          <w:u w:val="single"/>
          <w:rtl/>
        </w:rPr>
        <w:t>דיון</w:t>
      </w:r>
    </w:p>
    <w:p w14:paraId="750720AF" w14:textId="77777777" w:rsidR="001F61BA" w:rsidRPr="000D4DCD" w:rsidRDefault="001F61BA" w:rsidP="001F61BA">
      <w:pPr>
        <w:pStyle w:val="a9"/>
        <w:numPr>
          <w:ilvl w:val="0"/>
          <w:numId w:val="2"/>
        </w:numPr>
        <w:spacing w:line="360" w:lineRule="auto"/>
        <w:jc w:val="both"/>
        <w:rPr>
          <w:rFonts w:ascii="David" w:hAnsi="David"/>
          <w:color w:val="000000"/>
          <w:rtl/>
        </w:rPr>
      </w:pPr>
      <w:r w:rsidRPr="000D4DCD">
        <w:rPr>
          <w:rFonts w:ascii="David" w:hAnsi="David" w:hint="cs"/>
          <w:color w:val="000000"/>
          <w:rtl/>
        </w:rPr>
        <w:t>הערך החברתי המוגן העומד בבסיס עבירות הנשק הינו ההגנה על שלום הציבור וביטחונו. בעבירות מסוג זה, גלום סיכון רב לשימוש בנשק</w:t>
      </w:r>
      <w:r w:rsidR="00DB161C">
        <w:rPr>
          <w:rFonts w:ascii="David" w:hAnsi="David" w:hint="cs"/>
          <w:color w:val="000000"/>
          <w:rtl/>
        </w:rPr>
        <w:t xml:space="preserve"> </w:t>
      </w:r>
      <w:r w:rsidRPr="000D4DCD">
        <w:rPr>
          <w:rFonts w:ascii="David" w:hAnsi="David" w:hint="cs"/>
          <w:color w:val="000000"/>
          <w:rtl/>
        </w:rPr>
        <w:t>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r w:rsidRPr="000D4DCD">
        <w:rPr>
          <w:rFonts w:ascii="David" w:hAnsi="David" w:hint="cs"/>
          <w:color w:val="000000"/>
        </w:rPr>
        <w:t>.</w:t>
      </w:r>
    </w:p>
    <w:p w14:paraId="2D7DDFC6" w14:textId="77777777" w:rsidR="001F61BA" w:rsidRPr="000D4DCD" w:rsidRDefault="001F61BA" w:rsidP="001F61BA">
      <w:pPr>
        <w:pStyle w:val="a9"/>
        <w:numPr>
          <w:ilvl w:val="0"/>
          <w:numId w:val="2"/>
        </w:numPr>
        <w:spacing w:line="360" w:lineRule="auto"/>
        <w:jc w:val="both"/>
        <w:rPr>
          <w:rFonts w:ascii="David" w:hAnsi="David"/>
          <w:color w:val="000000"/>
          <w:rtl/>
        </w:rPr>
      </w:pPr>
      <w:r w:rsidRPr="000D4DCD">
        <w:rPr>
          <w:rFonts w:ascii="David" w:hAnsi="David" w:hint="cs"/>
          <w:color w:val="000000"/>
          <w:rtl/>
        </w:rPr>
        <w:t xml:space="preserve">בבחינת הנסיבות הקשורות בביצוע העבירה, עסקינן בנאשמים שהורשעו בהחזקת כלי נשק שבכוחו להמית אדם, כאשר </w:t>
      </w:r>
      <w:r>
        <w:rPr>
          <w:rFonts w:ascii="David" w:hAnsi="David" w:hint="cs"/>
          <w:color w:val="000000"/>
          <w:rtl/>
        </w:rPr>
        <w:t>פרק הזמן בו הוחזק הנשק אינו ידוע. המדובר בנשק מאולתר מסוג "קרלו" ומחסנית תואמת אשר הייתה ריקה מכדורים</w:t>
      </w:r>
      <w:r w:rsidRPr="000D4DCD">
        <w:rPr>
          <w:rFonts w:ascii="David" w:hAnsi="David" w:hint="cs"/>
          <w:color w:val="000000"/>
          <w:rtl/>
        </w:rPr>
        <w:t xml:space="preserve">. </w:t>
      </w:r>
    </w:p>
    <w:p w14:paraId="50FE6EB1" w14:textId="77777777" w:rsidR="001F61BA" w:rsidRPr="000D4DCD" w:rsidRDefault="001F61BA" w:rsidP="001F61BA">
      <w:pPr>
        <w:pStyle w:val="a9"/>
        <w:numPr>
          <w:ilvl w:val="0"/>
          <w:numId w:val="2"/>
        </w:numPr>
        <w:spacing w:line="360" w:lineRule="auto"/>
        <w:jc w:val="both"/>
        <w:rPr>
          <w:rFonts w:ascii="David" w:hAnsi="David"/>
          <w:color w:val="000000"/>
          <w:rtl/>
        </w:rPr>
      </w:pPr>
      <w:r w:rsidRPr="000D4DCD">
        <w:rPr>
          <w:rFonts w:ascii="David" w:hAnsi="David" w:hint="cs"/>
          <w:color w:val="000000"/>
          <w:rtl/>
        </w:rPr>
        <w:t xml:space="preserve">במסגרת </w:t>
      </w:r>
      <w:hyperlink r:id="rId16" w:history="1">
        <w:r w:rsidR="00DB161C" w:rsidRPr="00DB161C">
          <w:rPr>
            <w:rFonts w:ascii="David" w:hAnsi="David"/>
            <w:color w:val="0000FF"/>
            <w:u w:val="single"/>
            <w:rtl/>
          </w:rPr>
          <w:t>רע"פ 5613/20</w:t>
        </w:r>
      </w:hyperlink>
      <w:r w:rsidRPr="000D4DCD">
        <w:rPr>
          <w:rFonts w:ascii="David" w:hAnsi="David" w:hint="cs"/>
          <w:color w:val="000000"/>
          <w:rtl/>
        </w:rPr>
        <w:t xml:space="preserve"> </w:t>
      </w:r>
      <w:r w:rsidRPr="000D4DCD">
        <w:rPr>
          <w:rFonts w:ascii="David" w:hAnsi="David" w:hint="cs"/>
          <w:b/>
          <w:bCs/>
          <w:color w:val="000000"/>
          <w:rtl/>
        </w:rPr>
        <w:t>אלהוזייל נגד מדינת ישראל</w:t>
      </w:r>
      <w:r w:rsidRPr="000D4DCD">
        <w:rPr>
          <w:rFonts w:ascii="David" w:hAnsi="David" w:hint="cs"/>
          <w:color w:val="000000"/>
          <w:rtl/>
        </w:rPr>
        <w:t xml:space="preserve"> (נבו 25.8.2020) ציין בית המשפט את הדברים הבאים:</w:t>
      </w:r>
    </w:p>
    <w:p w14:paraId="4BE96C3E" w14:textId="77777777" w:rsidR="001F61BA" w:rsidRPr="00C70378" w:rsidRDefault="001F61BA" w:rsidP="001F61BA">
      <w:pPr>
        <w:spacing w:line="360" w:lineRule="auto"/>
        <w:ind w:left="390"/>
        <w:jc w:val="both"/>
        <w:rPr>
          <w:rFonts w:ascii="David" w:hAnsi="David"/>
          <w:color w:val="000000"/>
          <w:rtl/>
        </w:rPr>
      </w:pPr>
      <w:r w:rsidRPr="00C70378">
        <w:rPr>
          <w:rFonts w:ascii="David" w:hAnsi="David" w:hint="cs"/>
          <w:color w:val="000000"/>
          <w:rtl/>
        </w:rPr>
        <w:lastRenderedPageBreak/>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7" w:history="1">
        <w:r w:rsidR="00DB161C" w:rsidRPr="00DB161C">
          <w:rPr>
            <w:rFonts w:ascii="David" w:hAnsi="David"/>
            <w:color w:val="0000FF"/>
            <w:u w:val="single"/>
            <w:rtl/>
          </w:rPr>
          <w:t>ע"פ 4406/19</w:t>
        </w:r>
      </w:hyperlink>
      <w:r w:rsidRPr="00C70378">
        <w:rPr>
          <w:rFonts w:ascii="David" w:hAnsi="David" w:hint="cs"/>
          <w:color w:val="000000"/>
          <w:rtl/>
        </w:rPr>
        <w:t xml:space="preserve"> </w:t>
      </w:r>
      <w:r w:rsidRPr="00C70378">
        <w:rPr>
          <w:rFonts w:ascii="David" w:hAnsi="David" w:hint="cs"/>
          <w:b/>
          <w:bCs/>
          <w:color w:val="000000"/>
          <w:rtl/>
        </w:rPr>
        <w:t>מדינת ישראל נ' סובח</w:t>
      </w:r>
      <w:r w:rsidRPr="00C70378">
        <w:rPr>
          <w:rFonts w:ascii="David" w:hAnsi="David" w:hint="cs"/>
          <w:color w:val="000000"/>
          <w:rtl/>
        </w:rPr>
        <w:t xml:space="preserve">, פסקאות 16–17 לחוות דעתי (נבו 5.11.2019); </w:t>
      </w:r>
      <w:hyperlink r:id="rId18" w:history="1">
        <w:r w:rsidR="00DB161C" w:rsidRPr="00DB161C">
          <w:rPr>
            <w:rFonts w:ascii="David" w:hAnsi="David"/>
            <w:color w:val="0000FF"/>
            <w:u w:val="single"/>
            <w:rtl/>
          </w:rPr>
          <w:t>רע"פ 7344/18</w:t>
        </w:r>
      </w:hyperlink>
      <w:r w:rsidRPr="00C70378">
        <w:rPr>
          <w:rFonts w:ascii="David" w:hAnsi="David" w:hint="cs"/>
          <w:color w:val="000000"/>
          <w:rtl/>
        </w:rPr>
        <w:t xml:space="preserve"> </w:t>
      </w:r>
      <w:r w:rsidRPr="00C70378">
        <w:rPr>
          <w:rFonts w:ascii="David" w:hAnsi="David" w:hint="cs"/>
          <w:b/>
          <w:bCs/>
          <w:color w:val="000000"/>
          <w:rtl/>
        </w:rPr>
        <w:t>מג'יד נ' מדינת ישראל</w:t>
      </w:r>
      <w:r w:rsidRPr="00C70378">
        <w:rPr>
          <w:rFonts w:ascii="David" w:hAnsi="David" w:hint="cs"/>
          <w:color w:val="000000"/>
          <w:rtl/>
        </w:rPr>
        <w:t>, פסקה 10 (נבו 21.10.2018))".</w:t>
      </w:r>
    </w:p>
    <w:p w14:paraId="54EA6E99" w14:textId="77777777" w:rsidR="001F61BA" w:rsidRPr="00C70378" w:rsidRDefault="001F61BA" w:rsidP="001F61BA">
      <w:pPr>
        <w:spacing w:line="360" w:lineRule="auto"/>
        <w:ind w:firstLine="390"/>
        <w:jc w:val="both"/>
        <w:rPr>
          <w:rFonts w:ascii="David" w:hAnsi="David"/>
          <w:color w:val="000000"/>
          <w:rtl/>
        </w:rPr>
      </w:pPr>
      <w:r w:rsidRPr="00C70378">
        <w:rPr>
          <w:rFonts w:ascii="David" w:hAnsi="David" w:hint="cs"/>
          <w:color w:val="000000"/>
          <w:rtl/>
        </w:rPr>
        <w:t xml:space="preserve">וראו גם: </w:t>
      </w:r>
      <w:hyperlink r:id="rId19" w:history="1">
        <w:r w:rsidR="00DB161C" w:rsidRPr="00DB161C">
          <w:rPr>
            <w:rFonts w:ascii="David" w:hAnsi="David"/>
            <w:color w:val="0000FF"/>
            <w:u w:val="single"/>
            <w:rtl/>
          </w:rPr>
          <w:t>ע"פ 8416/09</w:t>
        </w:r>
      </w:hyperlink>
      <w:r w:rsidRPr="00C70378">
        <w:rPr>
          <w:rFonts w:ascii="David" w:hAnsi="David" w:hint="cs"/>
          <w:color w:val="000000"/>
          <w:rtl/>
        </w:rPr>
        <w:t xml:space="preserve"> </w:t>
      </w:r>
      <w:r w:rsidRPr="00C70378">
        <w:rPr>
          <w:rFonts w:ascii="David" w:hAnsi="David" w:hint="cs"/>
          <w:b/>
          <w:bCs/>
          <w:color w:val="000000"/>
          <w:rtl/>
        </w:rPr>
        <w:t>מדינת ישראל נ' חרבוש ואח'</w:t>
      </w:r>
      <w:r w:rsidRPr="00C70378">
        <w:rPr>
          <w:rFonts w:ascii="David" w:hAnsi="David" w:hint="cs"/>
          <w:color w:val="000000"/>
          <w:rtl/>
        </w:rPr>
        <w:t xml:space="preserve"> (נבו 9.6.2010):</w:t>
      </w:r>
    </w:p>
    <w:p w14:paraId="40A1C8E3" w14:textId="77777777" w:rsidR="001F61BA" w:rsidRPr="00C70378" w:rsidRDefault="001F61BA" w:rsidP="001F61BA">
      <w:pPr>
        <w:spacing w:line="360" w:lineRule="auto"/>
        <w:ind w:left="390"/>
        <w:jc w:val="both"/>
        <w:rPr>
          <w:rFonts w:ascii="David" w:hAnsi="David"/>
          <w:color w:val="000000"/>
          <w:rtl/>
        </w:rPr>
      </w:pPr>
      <w:r w:rsidRPr="00C70378">
        <w:rPr>
          <w:rFonts w:ascii="David" w:hAnsi="David" w:hint="cs"/>
          <w:color w:val="000000"/>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20" w:history="1">
        <w:r w:rsidR="006945C2" w:rsidRPr="006945C2">
          <w:rPr>
            <w:rFonts w:ascii="David" w:hAnsi="David"/>
            <w:color w:val="0000FF"/>
            <w:u w:val="single"/>
            <w:rtl/>
          </w:rPr>
          <w:t xml:space="preserve">1332/04 </w:t>
        </w:r>
      </w:hyperlink>
      <w:r w:rsidRPr="00C70378">
        <w:rPr>
          <w:rFonts w:ascii="David" w:hAnsi="David" w:hint="cs"/>
          <w:color w:val="000000"/>
          <w:rtl/>
        </w:rPr>
        <w:t xml:space="preserve"> </w:t>
      </w:r>
      <w:r w:rsidRPr="00C70378">
        <w:rPr>
          <w:rFonts w:ascii="David" w:hAnsi="David" w:hint="cs"/>
          <w:b/>
          <w:bCs/>
          <w:color w:val="000000"/>
          <w:rtl/>
        </w:rPr>
        <w:t>מדינת ישראל נ' פס</w:t>
      </w:r>
      <w:r w:rsidRPr="00C70378">
        <w:rPr>
          <w:rFonts w:ascii="David" w:hAnsi="David" w:hint="cs"/>
          <w:color w:val="000000"/>
          <w:rtl/>
        </w:rPr>
        <w:t>, סעיף 4 (נבו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19A4761F" w14:textId="77777777" w:rsidR="001F61BA" w:rsidRPr="00C70378" w:rsidRDefault="001F61BA" w:rsidP="001F61BA">
      <w:pPr>
        <w:spacing w:line="360" w:lineRule="auto"/>
        <w:jc w:val="both"/>
        <w:rPr>
          <w:rFonts w:ascii="David" w:hAnsi="David"/>
          <w:color w:val="000000"/>
          <w:rtl/>
        </w:rPr>
      </w:pPr>
    </w:p>
    <w:p w14:paraId="55544BF1" w14:textId="77777777" w:rsidR="001F61BA" w:rsidRPr="00B66B53" w:rsidRDefault="001F61BA" w:rsidP="001F61BA">
      <w:pPr>
        <w:pStyle w:val="a9"/>
        <w:numPr>
          <w:ilvl w:val="0"/>
          <w:numId w:val="2"/>
        </w:numPr>
        <w:spacing w:line="360" w:lineRule="auto"/>
        <w:jc w:val="both"/>
        <w:rPr>
          <w:rFonts w:ascii="David" w:hAnsi="David"/>
          <w:color w:val="000000"/>
          <w:rtl/>
        </w:rPr>
      </w:pPr>
      <w:r w:rsidRPr="00B66B53">
        <w:rPr>
          <w:rFonts w:ascii="David" w:hAnsi="David" w:hint="cs"/>
          <w:color w:val="000000"/>
          <w:rtl/>
        </w:rPr>
        <w:t>סקירת מדיניות הענישה הנהוגה בעבירת החזקת נשק מלמדת על טווח ענישה רחב התלוי לרוב בנסיבותיו של כל מקרה ומקרה:</w:t>
      </w:r>
    </w:p>
    <w:p w14:paraId="1DF23DBC" w14:textId="77777777" w:rsidR="001F61BA" w:rsidRPr="00C70378" w:rsidRDefault="001F61BA" w:rsidP="001F61BA">
      <w:pPr>
        <w:spacing w:line="360" w:lineRule="auto"/>
        <w:jc w:val="both"/>
        <w:rPr>
          <w:rFonts w:ascii="David" w:hAnsi="David"/>
          <w:color w:val="000000"/>
          <w:rtl/>
        </w:rPr>
      </w:pPr>
    </w:p>
    <w:p w14:paraId="71371F53" w14:textId="77777777" w:rsidR="001F61BA" w:rsidRPr="008B2F64" w:rsidRDefault="001F61BA" w:rsidP="001F61BA">
      <w:pPr>
        <w:pStyle w:val="a9"/>
        <w:numPr>
          <w:ilvl w:val="0"/>
          <w:numId w:val="1"/>
        </w:numPr>
        <w:spacing w:after="160" w:line="360" w:lineRule="auto"/>
        <w:jc w:val="both"/>
        <w:rPr>
          <w:rFonts w:ascii="David" w:hAnsi="David"/>
          <w:color w:val="000000"/>
          <w:rtl/>
        </w:rPr>
      </w:pPr>
      <w:r w:rsidRPr="008B2F64">
        <w:rPr>
          <w:rFonts w:ascii="David" w:hAnsi="David" w:hint="cs"/>
          <w:color w:val="000000"/>
          <w:rtl/>
        </w:rPr>
        <w:t>ב</w:t>
      </w:r>
      <w:hyperlink r:id="rId21" w:history="1">
        <w:r w:rsidR="00DB161C" w:rsidRPr="00DB161C">
          <w:rPr>
            <w:rFonts w:ascii="David" w:hAnsi="David"/>
            <w:color w:val="0000FF"/>
            <w:u w:val="single"/>
            <w:rtl/>
          </w:rPr>
          <w:t>ע"פ 545/20</w:t>
        </w:r>
      </w:hyperlink>
      <w:r w:rsidRPr="008B2F64">
        <w:rPr>
          <w:rFonts w:ascii="David" w:hAnsi="David" w:hint="cs"/>
          <w:color w:val="000000"/>
          <w:rtl/>
        </w:rPr>
        <w:t xml:space="preserve"> </w:t>
      </w:r>
      <w:r w:rsidRPr="008B2F64">
        <w:rPr>
          <w:rFonts w:ascii="David" w:hAnsi="David" w:hint="cs"/>
          <w:b/>
          <w:bCs/>
          <w:color w:val="000000"/>
          <w:rtl/>
        </w:rPr>
        <w:t>פלוני נ' מדינת ישראל</w:t>
      </w:r>
      <w:r w:rsidRPr="008B2F64">
        <w:rPr>
          <w:rFonts w:ascii="David" w:hAnsi="David" w:hint="cs"/>
          <w:color w:val="000000"/>
          <w:rtl/>
        </w:rPr>
        <w:t xml:space="preserve"> (נבו 3.5.21), נדחה  ערעור על חומרת עונש של נאשם עליו הוטלו 12 חודשים, לאחר שהמערער, נעדר רישום פלילי, הורשע באחזקה/ נשיאת אקדח ומחסנית תואמת ו-50 כדורים</w:t>
      </w:r>
      <w:r w:rsidRPr="008B2F64">
        <w:rPr>
          <w:rFonts w:ascii="David" w:hAnsi="David" w:hint="cs"/>
          <w:color w:val="000000"/>
        </w:rPr>
        <w:t>."</w:t>
      </w:r>
    </w:p>
    <w:p w14:paraId="6AB99EAC" w14:textId="77777777" w:rsidR="001F61BA" w:rsidRPr="008B2F64" w:rsidRDefault="001F61BA" w:rsidP="001F61BA">
      <w:pPr>
        <w:pStyle w:val="a9"/>
        <w:numPr>
          <w:ilvl w:val="0"/>
          <w:numId w:val="1"/>
        </w:numPr>
        <w:spacing w:after="160" w:line="360" w:lineRule="auto"/>
        <w:jc w:val="both"/>
        <w:rPr>
          <w:rFonts w:ascii="David" w:hAnsi="David"/>
          <w:color w:val="000000"/>
        </w:rPr>
      </w:pPr>
      <w:r w:rsidRPr="008B2F64">
        <w:rPr>
          <w:rFonts w:ascii="David" w:hAnsi="David" w:hint="cs"/>
          <w:color w:val="000000"/>
          <w:rtl/>
        </w:rPr>
        <w:t>ב</w:t>
      </w:r>
      <w:hyperlink r:id="rId22" w:history="1">
        <w:r w:rsidR="00DB161C" w:rsidRPr="00DB161C">
          <w:rPr>
            <w:rFonts w:ascii="David" w:hAnsi="David"/>
            <w:color w:val="0000FF"/>
            <w:u w:val="single"/>
            <w:rtl/>
          </w:rPr>
          <w:t>ע"פ 5604/11</w:t>
        </w:r>
      </w:hyperlink>
      <w:r w:rsidRPr="008B2F64">
        <w:rPr>
          <w:rFonts w:ascii="David" w:hAnsi="David" w:hint="cs"/>
          <w:color w:val="000000"/>
          <w:rtl/>
        </w:rPr>
        <w:t xml:space="preserve"> </w:t>
      </w:r>
      <w:r w:rsidRPr="008B2F64">
        <w:rPr>
          <w:rFonts w:ascii="David" w:hAnsi="David" w:hint="cs"/>
          <w:b/>
          <w:bCs/>
          <w:color w:val="000000"/>
          <w:rtl/>
        </w:rPr>
        <w:t>נאסר נ' מדינת ישראל</w:t>
      </w:r>
      <w:r w:rsidRPr="008B2F64">
        <w:rPr>
          <w:rFonts w:ascii="David" w:hAnsi="David" w:hint="cs"/>
          <w:color w:val="000000"/>
          <w:rtl/>
        </w:rPr>
        <w:t xml:space="preserve"> (נבו 5.10.11), נדחה ערעור על חומרת עונשו של נאשם עליו הוטלו 12 חודשים, לאחר שהמערער הורשע בביצוע עבירה של החזקת נשק ותחמושת. אקדח ומחסנית לאקדח ובה 8 כדורים.</w:t>
      </w:r>
    </w:p>
    <w:p w14:paraId="6E091F7F" w14:textId="77777777" w:rsidR="001F61BA" w:rsidRPr="008B2F64" w:rsidRDefault="00DB161C" w:rsidP="001F61BA">
      <w:pPr>
        <w:pStyle w:val="a9"/>
        <w:numPr>
          <w:ilvl w:val="0"/>
          <w:numId w:val="1"/>
        </w:numPr>
        <w:spacing w:after="160" w:line="360" w:lineRule="auto"/>
        <w:jc w:val="both"/>
        <w:rPr>
          <w:rFonts w:ascii="David" w:hAnsi="David"/>
          <w:color w:val="000000"/>
        </w:rPr>
      </w:pPr>
      <w:hyperlink r:id="rId23" w:history="1">
        <w:r w:rsidRPr="00DB161C">
          <w:rPr>
            <w:rFonts w:ascii="David" w:hAnsi="David"/>
            <w:color w:val="0000FF"/>
            <w:u w:val="single"/>
            <w:rtl/>
          </w:rPr>
          <w:t>עפ"ג (מחוזי ב"ש) 56010-03-18</w:t>
        </w:r>
      </w:hyperlink>
      <w:r w:rsidR="001F61BA" w:rsidRPr="008B2F64">
        <w:rPr>
          <w:rFonts w:ascii="David" w:hAnsi="David" w:hint="cs"/>
          <w:color w:val="000000"/>
          <w:rtl/>
        </w:rPr>
        <w:t xml:space="preserve"> </w:t>
      </w:r>
      <w:r w:rsidR="001F61BA" w:rsidRPr="008B2F64">
        <w:rPr>
          <w:rFonts w:ascii="David" w:hAnsi="David" w:hint="cs"/>
          <w:b/>
          <w:bCs/>
          <w:color w:val="000000"/>
          <w:rtl/>
        </w:rPr>
        <w:t>אלאסד</w:t>
      </w:r>
      <w:r w:rsidR="001F61BA" w:rsidRPr="008B2F64">
        <w:rPr>
          <w:rFonts w:ascii="David" w:hAnsi="David" w:hint="cs"/>
          <w:color w:val="000000"/>
          <w:rtl/>
        </w:rPr>
        <w:t xml:space="preserve"> (נבו 27.6.18) - דחה בית המשפט המחוזי ערעורו של נאשם כבן 50, אשר החזיק בביתו אקדח ללא תחמושת ונדון לתשעה חודשי מאסר בפועל ועונשים נלווים.</w:t>
      </w:r>
    </w:p>
    <w:p w14:paraId="6F0A445E" w14:textId="77777777" w:rsidR="001F61BA" w:rsidRPr="008B2F64" w:rsidRDefault="00DB161C" w:rsidP="001F61BA">
      <w:pPr>
        <w:pStyle w:val="a9"/>
        <w:numPr>
          <w:ilvl w:val="0"/>
          <w:numId w:val="1"/>
        </w:numPr>
        <w:spacing w:after="160" w:line="360" w:lineRule="auto"/>
        <w:jc w:val="both"/>
        <w:rPr>
          <w:rFonts w:ascii="David" w:hAnsi="David"/>
          <w:color w:val="000000"/>
        </w:rPr>
      </w:pPr>
      <w:hyperlink r:id="rId24" w:history="1">
        <w:r w:rsidRPr="00DB161C">
          <w:rPr>
            <w:rFonts w:ascii="David" w:hAnsi="David"/>
            <w:color w:val="0000FF"/>
            <w:u w:val="single"/>
            <w:rtl/>
          </w:rPr>
          <w:t>עפ"ג (ב"ש) 56305-02-20</w:t>
        </w:r>
      </w:hyperlink>
      <w:r w:rsidR="001F61BA" w:rsidRPr="008B2F64">
        <w:rPr>
          <w:rFonts w:ascii="David" w:hAnsi="David" w:hint="cs"/>
          <w:color w:val="000000"/>
          <w:rtl/>
        </w:rPr>
        <w:t xml:space="preserve">‏ </w:t>
      </w:r>
      <w:r w:rsidR="001F61BA" w:rsidRPr="008B2F64">
        <w:rPr>
          <w:rFonts w:ascii="David" w:hAnsi="David" w:hint="cs"/>
          <w:b/>
          <w:bCs/>
          <w:color w:val="000000"/>
          <w:rtl/>
        </w:rPr>
        <w:t>אלקריעאן</w:t>
      </w:r>
      <w:r w:rsidR="001F61BA" w:rsidRPr="008B2F64">
        <w:rPr>
          <w:rFonts w:ascii="David" w:hAnsi="David" w:hint="cs"/>
          <w:color w:val="000000"/>
          <w:rtl/>
        </w:rPr>
        <w:t xml:space="preserve"> (נבו 18.8.20) – נדון נאשם ללא עבר פלילי שברכבו נמצא אקדח ומחסנית ל-15 חודשים. נקבע מתחם שבין 15 חודשים ועד 30 חודשים. ערכאת הערעור הפחיתה את עונשו ל-12 חודשי מאסר.</w:t>
      </w:r>
    </w:p>
    <w:p w14:paraId="77EDC674" w14:textId="77777777" w:rsidR="001F61BA" w:rsidRPr="008B2F64" w:rsidRDefault="00DB161C" w:rsidP="001F61BA">
      <w:pPr>
        <w:pStyle w:val="a9"/>
        <w:numPr>
          <w:ilvl w:val="0"/>
          <w:numId w:val="1"/>
        </w:numPr>
        <w:spacing w:after="160" w:line="360" w:lineRule="auto"/>
        <w:jc w:val="both"/>
        <w:rPr>
          <w:rFonts w:ascii="David" w:hAnsi="David"/>
          <w:color w:val="000000"/>
        </w:rPr>
      </w:pPr>
      <w:hyperlink r:id="rId25" w:history="1">
        <w:r w:rsidRPr="00DB161C">
          <w:rPr>
            <w:rFonts w:ascii="David" w:hAnsi="David"/>
            <w:color w:val="0000FF"/>
            <w:u w:val="single"/>
            <w:rtl/>
          </w:rPr>
          <w:t>ע"פ 761/07</w:t>
        </w:r>
      </w:hyperlink>
      <w:r w:rsidR="001F61BA" w:rsidRPr="008B2F64">
        <w:rPr>
          <w:rFonts w:ascii="David" w:hAnsi="David" w:hint="cs"/>
          <w:color w:val="000000"/>
          <w:rtl/>
        </w:rPr>
        <w:t xml:space="preserve"> </w:t>
      </w:r>
      <w:r w:rsidR="001F61BA" w:rsidRPr="008B2F64">
        <w:rPr>
          <w:rFonts w:ascii="David" w:hAnsi="David" w:hint="cs"/>
          <w:b/>
          <w:bCs/>
          <w:color w:val="000000"/>
          <w:rtl/>
        </w:rPr>
        <w:t>מדינת ישראל נ' מיכאל אדרי</w:t>
      </w:r>
      <w:r w:rsidR="001F61BA" w:rsidRPr="008B2F64">
        <w:rPr>
          <w:rFonts w:ascii="David" w:hAnsi="David" w:hint="cs"/>
          <w:color w:val="000000"/>
          <w:rtl/>
        </w:rPr>
        <w:t xml:space="preserve"> (נבו 22.02.07) המערער נהג ברכב ונתפס מחזיק באקדח, מחסנית ותחמושת. כשנעצר, הזדהה כאחר. הוא הורשע בהחזקת נשק שלא כדין ובהפרעה לשוטר במילוי תפקידו, נגזרו עליו בבית המשפט המחוזי 12 חודשי מאסר בפועל, ובמסגרת ערעור המדינה על קולת העונש, ונוכח רישום פלילי משמעותי, הוחמר עונשו ל- 24 חודשי מאסר בפועל.</w:t>
      </w:r>
    </w:p>
    <w:p w14:paraId="77E3372A" w14:textId="77777777" w:rsidR="001F61BA" w:rsidRPr="005010B0" w:rsidRDefault="001F61BA" w:rsidP="001F61BA">
      <w:pPr>
        <w:numPr>
          <w:ilvl w:val="0"/>
          <w:numId w:val="1"/>
        </w:numPr>
        <w:spacing w:after="160" w:line="360" w:lineRule="auto"/>
        <w:jc w:val="both"/>
        <w:rPr>
          <w:rFonts w:ascii="David" w:hAnsi="David"/>
          <w:color w:val="000000"/>
          <w:rtl/>
        </w:rPr>
      </w:pPr>
      <w:r w:rsidRPr="005010B0">
        <w:rPr>
          <w:rFonts w:ascii="David" w:hAnsi="David"/>
          <w:color w:val="000000"/>
          <w:rtl/>
        </w:rPr>
        <w:t>ב</w:t>
      </w:r>
      <w:hyperlink r:id="rId26" w:history="1">
        <w:r w:rsidR="00DB161C" w:rsidRPr="00DB161C">
          <w:rPr>
            <w:rFonts w:ascii="David" w:hAnsi="David"/>
            <w:color w:val="0000FF"/>
            <w:u w:val="single"/>
            <w:rtl/>
          </w:rPr>
          <w:t>ע"פ 3632/14</w:t>
        </w:r>
      </w:hyperlink>
      <w:r w:rsidRPr="005010B0">
        <w:rPr>
          <w:rFonts w:ascii="David" w:hAnsi="David"/>
          <w:color w:val="000000"/>
          <w:rtl/>
        </w:rPr>
        <w:t xml:space="preserve"> אנואר אבו סבית נ' מדינת ישראל [פורסם בנבו] (ניתן ביום 08.12.14), בית המשפט העליון דחה ערעורו של המערער על גזר דינו של בית המשפט המחוזי במסגרתו הושתו עליו 18 חודשי מאסר בפועל ומאסר מותנה בגין עבירה של החזקת נשק מסוג תת מקלע מאולתר. עוד נקבע כי המתחם שקבע בית המשפט המחוזי אשר נע בין 12-36 חודשי מאסר בפועל, הינו מתחם הענישה המקובל כיום בעבירות אלה. המדובר בצעיר, נעדר עבר פלילי.</w:t>
      </w:r>
    </w:p>
    <w:p w14:paraId="62C83D2B" w14:textId="77777777" w:rsidR="001F61BA" w:rsidRPr="005010B0" w:rsidRDefault="001F61BA" w:rsidP="001F61BA">
      <w:pPr>
        <w:numPr>
          <w:ilvl w:val="0"/>
          <w:numId w:val="1"/>
        </w:numPr>
        <w:spacing w:after="160" w:line="360" w:lineRule="auto"/>
        <w:jc w:val="both"/>
        <w:rPr>
          <w:rFonts w:ascii="David" w:hAnsi="David"/>
          <w:color w:val="000000"/>
          <w:rtl/>
        </w:rPr>
      </w:pPr>
      <w:r>
        <w:rPr>
          <w:rFonts w:ascii="David" w:hAnsi="David" w:hint="cs"/>
          <w:color w:val="000000"/>
          <w:rtl/>
        </w:rPr>
        <w:t>ב</w:t>
      </w:r>
      <w:hyperlink r:id="rId27" w:history="1">
        <w:r w:rsidR="00DB161C" w:rsidRPr="00DB161C">
          <w:rPr>
            <w:rFonts w:ascii="David" w:hAnsi="David"/>
            <w:color w:val="0000FF"/>
            <w:u w:val="single"/>
            <w:rtl/>
          </w:rPr>
          <w:t>ע"פ 4722/20</w:t>
        </w:r>
      </w:hyperlink>
      <w:r w:rsidRPr="005010B0">
        <w:rPr>
          <w:rFonts w:ascii="David" w:hAnsi="David"/>
          <w:color w:val="000000"/>
          <w:rtl/>
        </w:rPr>
        <w:t xml:space="preserve"> בזייג נגד מדינת ישראל [פורסם בנבו] (09.08.20), המערער הורשע בביצוע עבירות החזקת נשק שלא כדין והחזקת אבזר לנשק שלא כדין כך שנהג ברכב בנוף הגליל כשהוא מחזיק ברכב, נשק מסוג דמוי רובה סער </w:t>
      </w:r>
      <w:r w:rsidRPr="005010B0">
        <w:rPr>
          <w:rFonts w:ascii="David" w:hAnsi="David"/>
          <w:color w:val="000000"/>
        </w:rPr>
        <w:t>M-16</w:t>
      </w:r>
      <w:r w:rsidRPr="005010B0">
        <w:rPr>
          <w:rFonts w:ascii="David" w:hAnsi="David"/>
          <w:color w:val="000000"/>
          <w:rtl/>
        </w:rPr>
        <w:t xml:space="preserve"> המכיל חלקים של כלי נשק תקניים ומחסנית תואמת ריקה מתחמושת. בית המשפט המחוזי, קבע מתחם עונש הנע בין 12 ל- 36 חודשי מאסר וגזר על הנאשם 18 חודשי מאסר בפועל. ערעור שהוגש לבית המשפט העליון, נדחה.</w:t>
      </w:r>
    </w:p>
    <w:p w14:paraId="36DF7EA7" w14:textId="77777777" w:rsidR="001F61BA" w:rsidRPr="005010B0" w:rsidRDefault="001F61BA" w:rsidP="001F61BA">
      <w:pPr>
        <w:numPr>
          <w:ilvl w:val="0"/>
          <w:numId w:val="1"/>
        </w:numPr>
        <w:spacing w:after="160" w:line="360" w:lineRule="auto"/>
        <w:jc w:val="both"/>
        <w:rPr>
          <w:rFonts w:ascii="David" w:hAnsi="David"/>
          <w:color w:val="000000"/>
          <w:rtl/>
        </w:rPr>
      </w:pPr>
      <w:r w:rsidRPr="005010B0">
        <w:rPr>
          <w:rFonts w:ascii="David" w:hAnsi="David"/>
          <w:color w:val="000000"/>
          <w:rtl/>
        </w:rPr>
        <w:t>ת"פ (4005-07-21 מדינת ישראל נ' חמזה מחאמיד (17.01.22) – הנאשם הורשע בנהיגה ברכב תוך שהוא מחזיק, נושא ומוביל רובה ציד, אקדח עם מחסנית תואמת וסכין. הנאשם נעדר עבר פלילי אך שירות המבחן נמנע מהמלצה שיקומית. בית המשפט המחוזי קבע מתחם עונש הולם בין 14-38 חודשי מאסר בפועל וגזר על הנאשם 17 חודשי מאסר בפועל.</w:t>
      </w:r>
    </w:p>
    <w:p w14:paraId="370A92F4" w14:textId="77777777" w:rsidR="001F61BA" w:rsidRPr="008B2F64" w:rsidRDefault="001F61BA" w:rsidP="001F61BA">
      <w:pPr>
        <w:numPr>
          <w:ilvl w:val="0"/>
          <w:numId w:val="1"/>
        </w:numPr>
        <w:spacing w:after="160" w:line="360" w:lineRule="auto"/>
        <w:jc w:val="both"/>
        <w:rPr>
          <w:rFonts w:ascii="David" w:hAnsi="David"/>
          <w:color w:val="000000"/>
          <w:rtl/>
        </w:rPr>
      </w:pPr>
      <w:r w:rsidRPr="008B2F64">
        <w:rPr>
          <w:rFonts w:ascii="David" w:hAnsi="David"/>
          <w:color w:val="000000"/>
          <w:rtl/>
        </w:rPr>
        <w:t>בענייננו, הנאש</w:t>
      </w:r>
      <w:r>
        <w:rPr>
          <w:rFonts w:ascii="David" w:hAnsi="David" w:hint="cs"/>
          <w:color w:val="000000"/>
          <w:rtl/>
        </w:rPr>
        <w:t>מי</w:t>
      </w:r>
      <w:r w:rsidRPr="008B2F64">
        <w:rPr>
          <w:rFonts w:ascii="David" w:hAnsi="David"/>
          <w:color w:val="000000"/>
          <w:rtl/>
        </w:rPr>
        <w:t>ם כאמור, החזיק</w:t>
      </w:r>
      <w:r>
        <w:rPr>
          <w:rFonts w:ascii="David" w:hAnsi="David" w:hint="cs"/>
          <w:color w:val="000000"/>
          <w:rtl/>
        </w:rPr>
        <w:t>ו ב</w:t>
      </w:r>
      <w:r w:rsidRPr="008B2F64">
        <w:rPr>
          <w:rFonts w:ascii="David" w:hAnsi="David"/>
          <w:color w:val="000000"/>
          <w:rtl/>
        </w:rPr>
        <w:t>תת מקלע מאולתר מסוג קרלו ולצדו מחסנית במקום מוסתר שבכוחו של נשק זה להרוג</w:t>
      </w:r>
      <w:r>
        <w:rPr>
          <w:rFonts w:ascii="David" w:hAnsi="David" w:hint="cs"/>
          <w:color w:val="000000"/>
          <w:rtl/>
        </w:rPr>
        <w:t>,</w:t>
      </w:r>
      <w:r w:rsidRPr="008B2F64">
        <w:rPr>
          <w:rFonts w:ascii="David" w:hAnsi="David"/>
          <w:color w:val="000000"/>
          <w:rtl/>
        </w:rPr>
        <w:t xml:space="preserve"> ופוטנציאל הנזק הטמון בו </w:t>
      </w:r>
      <w:r>
        <w:rPr>
          <w:rFonts w:ascii="David" w:hAnsi="David" w:hint="cs"/>
          <w:color w:val="000000"/>
          <w:rtl/>
        </w:rPr>
        <w:t xml:space="preserve">הינו </w:t>
      </w:r>
      <w:r w:rsidRPr="008B2F64">
        <w:rPr>
          <w:rFonts w:ascii="David" w:hAnsi="David"/>
          <w:color w:val="000000"/>
          <w:rtl/>
        </w:rPr>
        <w:t>רב.</w:t>
      </w:r>
      <w:r w:rsidRPr="008B2F64">
        <w:rPr>
          <w:rFonts w:ascii="David" w:hAnsi="David" w:hint="cs"/>
          <w:color w:val="000000"/>
          <w:rtl/>
        </w:rPr>
        <w:t xml:space="preserve"> </w:t>
      </w:r>
      <w:r>
        <w:rPr>
          <w:rFonts w:ascii="David" w:hAnsi="David" w:hint="cs"/>
          <w:color w:val="000000"/>
          <w:rtl/>
        </w:rPr>
        <w:t>א</w:t>
      </w:r>
      <w:r w:rsidRPr="008B2F64">
        <w:rPr>
          <w:rFonts w:ascii="David" w:hAnsi="David"/>
          <w:color w:val="000000"/>
          <w:rtl/>
        </w:rPr>
        <w:t>מנם, בסופו של יום לא נעשה שימוש בנשק, עם זאת אין בכך כדי להפחית מחומרת הנסיבות הקשורות בביצוע המעש</w:t>
      </w:r>
      <w:r>
        <w:rPr>
          <w:rFonts w:ascii="David" w:hAnsi="David" w:hint="cs"/>
          <w:color w:val="000000"/>
          <w:rtl/>
        </w:rPr>
        <w:t xml:space="preserve">ה </w:t>
      </w:r>
      <w:r w:rsidRPr="008B2F64">
        <w:rPr>
          <w:rFonts w:ascii="David" w:hAnsi="David"/>
          <w:color w:val="000000"/>
          <w:rtl/>
        </w:rPr>
        <w:t>ולהתעלם מהנזק ומהפגיעות הפוטנציאליות שהיו עלולים להתרחש</w:t>
      </w:r>
      <w:r>
        <w:rPr>
          <w:rFonts w:ascii="David" w:hAnsi="David" w:hint="cs"/>
          <w:color w:val="000000"/>
          <w:rtl/>
        </w:rPr>
        <w:t>, ככל והיה נעשה בו שימוש</w:t>
      </w:r>
      <w:r w:rsidRPr="008B2F64">
        <w:rPr>
          <w:rFonts w:ascii="David" w:hAnsi="David"/>
          <w:color w:val="000000"/>
          <w:rtl/>
        </w:rPr>
        <w:t>.</w:t>
      </w:r>
    </w:p>
    <w:p w14:paraId="2BB45CA7" w14:textId="77777777" w:rsidR="001F61BA" w:rsidRPr="00162948" w:rsidRDefault="001F61BA" w:rsidP="001F61BA">
      <w:pPr>
        <w:numPr>
          <w:ilvl w:val="0"/>
          <w:numId w:val="2"/>
        </w:numPr>
        <w:spacing w:after="160" w:line="360" w:lineRule="auto"/>
        <w:jc w:val="both"/>
        <w:rPr>
          <w:rFonts w:ascii="David" w:hAnsi="David"/>
          <w:color w:val="000000"/>
          <w:rtl/>
        </w:rPr>
      </w:pPr>
      <w:r w:rsidRPr="00162948">
        <w:rPr>
          <w:rFonts w:ascii="David" w:hAnsi="David" w:hint="cs"/>
          <w:color w:val="000000"/>
          <w:rtl/>
        </w:rPr>
        <w:t>ב</w:t>
      </w:r>
      <w:r w:rsidRPr="00162948">
        <w:rPr>
          <w:rFonts w:ascii="David" w:hAnsi="David"/>
          <w:color w:val="000000"/>
          <w:rtl/>
        </w:rPr>
        <w:t>התחשב בעובדות</w:t>
      </w:r>
      <w:r w:rsidRPr="00162948">
        <w:rPr>
          <w:rFonts w:ascii="David" w:hAnsi="David" w:hint="cs"/>
          <w:color w:val="000000"/>
          <w:rtl/>
        </w:rPr>
        <w:t xml:space="preserve"> אלו, </w:t>
      </w:r>
      <w:r>
        <w:rPr>
          <w:rFonts w:ascii="David" w:hAnsi="David" w:hint="cs"/>
          <w:color w:val="000000"/>
          <w:rtl/>
        </w:rPr>
        <w:t xml:space="preserve">סוג הנשק, </w:t>
      </w:r>
      <w:r w:rsidRPr="00162948">
        <w:rPr>
          <w:rFonts w:ascii="David" w:hAnsi="David"/>
          <w:color w:val="000000"/>
          <w:rtl/>
        </w:rPr>
        <w:t xml:space="preserve">ומגמת ההחמרה ההדרגתית של בית המשפט העליון בעבירות </w:t>
      </w:r>
      <w:r>
        <w:rPr>
          <w:rFonts w:ascii="David" w:hAnsi="David" w:hint="cs"/>
          <w:color w:val="000000"/>
          <w:rtl/>
        </w:rPr>
        <w:t>אלו</w:t>
      </w:r>
      <w:r w:rsidRPr="00162948">
        <w:rPr>
          <w:rFonts w:ascii="David" w:hAnsi="David"/>
          <w:color w:val="000000"/>
          <w:rtl/>
        </w:rPr>
        <w:t xml:space="preserve">, מצאתי כי מתחם העונש ההולם </w:t>
      </w:r>
      <w:r w:rsidRPr="00162948">
        <w:rPr>
          <w:rFonts w:ascii="David" w:hAnsi="David" w:hint="cs"/>
          <w:color w:val="000000"/>
          <w:rtl/>
        </w:rPr>
        <w:t>מקרה זה הינו החל מ-1</w:t>
      </w:r>
      <w:r>
        <w:rPr>
          <w:rFonts w:ascii="David" w:hAnsi="David" w:hint="cs"/>
          <w:color w:val="000000"/>
          <w:rtl/>
        </w:rPr>
        <w:t>4</w:t>
      </w:r>
      <w:r w:rsidRPr="00162948">
        <w:rPr>
          <w:rFonts w:ascii="David" w:hAnsi="David" w:hint="cs"/>
          <w:color w:val="000000"/>
          <w:rtl/>
        </w:rPr>
        <w:t xml:space="preserve"> חודשים ועד 36 חודשים.</w:t>
      </w:r>
      <w:r w:rsidRPr="00162948">
        <w:rPr>
          <w:rFonts w:ascii="David" w:hAnsi="David"/>
          <w:color w:val="000000"/>
          <w:rtl/>
        </w:rPr>
        <w:t xml:space="preserve"> </w:t>
      </w:r>
    </w:p>
    <w:p w14:paraId="41534D7B" w14:textId="77777777" w:rsidR="001F61BA" w:rsidRPr="00FD04AA" w:rsidRDefault="001F61BA" w:rsidP="001F61BA">
      <w:pPr>
        <w:shd w:val="clear" w:color="auto" w:fill="FFFFFF"/>
        <w:spacing w:after="160" w:line="360" w:lineRule="auto"/>
        <w:ind w:firstLine="390"/>
        <w:jc w:val="both"/>
        <w:rPr>
          <w:rFonts w:ascii="David" w:hAnsi="David"/>
          <w:color w:val="000000"/>
          <w:rtl/>
        </w:rPr>
      </w:pPr>
      <w:r w:rsidRPr="00FD04AA">
        <w:rPr>
          <w:rFonts w:ascii="David" w:hAnsi="David" w:hint="cs"/>
          <w:b/>
          <w:bCs/>
          <w:color w:val="000000"/>
          <w:u w:val="single"/>
          <w:rtl/>
        </w:rPr>
        <w:t>העונש המתאים לנאשמים</w:t>
      </w:r>
      <w:r w:rsidRPr="00FD04AA">
        <w:rPr>
          <w:rFonts w:ascii="David" w:hAnsi="David" w:hint="cs"/>
          <w:b/>
          <w:bCs/>
          <w:color w:val="000000"/>
          <w:rtl/>
        </w:rPr>
        <w:t>:</w:t>
      </w:r>
    </w:p>
    <w:p w14:paraId="33D04738" w14:textId="77777777" w:rsidR="001F61BA" w:rsidRPr="00FD04AA" w:rsidRDefault="001F61BA" w:rsidP="001F61BA">
      <w:pPr>
        <w:pStyle w:val="a9"/>
        <w:numPr>
          <w:ilvl w:val="0"/>
          <w:numId w:val="2"/>
        </w:numPr>
        <w:spacing w:line="360" w:lineRule="auto"/>
        <w:jc w:val="both"/>
        <w:rPr>
          <w:rFonts w:ascii="David" w:hAnsi="David"/>
          <w:color w:val="000000"/>
        </w:rPr>
      </w:pPr>
      <w:r w:rsidRPr="00FD04AA">
        <w:rPr>
          <w:rFonts w:ascii="David" w:hAnsi="David" w:hint="cs"/>
          <w:color w:val="000000"/>
          <w:rtl/>
        </w:rPr>
        <w:t xml:space="preserve">הנאשמים </w:t>
      </w:r>
      <w:r>
        <w:rPr>
          <w:rFonts w:ascii="David" w:hAnsi="David" w:hint="cs"/>
          <w:color w:val="000000"/>
          <w:rtl/>
        </w:rPr>
        <w:t xml:space="preserve">הינם </w:t>
      </w:r>
      <w:r w:rsidRPr="00FD04AA">
        <w:rPr>
          <w:rFonts w:ascii="David" w:hAnsi="David" w:hint="cs"/>
          <w:color w:val="000000"/>
          <w:rtl/>
        </w:rPr>
        <w:t xml:space="preserve">ילידי 2001,  נעדרי רישום פלילי. </w:t>
      </w:r>
    </w:p>
    <w:p w14:paraId="5848F986" w14:textId="77777777" w:rsidR="001F61BA" w:rsidRPr="00FD04AA" w:rsidRDefault="001F61BA" w:rsidP="001F61BA">
      <w:pPr>
        <w:pStyle w:val="a9"/>
        <w:numPr>
          <w:ilvl w:val="0"/>
          <w:numId w:val="2"/>
        </w:numPr>
        <w:shd w:val="clear" w:color="auto" w:fill="FFFFFF"/>
        <w:spacing w:line="360" w:lineRule="auto"/>
        <w:jc w:val="both"/>
        <w:rPr>
          <w:rFonts w:ascii="David" w:hAnsi="David"/>
          <w:color w:val="000000"/>
          <w:rtl/>
        </w:rPr>
      </w:pPr>
      <w:r w:rsidRPr="00FD04AA">
        <w:rPr>
          <w:rFonts w:ascii="David" w:hAnsi="David" w:hint="cs"/>
          <w:color w:val="000000"/>
          <w:rtl/>
        </w:rPr>
        <w:t xml:space="preserve">הנאשמים נטלו אחריות על </w:t>
      </w:r>
      <w:r>
        <w:rPr>
          <w:rFonts w:ascii="David" w:hAnsi="David" w:hint="cs"/>
          <w:color w:val="000000"/>
          <w:rtl/>
        </w:rPr>
        <w:t xml:space="preserve">המעשים, והביעו צער על מעורבותם בביצוע העבירה. </w:t>
      </w:r>
      <w:r w:rsidRPr="00FD04AA">
        <w:rPr>
          <w:rFonts w:ascii="David" w:hAnsi="David" w:hint="cs"/>
          <w:color w:val="000000"/>
          <w:rtl/>
        </w:rPr>
        <w:t>כן התחשבתי בגילם הצעיר</w:t>
      </w:r>
      <w:r>
        <w:rPr>
          <w:rFonts w:ascii="David" w:hAnsi="David" w:hint="cs"/>
          <w:color w:val="000000"/>
          <w:rtl/>
        </w:rPr>
        <w:t xml:space="preserve">, העובדה כי המדובר בהחזקה משותפת, וכן </w:t>
      </w:r>
      <w:r w:rsidRPr="00FD04AA">
        <w:rPr>
          <w:rFonts w:ascii="David" w:hAnsi="David" w:hint="cs"/>
          <w:color w:val="000000"/>
          <w:rtl/>
        </w:rPr>
        <w:t>משך תקופת המעצר בה הם שוהים</w:t>
      </w:r>
      <w:r>
        <w:rPr>
          <w:rFonts w:ascii="David" w:hAnsi="David" w:hint="cs"/>
          <w:color w:val="000000"/>
          <w:rtl/>
        </w:rPr>
        <w:t xml:space="preserve"> (החל מיום 23.7.2023), וכן בעובדה, כי הם עתידים לרצות מאסר ראשון. בנוסף, הבאתי במסגרת שיקוליי את דברי האב ביחס לסיוע הניתן על ידם לעסק שבבעלותו.</w:t>
      </w:r>
    </w:p>
    <w:p w14:paraId="02995CC7" w14:textId="77777777" w:rsidR="001F61BA" w:rsidRPr="00FD04AA" w:rsidRDefault="001F61BA" w:rsidP="001F61BA">
      <w:pPr>
        <w:pStyle w:val="a9"/>
        <w:numPr>
          <w:ilvl w:val="0"/>
          <w:numId w:val="2"/>
        </w:numPr>
        <w:shd w:val="clear" w:color="auto" w:fill="FFFFFF"/>
        <w:spacing w:line="360" w:lineRule="auto"/>
        <w:jc w:val="both"/>
        <w:rPr>
          <w:rFonts w:ascii="David" w:hAnsi="David"/>
          <w:color w:val="000000"/>
          <w:rtl/>
        </w:rPr>
      </w:pPr>
      <w:r>
        <w:rPr>
          <w:rFonts w:ascii="David" w:hAnsi="David" w:hint="cs"/>
          <w:color w:val="000000"/>
          <w:rtl/>
        </w:rPr>
        <w:t xml:space="preserve">באיזון בין שיקולים אלו, </w:t>
      </w:r>
      <w:r w:rsidRPr="00FD04AA">
        <w:rPr>
          <w:rFonts w:ascii="David" w:hAnsi="David" w:hint="cs"/>
          <w:color w:val="000000"/>
          <w:rtl/>
        </w:rPr>
        <w:t>ראיתי לקבוע את עונשם של הנאשמים ב</w:t>
      </w:r>
      <w:r>
        <w:rPr>
          <w:rFonts w:ascii="David" w:hAnsi="David" w:hint="cs"/>
          <w:color w:val="000000"/>
          <w:rtl/>
        </w:rPr>
        <w:t xml:space="preserve">תחתית </w:t>
      </w:r>
      <w:r w:rsidRPr="00FD04AA">
        <w:rPr>
          <w:rFonts w:ascii="David" w:hAnsi="David" w:hint="cs"/>
          <w:color w:val="000000"/>
          <w:rtl/>
        </w:rPr>
        <w:t>מתחם הענישה, ולהטיל עליהם את העונשים הבאים:</w:t>
      </w:r>
    </w:p>
    <w:p w14:paraId="508902A0" w14:textId="77777777" w:rsidR="001F61BA" w:rsidRDefault="001F61BA" w:rsidP="001F61BA">
      <w:pPr>
        <w:shd w:val="clear" w:color="auto" w:fill="FFFFFF"/>
        <w:spacing w:line="360" w:lineRule="auto"/>
        <w:ind w:left="720" w:hanging="360"/>
        <w:jc w:val="both"/>
        <w:rPr>
          <w:rFonts w:ascii="David" w:hAnsi="David"/>
          <w:color w:val="000000"/>
          <w:rtl/>
        </w:rPr>
      </w:pPr>
      <w:r>
        <w:rPr>
          <w:rFonts w:ascii="David" w:hAnsi="David" w:hint="cs"/>
          <w:color w:val="000000"/>
          <w:rtl/>
        </w:rPr>
        <w:t>א.</w:t>
      </w:r>
      <w:r>
        <w:rPr>
          <w:rFonts w:ascii="David" w:hAnsi="David" w:hint="cs"/>
          <w:color w:val="000000"/>
          <w:rtl/>
        </w:rPr>
        <w:tab/>
        <w:t>מאסר למשך 16 חודשים בניכוי ימי המעצר.</w:t>
      </w:r>
    </w:p>
    <w:p w14:paraId="3336A725" w14:textId="77777777" w:rsidR="001F61BA" w:rsidRDefault="001F61BA" w:rsidP="001F61BA">
      <w:pPr>
        <w:shd w:val="clear" w:color="auto" w:fill="FFFFFF"/>
        <w:spacing w:line="360" w:lineRule="auto"/>
        <w:ind w:left="720" w:hanging="360"/>
        <w:jc w:val="both"/>
        <w:rPr>
          <w:rFonts w:ascii="David" w:hAnsi="David"/>
          <w:color w:val="000000"/>
          <w:rtl/>
        </w:rPr>
      </w:pPr>
      <w:r>
        <w:rPr>
          <w:rFonts w:ascii="David" w:hAnsi="David" w:hint="cs"/>
          <w:color w:val="000000"/>
          <w:rtl/>
        </w:rPr>
        <w:t>ב.</w:t>
      </w:r>
      <w:r>
        <w:rPr>
          <w:rFonts w:ascii="David" w:hAnsi="David" w:hint="cs"/>
          <w:color w:val="000000"/>
          <w:rtl/>
        </w:rPr>
        <w:tab/>
        <w:t>8 חודשי מאסר וזאת על תנאי למשך 3 שנים מיום שחרורם מהמאסר שלא יעברו עבירה הקשורה בנשק.</w:t>
      </w:r>
    </w:p>
    <w:p w14:paraId="52B6F9F3" w14:textId="77777777" w:rsidR="001F61BA" w:rsidRDefault="001F61BA" w:rsidP="001F61BA">
      <w:pPr>
        <w:shd w:val="clear" w:color="auto" w:fill="FFFFFF"/>
        <w:spacing w:line="360" w:lineRule="auto"/>
        <w:ind w:left="720" w:hanging="360"/>
        <w:jc w:val="both"/>
        <w:rPr>
          <w:rFonts w:ascii="David" w:hAnsi="David"/>
          <w:color w:val="000000"/>
          <w:rtl/>
        </w:rPr>
      </w:pPr>
      <w:r>
        <w:rPr>
          <w:rFonts w:ascii="David" w:hAnsi="David" w:hint="cs"/>
          <w:color w:val="000000"/>
          <w:rtl/>
        </w:rPr>
        <w:t>ג.</w:t>
      </w:r>
      <w:r>
        <w:rPr>
          <w:rFonts w:ascii="David" w:hAnsi="David" w:hint="cs"/>
          <w:color w:val="000000"/>
          <w:rtl/>
        </w:rPr>
        <w:tab/>
        <w:t>קנס בסך 5000 ₪ לכל אחד מהנאשמים אשר ישולם עד ליום 4.8.2024.</w:t>
      </w:r>
    </w:p>
    <w:p w14:paraId="509FD25E" w14:textId="77777777" w:rsidR="001F61BA" w:rsidRPr="00FD04AA" w:rsidRDefault="001F61BA" w:rsidP="001F61BA">
      <w:pPr>
        <w:spacing w:line="360" w:lineRule="auto"/>
        <w:ind w:left="720"/>
        <w:jc w:val="both"/>
        <w:rPr>
          <w:rFonts w:ascii="David" w:hAnsi="David"/>
          <w:sz w:val="20"/>
          <w:szCs w:val="20"/>
          <w:rtl/>
        </w:rPr>
      </w:pPr>
      <w:r w:rsidRPr="00FD04AA">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1E5639FD" w14:textId="77777777" w:rsidR="001F61BA" w:rsidRPr="00FD04AA" w:rsidRDefault="001F61BA" w:rsidP="001F61BA">
      <w:pPr>
        <w:spacing w:line="360" w:lineRule="auto"/>
        <w:ind w:left="1080"/>
        <w:jc w:val="both"/>
        <w:rPr>
          <w:rFonts w:ascii="David" w:hAnsi="David"/>
          <w:sz w:val="20"/>
          <w:szCs w:val="20"/>
        </w:rPr>
      </w:pPr>
      <w:r w:rsidRPr="00FD04AA">
        <w:rPr>
          <w:rFonts w:ascii="David" w:hAnsi="David"/>
          <w:sz w:val="20"/>
          <w:szCs w:val="20"/>
          <w:rtl/>
        </w:rPr>
        <w:t>ניתן יהיה לשלם את הקנס/ פיצוי/ ההוצאות כעבור שלושה ימים מיום מתן ההחלטה/</w:t>
      </w:r>
      <w:r w:rsidR="00DB161C">
        <w:rPr>
          <w:rFonts w:ascii="David" w:hAnsi="David"/>
          <w:sz w:val="20"/>
          <w:szCs w:val="20"/>
          <w:rtl/>
        </w:rPr>
        <w:t xml:space="preserve"> </w:t>
      </w:r>
      <w:r w:rsidRPr="00FD04AA">
        <w:rPr>
          <w:rFonts w:ascii="David" w:hAnsi="David"/>
          <w:sz w:val="20"/>
          <w:szCs w:val="20"/>
          <w:rtl/>
        </w:rPr>
        <w:t xml:space="preserve"> גזר הדין לחשבון המרכז לגביית קנסות, אגרות והוצאות ברשות האכיפה והגבייה באחת מהדרכים הבאות:</w:t>
      </w:r>
    </w:p>
    <w:p w14:paraId="6CFB7094" w14:textId="77777777" w:rsidR="001F61BA" w:rsidRPr="00FD04AA" w:rsidRDefault="001F61BA" w:rsidP="001F61BA">
      <w:pPr>
        <w:numPr>
          <w:ilvl w:val="0"/>
          <w:numId w:val="3"/>
        </w:numPr>
        <w:spacing w:line="360" w:lineRule="auto"/>
        <w:jc w:val="both"/>
        <w:rPr>
          <w:rFonts w:ascii="David" w:hAnsi="David"/>
          <w:b/>
          <w:bCs/>
          <w:sz w:val="20"/>
          <w:szCs w:val="20"/>
        </w:rPr>
      </w:pPr>
      <w:r w:rsidRPr="00FD04AA">
        <w:rPr>
          <w:rFonts w:ascii="David" w:hAnsi="David"/>
          <w:b/>
          <w:bCs/>
          <w:sz w:val="20"/>
          <w:szCs w:val="20"/>
          <w:rtl/>
        </w:rPr>
        <w:t>בכרטיס אשראי</w:t>
      </w:r>
      <w:r w:rsidRPr="00FD04AA">
        <w:rPr>
          <w:rFonts w:ascii="David" w:hAnsi="David"/>
          <w:sz w:val="20"/>
          <w:szCs w:val="20"/>
          <w:rtl/>
        </w:rPr>
        <w:t xml:space="preserve"> – באתר המקוון של רשות האכיפה והגבייה, </w:t>
      </w:r>
      <w:hyperlink r:id="rId28" w:history="1">
        <w:r w:rsidRPr="00FD04AA">
          <w:rPr>
            <w:rStyle w:val="Hyperlink"/>
            <w:rFonts w:ascii="David" w:hAnsi="David"/>
            <w:sz w:val="20"/>
            <w:szCs w:val="20"/>
          </w:rPr>
          <w:t>www.eca.gov.il</w:t>
        </w:r>
      </w:hyperlink>
      <w:r w:rsidRPr="00FD04AA">
        <w:rPr>
          <w:rFonts w:ascii="David" w:hAnsi="David"/>
          <w:sz w:val="20"/>
          <w:szCs w:val="20"/>
        </w:rPr>
        <w:t xml:space="preserve"> </w:t>
      </w:r>
      <w:r w:rsidR="00DB161C">
        <w:rPr>
          <w:rFonts w:ascii="David" w:hAnsi="David"/>
          <w:sz w:val="20"/>
          <w:szCs w:val="20"/>
          <w:rtl/>
        </w:rPr>
        <w:t xml:space="preserve"> </w:t>
      </w:r>
    </w:p>
    <w:p w14:paraId="051ADD86" w14:textId="77777777" w:rsidR="001F61BA" w:rsidRPr="00FD04AA" w:rsidRDefault="001F61BA" w:rsidP="001F61BA">
      <w:pPr>
        <w:numPr>
          <w:ilvl w:val="0"/>
          <w:numId w:val="3"/>
        </w:numPr>
        <w:spacing w:line="360" w:lineRule="auto"/>
        <w:jc w:val="both"/>
        <w:rPr>
          <w:rFonts w:ascii="David" w:hAnsi="David"/>
          <w:b/>
          <w:bCs/>
          <w:sz w:val="20"/>
          <w:szCs w:val="20"/>
          <w:rtl/>
        </w:rPr>
      </w:pPr>
      <w:r w:rsidRPr="00FD04AA">
        <w:rPr>
          <w:rFonts w:ascii="David" w:hAnsi="David"/>
          <w:b/>
          <w:bCs/>
          <w:sz w:val="20"/>
          <w:szCs w:val="20"/>
          <w:rtl/>
        </w:rPr>
        <w:t>מוקד שירות טלפוני בשרות עצמי (מרכז גבייה)</w:t>
      </w:r>
      <w:r w:rsidR="00DB161C">
        <w:rPr>
          <w:rFonts w:ascii="David" w:hAnsi="David"/>
          <w:b/>
          <w:bCs/>
          <w:sz w:val="20"/>
          <w:szCs w:val="20"/>
          <w:rtl/>
        </w:rPr>
        <w:t xml:space="preserve"> </w:t>
      </w:r>
      <w:r w:rsidRPr="00FD04AA">
        <w:rPr>
          <w:rFonts w:ascii="David" w:hAnsi="David"/>
          <w:b/>
          <w:bCs/>
          <w:sz w:val="20"/>
          <w:szCs w:val="20"/>
          <w:rtl/>
        </w:rPr>
        <w:t xml:space="preserve"> – בטלפון 35592* או בטלפון 073-2055000</w:t>
      </w:r>
    </w:p>
    <w:p w14:paraId="72B1059D" w14:textId="77777777" w:rsidR="001F61BA" w:rsidRPr="00FD04AA" w:rsidRDefault="001F61BA" w:rsidP="001F61BA">
      <w:pPr>
        <w:numPr>
          <w:ilvl w:val="0"/>
          <w:numId w:val="3"/>
        </w:numPr>
        <w:spacing w:line="360" w:lineRule="auto"/>
        <w:jc w:val="both"/>
        <w:rPr>
          <w:rFonts w:ascii="David" w:hAnsi="David"/>
          <w:b/>
          <w:bCs/>
          <w:sz w:val="20"/>
          <w:szCs w:val="20"/>
          <w:rtl/>
        </w:rPr>
      </w:pPr>
      <w:r w:rsidRPr="00FD04AA">
        <w:rPr>
          <w:rFonts w:ascii="David" w:hAnsi="David"/>
          <w:b/>
          <w:bCs/>
          <w:sz w:val="20"/>
          <w:szCs w:val="20"/>
          <w:rtl/>
        </w:rPr>
        <w:t>במזומן בכל סניף של בנק הדואר</w:t>
      </w:r>
      <w:r w:rsidRPr="00FD04AA">
        <w:rPr>
          <w:rFonts w:ascii="David" w:hAnsi="David"/>
          <w:sz w:val="20"/>
          <w:szCs w:val="20"/>
          <w:rtl/>
        </w:rPr>
        <w:t xml:space="preserve"> – בהצגת תעודת זהות בלבד (אין צורך בשוברי תשלום).</w:t>
      </w:r>
    </w:p>
    <w:p w14:paraId="0C31511F" w14:textId="77777777" w:rsidR="001F61BA" w:rsidRPr="002359CC" w:rsidRDefault="001F61BA" w:rsidP="001F61BA">
      <w:pPr>
        <w:spacing w:line="360" w:lineRule="auto"/>
        <w:ind w:firstLine="720"/>
        <w:jc w:val="both"/>
        <w:rPr>
          <w:rFonts w:ascii="David" w:hAnsi="David"/>
          <w:rtl/>
        </w:rPr>
      </w:pPr>
      <w:r w:rsidRPr="002359CC">
        <w:rPr>
          <w:rFonts w:ascii="David" w:hAnsi="David" w:hint="cs"/>
          <w:rtl/>
        </w:rPr>
        <w:t>ד. המוצגים יחולטו או יושמדו בהתאם להחלטת רשם המוצגים.</w:t>
      </w:r>
    </w:p>
    <w:p w14:paraId="5B01DA1E" w14:textId="77777777" w:rsidR="001F61BA" w:rsidRDefault="001F61BA" w:rsidP="001F61BA">
      <w:pPr>
        <w:spacing w:line="360" w:lineRule="auto"/>
        <w:jc w:val="both"/>
        <w:rPr>
          <w:rFonts w:ascii="David" w:hAnsi="David"/>
          <w:b/>
          <w:bCs/>
          <w:sz w:val="22"/>
          <w:szCs w:val="22"/>
          <w:rtl/>
        </w:rPr>
      </w:pPr>
    </w:p>
    <w:p w14:paraId="71199227" w14:textId="77777777" w:rsidR="001F61BA" w:rsidRPr="00FD04AA" w:rsidRDefault="00DB161C" w:rsidP="001F61BA">
      <w:pPr>
        <w:spacing w:line="360" w:lineRule="auto"/>
        <w:jc w:val="both"/>
        <w:rPr>
          <w:rFonts w:ascii="David" w:hAnsi="David"/>
          <w:b/>
          <w:bCs/>
          <w:sz w:val="22"/>
          <w:szCs w:val="22"/>
          <w:rtl/>
        </w:rPr>
      </w:pPr>
      <w:r w:rsidRPr="00DB161C">
        <w:rPr>
          <w:rFonts w:ascii="David" w:hAnsi="David"/>
          <w:b/>
          <w:bCs/>
          <w:color w:val="FFFFFF"/>
          <w:sz w:val="2"/>
          <w:szCs w:val="2"/>
          <w:rtl/>
        </w:rPr>
        <w:t>5129371</w:t>
      </w:r>
      <w:r w:rsidR="001F61BA" w:rsidRPr="00FD04AA">
        <w:rPr>
          <w:rFonts w:ascii="David" w:hAnsi="David"/>
          <w:b/>
          <w:bCs/>
          <w:sz w:val="22"/>
          <w:szCs w:val="22"/>
          <w:rtl/>
        </w:rPr>
        <w:t>זכות ערעור לבית המשפט המחוזי בירושלים בתוך 45 יום מהיום.</w:t>
      </w:r>
    </w:p>
    <w:p w14:paraId="7D08D986" w14:textId="77777777" w:rsidR="001F61BA" w:rsidRPr="00DB161C" w:rsidRDefault="00DB161C" w:rsidP="001F61BA">
      <w:pPr>
        <w:rPr>
          <w:rFonts w:ascii="Arial" w:hAnsi="Arial"/>
          <w:b/>
          <w:bCs/>
          <w:color w:val="FFFFFF"/>
          <w:sz w:val="2"/>
          <w:szCs w:val="2"/>
          <w:rtl/>
        </w:rPr>
      </w:pPr>
      <w:r w:rsidRPr="00DB161C">
        <w:rPr>
          <w:rFonts w:ascii="Arial" w:hAnsi="Arial"/>
          <w:b/>
          <w:bCs/>
          <w:color w:val="FFFFFF"/>
          <w:sz w:val="2"/>
          <w:szCs w:val="2"/>
          <w:rtl/>
        </w:rPr>
        <w:t>54678313</w:t>
      </w:r>
    </w:p>
    <w:p w14:paraId="578DF785" w14:textId="77777777" w:rsidR="001F61BA" w:rsidRPr="00FD04AA" w:rsidRDefault="00DB161C" w:rsidP="001F61BA">
      <w:pPr>
        <w:spacing w:line="360" w:lineRule="auto"/>
        <w:jc w:val="both"/>
        <w:rPr>
          <w:rFonts w:ascii="Arial" w:hAnsi="Arial"/>
          <w:b/>
          <w:bCs/>
          <w:sz w:val="22"/>
          <w:szCs w:val="22"/>
          <w:rtl/>
        </w:rPr>
      </w:pPr>
      <w:bookmarkStart w:id="7" w:name="Nitan"/>
      <w:r>
        <w:rPr>
          <w:rFonts w:ascii="Arial" w:hAnsi="Arial"/>
          <w:b/>
          <w:bCs/>
          <w:sz w:val="22"/>
          <w:szCs w:val="22"/>
          <w:rtl/>
        </w:rPr>
        <w:t xml:space="preserve">ניתן היום,  ט"ז אדר ב' תשפ"ד, 26 מרץ 2024, במעמד הנוכחים (הנאשמים בוויעוד חזותי). </w:t>
      </w:r>
      <w:bookmarkEnd w:id="7"/>
      <w:r w:rsidR="001F61BA" w:rsidRPr="00FD04AA">
        <w:rPr>
          <w:rFonts w:ascii="Arial" w:hAnsi="Arial" w:hint="cs"/>
          <w:b/>
          <w:bCs/>
          <w:sz w:val="22"/>
          <w:szCs w:val="22"/>
          <w:rtl/>
        </w:rPr>
        <w:tab/>
      </w:r>
      <w:r w:rsidR="001F61BA" w:rsidRPr="00FD04AA">
        <w:rPr>
          <w:rFonts w:ascii="Arial" w:hAnsi="Arial" w:hint="cs"/>
          <w:b/>
          <w:bCs/>
          <w:sz w:val="22"/>
          <w:szCs w:val="22"/>
          <w:rtl/>
        </w:rPr>
        <w:tab/>
      </w:r>
      <w:r w:rsidR="001F61BA" w:rsidRPr="00FD04AA">
        <w:rPr>
          <w:rFonts w:ascii="Arial" w:hAnsi="Arial" w:hint="cs"/>
          <w:b/>
          <w:bCs/>
          <w:sz w:val="22"/>
          <w:szCs w:val="22"/>
          <w:rtl/>
        </w:rPr>
        <w:tab/>
      </w:r>
      <w:r w:rsidR="001F61BA" w:rsidRPr="00FD04AA">
        <w:rPr>
          <w:rFonts w:ascii="Arial" w:hAnsi="Arial" w:hint="cs"/>
          <w:b/>
          <w:bCs/>
          <w:sz w:val="22"/>
          <w:szCs w:val="22"/>
          <w:rtl/>
        </w:rPr>
        <w:tab/>
      </w:r>
      <w:r w:rsidR="001F61BA" w:rsidRPr="00FD04AA">
        <w:rPr>
          <w:rFonts w:ascii="Arial" w:hAnsi="Arial" w:hint="cs"/>
          <w:b/>
          <w:bCs/>
          <w:sz w:val="22"/>
          <w:szCs w:val="22"/>
          <w:rtl/>
        </w:rPr>
        <w:tab/>
      </w:r>
      <w:r w:rsidR="001F61BA" w:rsidRPr="00FD04AA">
        <w:rPr>
          <w:rFonts w:ascii="Arial" w:hAnsi="Arial" w:hint="cs"/>
          <w:b/>
          <w:bCs/>
          <w:sz w:val="22"/>
          <w:szCs w:val="22"/>
          <w:rtl/>
        </w:rPr>
        <w:tab/>
      </w:r>
      <w:r w:rsidR="001F61BA" w:rsidRPr="00FD04AA">
        <w:rPr>
          <w:rFonts w:ascii="Arial" w:hAnsi="Arial" w:hint="cs"/>
          <w:b/>
          <w:bCs/>
          <w:sz w:val="22"/>
          <w:szCs w:val="22"/>
          <w:rtl/>
        </w:rPr>
        <w:tab/>
        <w:t xml:space="preserve">         </w:t>
      </w:r>
    </w:p>
    <w:p w14:paraId="7C5D7D4F" w14:textId="77777777" w:rsidR="001F61BA" w:rsidRPr="00FD04AA" w:rsidRDefault="001F61BA" w:rsidP="001F61BA">
      <w:pPr>
        <w:spacing w:after="160" w:line="256" w:lineRule="auto"/>
        <w:rPr>
          <w:rFonts w:ascii="Arial" w:hAnsi="Arial"/>
          <w:b/>
          <w:bCs/>
          <w:sz w:val="22"/>
          <w:szCs w:val="22"/>
          <w:rtl/>
        </w:rPr>
      </w:pPr>
      <w:r w:rsidRPr="00FD04AA">
        <w:rPr>
          <w:rFonts w:ascii="Arial" w:hAnsi="Arial" w:hint="cs"/>
          <w:b/>
          <w:bCs/>
          <w:sz w:val="22"/>
          <w:szCs w:val="22"/>
          <w:rtl/>
        </w:rPr>
        <w:t xml:space="preserve">   </w:t>
      </w:r>
      <w:r w:rsidRPr="00FD04AA">
        <w:rPr>
          <w:rFonts w:ascii="Arial" w:hAnsi="Arial" w:hint="cs"/>
          <w:b/>
          <w:bCs/>
          <w:sz w:val="22"/>
          <w:szCs w:val="22"/>
          <w:rtl/>
        </w:rPr>
        <w:tab/>
      </w:r>
      <w:r w:rsidRPr="00FD04AA">
        <w:rPr>
          <w:rFonts w:ascii="Arial" w:hAnsi="Arial" w:hint="cs"/>
          <w:b/>
          <w:bCs/>
          <w:sz w:val="22"/>
          <w:szCs w:val="22"/>
          <w:rtl/>
        </w:rPr>
        <w:tab/>
      </w:r>
    </w:p>
    <w:p w14:paraId="299D314B" w14:textId="77777777" w:rsidR="001F61BA" w:rsidRPr="00FD04AA" w:rsidRDefault="001F61BA" w:rsidP="001F61BA">
      <w:pPr>
        <w:spacing w:after="160" w:line="256" w:lineRule="auto"/>
        <w:rPr>
          <w:rFonts w:ascii="Calibri" w:eastAsia="Calibri" w:hAnsi="Calibri" w:cs="Arial"/>
          <w:sz w:val="22"/>
          <w:szCs w:val="22"/>
          <w:rtl/>
        </w:rPr>
      </w:pPr>
      <w:r w:rsidRPr="00FD04AA">
        <w:rPr>
          <w:rFonts w:ascii="Arial" w:hAnsi="Arial" w:hint="cs"/>
          <w:b/>
          <w:bCs/>
          <w:sz w:val="22"/>
          <w:szCs w:val="22"/>
          <w:rtl/>
        </w:rPr>
        <w:tab/>
      </w:r>
      <w:r w:rsidRPr="00FD04AA">
        <w:rPr>
          <w:rFonts w:ascii="Arial" w:hAnsi="Arial" w:hint="cs"/>
          <w:b/>
          <w:bCs/>
          <w:sz w:val="22"/>
          <w:szCs w:val="22"/>
          <w:rtl/>
        </w:rPr>
        <w:tab/>
      </w:r>
      <w:r w:rsidRPr="00FD04AA">
        <w:rPr>
          <w:rFonts w:ascii="Arial" w:hAnsi="Arial" w:hint="cs"/>
          <w:b/>
          <w:bCs/>
          <w:sz w:val="22"/>
          <w:szCs w:val="22"/>
          <w:rtl/>
        </w:rPr>
        <w:tab/>
      </w:r>
      <w:r w:rsidRPr="00FD04AA">
        <w:rPr>
          <w:rFonts w:ascii="Arial" w:hAnsi="Arial" w:hint="cs"/>
          <w:b/>
          <w:bCs/>
          <w:sz w:val="22"/>
          <w:szCs w:val="22"/>
          <w:rtl/>
        </w:rPr>
        <w:tab/>
      </w:r>
      <w:r w:rsidRPr="00FD04AA">
        <w:rPr>
          <w:rFonts w:ascii="Arial" w:hAnsi="Arial" w:hint="cs"/>
          <w:b/>
          <w:bCs/>
          <w:sz w:val="22"/>
          <w:szCs w:val="22"/>
          <w:rtl/>
        </w:rPr>
        <w:tab/>
      </w:r>
      <w:r w:rsidRPr="00FD04AA">
        <w:rPr>
          <w:rFonts w:ascii="Arial" w:hAnsi="Arial" w:hint="cs"/>
          <w:b/>
          <w:bCs/>
          <w:sz w:val="22"/>
          <w:szCs w:val="22"/>
          <w:rtl/>
        </w:rPr>
        <w:tab/>
      </w:r>
      <w:r w:rsidRPr="00FD04AA">
        <w:rPr>
          <w:rFonts w:ascii="Arial" w:hAnsi="Arial" w:hint="cs"/>
          <w:b/>
          <w:bCs/>
          <w:sz w:val="22"/>
          <w:szCs w:val="22"/>
          <w:rtl/>
        </w:rPr>
        <w:tab/>
      </w:r>
      <w:r w:rsidRPr="00FD04AA">
        <w:rPr>
          <w:rFonts w:ascii="Arial" w:hAnsi="Arial" w:hint="cs"/>
          <w:b/>
          <w:bCs/>
          <w:sz w:val="22"/>
          <w:szCs w:val="22"/>
          <w:rtl/>
        </w:rPr>
        <w:tab/>
      </w:r>
      <w:r w:rsidRPr="00FD04AA">
        <w:rPr>
          <w:rFonts w:ascii="Arial" w:hAnsi="Arial" w:hint="cs"/>
          <w:b/>
          <w:bCs/>
          <w:sz w:val="22"/>
          <w:szCs w:val="22"/>
          <w:rtl/>
        </w:rPr>
        <w:tab/>
        <w:t>חתימה</w:t>
      </w:r>
    </w:p>
    <w:p w14:paraId="0E78CBD0" w14:textId="77777777" w:rsidR="001F61BA" w:rsidRPr="006A3F09" w:rsidRDefault="006A3F09" w:rsidP="001F61BA">
      <w:pPr>
        <w:rPr>
          <w:rFonts w:ascii="Arial" w:hAnsi="Arial"/>
          <w:b/>
          <w:bCs/>
          <w:color w:val="FFFFFF"/>
          <w:sz w:val="2"/>
          <w:szCs w:val="2"/>
          <w:rtl/>
        </w:rPr>
      </w:pPr>
      <w:r w:rsidRPr="006A3F09">
        <w:rPr>
          <w:rFonts w:ascii="Arial" w:hAnsi="Arial"/>
          <w:b/>
          <w:bCs/>
          <w:color w:val="FFFFFF"/>
          <w:sz w:val="2"/>
          <w:szCs w:val="2"/>
          <w:rtl/>
        </w:rPr>
        <w:t>5129371</w:t>
      </w:r>
    </w:p>
    <w:p w14:paraId="4B2F9B91" w14:textId="77777777" w:rsidR="00D306DD" w:rsidRPr="006A3F09" w:rsidRDefault="006A3F09" w:rsidP="00DB161C">
      <w:pPr>
        <w:keepNext/>
        <w:rPr>
          <w:rFonts w:ascii="David" w:hAnsi="David"/>
          <w:color w:val="FFFFFF"/>
          <w:sz w:val="2"/>
          <w:szCs w:val="2"/>
          <w:rtl/>
        </w:rPr>
      </w:pPr>
      <w:r w:rsidRPr="006A3F09">
        <w:rPr>
          <w:rFonts w:ascii="David" w:hAnsi="David"/>
          <w:color w:val="FFFFFF"/>
          <w:sz w:val="2"/>
          <w:szCs w:val="2"/>
          <w:rtl/>
        </w:rPr>
        <w:t>54678313</w:t>
      </w:r>
    </w:p>
    <w:p w14:paraId="7C6FDB92" w14:textId="77777777" w:rsidR="00DB161C" w:rsidRDefault="00DB161C" w:rsidP="00DB161C">
      <w:pPr>
        <w:rPr>
          <w:rtl/>
        </w:rPr>
      </w:pPr>
    </w:p>
    <w:p w14:paraId="6A475E55" w14:textId="77777777" w:rsidR="00DB161C" w:rsidRDefault="00DB161C" w:rsidP="00DB161C">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EFACB1B" w14:textId="77777777" w:rsidR="006A3F09" w:rsidRPr="006A3F09" w:rsidRDefault="006A3F09" w:rsidP="006A3F09">
      <w:pPr>
        <w:keepNext/>
        <w:rPr>
          <w:rFonts w:ascii="David" w:hAnsi="David"/>
          <w:color w:val="000000"/>
          <w:sz w:val="22"/>
          <w:szCs w:val="22"/>
          <w:rtl/>
        </w:rPr>
      </w:pPr>
    </w:p>
    <w:p w14:paraId="064E97B0" w14:textId="77777777" w:rsidR="006A3F09" w:rsidRPr="006A3F09" w:rsidRDefault="006A3F09" w:rsidP="006A3F09">
      <w:pPr>
        <w:keepNext/>
        <w:rPr>
          <w:rFonts w:ascii="David" w:hAnsi="David"/>
          <w:color w:val="000000"/>
          <w:sz w:val="22"/>
          <w:szCs w:val="22"/>
          <w:rtl/>
        </w:rPr>
      </w:pPr>
      <w:r w:rsidRPr="006A3F09">
        <w:rPr>
          <w:rFonts w:ascii="David" w:hAnsi="David"/>
          <w:color w:val="000000"/>
          <w:sz w:val="22"/>
          <w:szCs w:val="22"/>
          <w:rtl/>
        </w:rPr>
        <w:t>ארנון איתן 54678313-/</w:t>
      </w:r>
    </w:p>
    <w:p w14:paraId="101DFC5A" w14:textId="77777777" w:rsidR="00DB161C" w:rsidRPr="00DB161C" w:rsidRDefault="006A3F09" w:rsidP="006A3F09">
      <w:pPr>
        <w:rPr>
          <w:color w:val="0000FF"/>
          <w:u w:val="single"/>
        </w:rPr>
      </w:pPr>
      <w:r w:rsidRPr="006A3F09">
        <w:rPr>
          <w:color w:val="000000"/>
          <w:u w:val="single"/>
          <w:rtl/>
        </w:rPr>
        <w:t>נוסח מסמך זה כפוף לשינויי ניסוח ועריכה</w:t>
      </w:r>
    </w:p>
    <w:sectPr w:rsidR="00DB161C" w:rsidRPr="00DB161C" w:rsidSect="006A3F0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B0D53" w14:textId="77777777" w:rsidR="005A7623" w:rsidRDefault="005A7623" w:rsidP="009F02A5">
      <w:r>
        <w:separator/>
      </w:r>
    </w:p>
  </w:endnote>
  <w:endnote w:type="continuationSeparator" w:id="0">
    <w:p w14:paraId="3E601B7C" w14:textId="77777777" w:rsidR="005A7623" w:rsidRDefault="005A7623" w:rsidP="009F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259F0" w14:textId="77777777" w:rsidR="006A3F09" w:rsidRDefault="006A3F09" w:rsidP="006A3F0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31456B" w14:textId="77777777" w:rsidR="009A652C" w:rsidRPr="006A3F09" w:rsidRDefault="006A3F09" w:rsidP="006A3F09">
    <w:pPr>
      <w:pStyle w:val="a5"/>
      <w:pBdr>
        <w:top w:val="single" w:sz="4" w:space="1" w:color="auto"/>
        <w:between w:val="single" w:sz="4" w:space="0" w:color="auto"/>
      </w:pBdr>
      <w:spacing w:after="60"/>
      <w:jc w:val="center"/>
      <w:rPr>
        <w:rFonts w:ascii="FrankRuehl" w:hAnsi="FrankRuehl" w:cs="FrankRuehl"/>
        <w:color w:val="000000"/>
      </w:rPr>
    </w:pPr>
    <w:r w:rsidRPr="006A3F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CA34D" w14:textId="77777777" w:rsidR="006A3F09" w:rsidRDefault="006A3F09" w:rsidP="006A3F0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3FBD">
      <w:rPr>
        <w:rFonts w:ascii="FrankRuehl" w:hAnsi="FrankRuehl" w:cs="FrankRuehl"/>
        <w:noProof/>
        <w:rtl/>
      </w:rPr>
      <w:t>1</w:t>
    </w:r>
    <w:r>
      <w:rPr>
        <w:rFonts w:ascii="FrankRuehl" w:hAnsi="FrankRuehl" w:cs="FrankRuehl"/>
        <w:rtl/>
      </w:rPr>
      <w:fldChar w:fldCharType="end"/>
    </w:r>
  </w:p>
  <w:p w14:paraId="15118A7B" w14:textId="77777777" w:rsidR="009A652C" w:rsidRPr="006A3F09" w:rsidRDefault="006A3F09" w:rsidP="006A3F09">
    <w:pPr>
      <w:pStyle w:val="a5"/>
      <w:pBdr>
        <w:top w:val="single" w:sz="4" w:space="1" w:color="auto"/>
        <w:between w:val="single" w:sz="4" w:space="0" w:color="auto"/>
      </w:pBdr>
      <w:spacing w:after="60"/>
      <w:jc w:val="center"/>
      <w:rPr>
        <w:rFonts w:ascii="FrankRuehl" w:hAnsi="FrankRuehl" w:cs="FrankRuehl"/>
        <w:color w:val="000000"/>
      </w:rPr>
    </w:pPr>
    <w:r w:rsidRPr="006A3F09">
      <w:rPr>
        <w:rFonts w:ascii="FrankRuehl" w:hAnsi="FrankRuehl" w:cs="FrankRuehl"/>
        <w:color w:val="000000"/>
      </w:rPr>
      <w:pict w14:anchorId="0AEB7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7EFC4" w14:textId="77777777" w:rsidR="005A7623" w:rsidRDefault="005A7623" w:rsidP="009F02A5">
      <w:r>
        <w:separator/>
      </w:r>
    </w:p>
  </w:footnote>
  <w:footnote w:type="continuationSeparator" w:id="0">
    <w:p w14:paraId="16CD13DF" w14:textId="77777777" w:rsidR="005A7623" w:rsidRDefault="005A7623" w:rsidP="009F0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75D75" w14:textId="77777777" w:rsidR="00DB161C" w:rsidRPr="006A3F09" w:rsidRDefault="006A3F09" w:rsidP="006A3F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3748-08-23</w:t>
    </w:r>
    <w:r>
      <w:rPr>
        <w:rFonts w:ascii="David" w:hAnsi="David"/>
        <w:color w:val="000000"/>
        <w:sz w:val="22"/>
        <w:szCs w:val="22"/>
        <w:rtl/>
      </w:rPr>
      <w:tab/>
      <w:t xml:space="preserve"> מדינת ישראל נ' מוחמד לידאוויה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7DBAC" w14:textId="77777777" w:rsidR="00DB161C" w:rsidRPr="006A3F09" w:rsidRDefault="006A3F09" w:rsidP="006A3F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3748-08-23</w:t>
    </w:r>
    <w:r>
      <w:rPr>
        <w:rFonts w:ascii="David" w:hAnsi="David"/>
        <w:color w:val="000000"/>
        <w:sz w:val="22"/>
        <w:szCs w:val="22"/>
        <w:rtl/>
      </w:rPr>
      <w:tab/>
      <w:t xml:space="preserve"> מדינת ישראל נ' מוחמד לידאוויה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E8D2517"/>
    <w:multiLevelType w:val="hybridMultilevel"/>
    <w:tmpl w:val="49FCAC1C"/>
    <w:lvl w:ilvl="0" w:tplc="6F5EDD5A">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AA0B6E"/>
    <w:multiLevelType w:val="hybridMultilevel"/>
    <w:tmpl w:val="BC48A9FA"/>
    <w:lvl w:ilvl="0" w:tplc="D59C5EC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9860054">
    <w:abstractNumId w:val="2"/>
  </w:num>
  <w:num w:numId="2" w16cid:durableId="276378850">
    <w:abstractNumId w:val="1"/>
  </w:num>
  <w:num w:numId="3" w16cid:durableId="183371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61BA"/>
    <w:rsid w:val="00163FBD"/>
    <w:rsid w:val="001B5A3B"/>
    <w:rsid w:val="001F61BA"/>
    <w:rsid w:val="005A7623"/>
    <w:rsid w:val="006945C2"/>
    <w:rsid w:val="006A3F09"/>
    <w:rsid w:val="006D3DBD"/>
    <w:rsid w:val="008027E2"/>
    <w:rsid w:val="009A652C"/>
    <w:rsid w:val="009F02A5"/>
    <w:rsid w:val="00D10F77"/>
    <w:rsid w:val="00D2059E"/>
    <w:rsid w:val="00D306DD"/>
    <w:rsid w:val="00DB161C"/>
    <w:rsid w:val="00E73386"/>
    <w:rsid w:val="00FA6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A40DF7"/>
  <w15:chartTrackingRefBased/>
  <w15:docId w15:val="{4AB55FA2-12E9-4526-9CA6-0E35CFF8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61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61BA"/>
    <w:pPr>
      <w:tabs>
        <w:tab w:val="center" w:pos="4153"/>
        <w:tab w:val="right" w:pos="8306"/>
      </w:tabs>
    </w:pPr>
  </w:style>
  <w:style w:type="character" w:customStyle="1" w:styleId="a4">
    <w:name w:val="כותרת עליונה תו"/>
    <w:link w:val="a3"/>
    <w:rsid w:val="001F61BA"/>
    <w:rPr>
      <w:rFonts w:ascii="Times New Roman" w:eastAsia="Times New Roman" w:hAnsi="Times New Roman" w:cs="David"/>
      <w:sz w:val="24"/>
      <w:szCs w:val="24"/>
    </w:rPr>
  </w:style>
  <w:style w:type="paragraph" w:styleId="a5">
    <w:name w:val="footer"/>
    <w:basedOn w:val="a"/>
    <w:link w:val="a6"/>
    <w:rsid w:val="001F61BA"/>
    <w:pPr>
      <w:tabs>
        <w:tab w:val="center" w:pos="4153"/>
        <w:tab w:val="right" w:pos="8306"/>
      </w:tabs>
    </w:pPr>
  </w:style>
  <w:style w:type="character" w:customStyle="1" w:styleId="a6">
    <w:name w:val="כותרת תחתונה תו"/>
    <w:link w:val="a5"/>
    <w:rsid w:val="001F61BA"/>
    <w:rPr>
      <w:rFonts w:ascii="Times New Roman" w:eastAsia="Times New Roman" w:hAnsi="Times New Roman" w:cs="David"/>
      <w:sz w:val="24"/>
      <w:szCs w:val="24"/>
    </w:rPr>
  </w:style>
  <w:style w:type="table" w:styleId="a7">
    <w:name w:val="Table Grid"/>
    <w:basedOn w:val="a1"/>
    <w:rsid w:val="001F61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F61BA"/>
  </w:style>
  <w:style w:type="paragraph" w:styleId="a9">
    <w:name w:val="List Paragraph"/>
    <w:basedOn w:val="a"/>
    <w:qFormat/>
    <w:rsid w:val="001F61BA"/>
    <w:pPr>
      <w:ind w:left="720"/>
      <w:contextualSpacing/>
    </w:pPr>
  </w:style>
  <w:style w:type="character" w:styleId="Hyperlink">
    <w:name w:val="Hyperlink"/>
    <w:rsid w:val="001F6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case/25063920" TargetMode="External"/><Relationship Id="rId26" Type="http://schemas.openxmlformats.org/officeDocument/2006/relationships/hyperlink" Target="http://www.nevo.co.il/case/16944929" TargetMode="External"/><Relationship Id="rId3" Type="http://schemas.openxmlformats.org/officeDocument/2006/relationships/settings" Target="settings.xml"/><Relationship Id="rId21" Type="http://schemas.openxmlformats.org/officeDocument/2006/relationships/hyperlink" Target="http://www.nevo.co.il/case/26383419"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5724364"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6913995" TargetMode="External"/><Relationship Id="rId20" Type="http://schemas.openxmlformats.org/officeDocument/2006/relationships/hyperlink" Target="http://www.nevo.co.il/case/5762686"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48469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g" TargetMode="External"/><Relationship Id="rId23" Type="http://schemas.openxmlformats.org/officeDocument/2006/relationships/hyperlink" Target="http://www.nevo.co.il/case/23817589" TargetMode="External"/><Relationship Id="rId28" Type="http://schemas.openxmlformats.org/officeDocument/2006/relationships/hyperlink" Target="http://www.eca.gov.il/"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case/5969313"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035" TargetMode="External"/><Relationship Id="rId27" Type="http://schemas.openxmlformats.org/officeDocument/2006/relationships/hyperlink" Target="http://www.nevo.co.il/case/2683393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1570</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9406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3801208</vt:i4>
      </vt:variant>
      <vt:variant>
        <vt:i4>60</vt:i4>
      </vt:variant>
      <vt:variant>
        <vt:i4>0</vt:i4>
      </vt:variant>
      <vt:variant>
        <vt:i4>5</vt:i4>
      </vt:variant>
      <vt:variant>
        <vt:lpwstr>http://www.nevo.co.il/case/26833934</vt:lpwstr>
      </vt:variant>
      <vt:variant>
        <vt:lpwstr/>
      </vt:variant>
      <vt:variant>
        <vt:i4>4063359</vt:i4>
      </vt:variant>
      <vt:variant>
        <vt:i4>57</vt:i4>
      </vt:variant>
      <vt:variant>
        <vt:i4>0</vt:i4>
      </vt:variant>
      <vt:variant>
        <vt:i4>5</vt:i4>
      </vt:variant>
      <vt:variant>
        <vt:lpwstr>http://www.nevo.co.il/case/16944929</vt:lpwstr>
      </vt:variant>
      <vt:variant>
        <vt:lpwstr/>
      </vt:variant>
      <vt:variant>
        <vt:i4>3145841</vt:i4>
      </vt:variant>
      <vt:variant>
        <vt:i4>54</vt:i4>
      </vt:variant>
      <vt:variant>
        <vt:i4>0</vt:i4>
      </vt:variant>
      <vt:variant>
        <vt:i4>5</vt:i4>
      </vt:variant>
      <vt:variant>
        <vt:lpwstr>http://www.nevo.co.il/case/5724364</vt:lpwstr>
      </vt:variant>
      <vt:variant>
        <vt:lpwstr/>
      </vt:variant>
      <vt:variant>
        <vt:i4>3866748</vt:i4>
      </vt:variant>
      <vt:variant>
        <vt:i4>51</vt:i4>
      </vt:variant>
      <vt:variant>
        <vt:i4>0</vt:i4>
      </vt:variant>
      <vt:variant>
        <vt:i4>5</vt:i4>
      </vt:variant>
      <vt:variant>
        <vt:lpwstr>http://www.nevo.co.il/case/26484690</vt:lpwstr>
      </vt:variant>
      <vt:variant>
        <vt:lpwstr/>
      </vt:variant>
      <vt:variant>
        <vt:i4>3473523</vt:i4>
      </vt:variant>
      <vt:variant>
        <vt:i4>48</vt:i4>
      </vt:variant>
      <vt:variant>
        <vt:i4>0</vt:i4>
      </vt:variant>
      <vt:variant>
        <vt:i4>5</vt:i4>
      </vt:variant>
      <vt:variant>
        <vt:lpwstr>http://www.nevo.co.il/case/23817589</vt:lpwstr>
      </vt:variant>
      <vt:variant>
        <vt:lpwstr/>
      </vt:variant>
      <vt:variant>
        <vt:i4>3211379</vt:i4>
      </vt:variant>
      <vt:variant>
        <vt:i4>45</vt:i4>
      </vt:variant>
      <vt:variant>
        <vt:i4>0</vt:i4>
      </vt:variant>
      <vt:variant>
        <vt:i4>5</vt:i4>
      </vt:variant>
      <vt:variant>
        <vt:lpwstr>http://www.nevo.co.il/case/6024035</vt:lpwstr>
      </vt:variant>
      <vt:variant>
        <vt:lpwstr/>
      </vt:variant>
      <vt:variant>
        <vt:i4>3342462</vt:i4>
      </vt:variant>
      <vt:variant>
        <vt:i4>42</vt:i4>
      </vt:variant>
      <vt:variant>
        <vt:i4>0</vt:i4>
      </vt:variant>
      <vt:variant>
        <vt:i4>5</vt:i4>
      </vt:variant>
      <vt:variant>
        <vt:lpwstr>http://www.nevo.co.il/case/26383419</vt:lpwstr>
      </vt:variant>
      <vt:variant>
        <vt:lpwstr/>
      </vt:variant>
      <vt:variant>
        <vt:i4>3342457</vt:i4>
      </vt:variant>
      <vt:variant>
        <vt:i4>39</vt:i4>
      </vt:variant>
      <vt:variant>
        <vt:i4>0</vt:i4>
      </vt:variant>
      <vt:variant>
        <vt:i4>5</vt:i4>
      </vt:variant>
      <vt:variant>
        <vt:lpwstr>http://www.nevo.co.il/case/5762686</vt:lpwstr>
      </vt:variant>
      <vt:variant>
        <vt:lpwstr/>
      </vt:variant>
      <vt:variant>
        <vt:i4>3342453</vt:i4>
      </vt:variant>
      <vt:variant>
        <vt:i4>36</vt:i4>
      </vt:variant>
      <vt:variant>
        <vt:i4>0</vt:i4>
      </vt:variant>
      <vt:variant>
        <vt:i4>5</vt:i4>
      </vt:variant>
      <vt:variant>
        <vt:lpwstr>http://www.nevo.co.il/case/5969313</vt:lpwstr>
      </vt:variant>
      <vt:variant>
        <vt:lpwstr/>
      </vt:variant>
      <vt:variant>
        <vt:i4>3342462</vt:i4>
      </vt:variant>
      <vt:variant>
        <vt:i4>33</vt:i4>
      </vt:variant>
      <vt:variant>
        <vt:i4>0</vt:i4>
      </vt:variant>
      <vt:variant>
        <vt:i4>5</vt:i4>
      </vt:variant>
      <vt:variant>
        <vt:lpwstr>http://www.nevo.co.il/case/25063920</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3211386</vt:i4>
      </vt:variant>
      <vt:variant>
        <vt:i4>27</vt:i4>
      </vt:variant>
      <vt:variant>
        <vt:i4>0</vt:i4>
      </vt:variant>
      <vt:variant>
        <vt:i4>5</vt:i4>
      </vt:variant>
      <vt:variant>
        <vt:lpwstr>http://www.nevo.co.il/case/26913995</vt:lpwstr>
      </vt:variant>
      <vt:variant>
        <vt:lpwstr/>
      </vt:variant>
      <vt:variant>
        <vt:i4>393296</vt:i4>
      </vt:variant>
      <vt:variant>
        <vt:i4>24</vt:i4>
      </vt:variant>
      <vt:variant>
        <vt:i4>0</vt:i4>
      </vt:variant>
      <vt:variant>
        <vt:i4>5</vt:i4>
      </vt:variant>
      <vt:variant>
        <vt:lpwstr>http://www.nevo.co.il/law/70301/144g</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393296</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3748</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לידאוויה;אחמד לידאוויה</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20240326</vt:lpwstr>
  </property>
  <property fmtid="{D5CDD505-2E9C-101B-9397-08002B2CF9AE}" pid="13" name="TYPE_N_DATE">
    <vt:lpwstr>38020240326</vt:lpwstr>
  </property>
  <property fmtid="{D5CDD505-2E9C-101B-9397-08002B2CF9AE}" pid="14" name="WORDNUMPAGES">
    <vt:lpwstr>5</vt:lpwstr>
  </property>
  <property fmtid="{D5CDD505-2E9C-101B-9397-08002B2CF9AE}" pid="15" name="TYPE_ABS_DATE">
    <vt:lpwstr>380020240326</vt:lpwstr>
  </property>
  <property fmtid="{D5CDD505-2E9C-101B-9397-08002B2CF9AE}" pid="16" name="LAWYER">
    <vt:lpwstr>מוסטאפה יחיא</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26913995;25824863;25063920;5969313;5762686;26383419;6024035;23817589;26484690;5724364;16944929;26833934</vt:lpwstr>
  </property>
  <property fmtid="{D5CDD505-2E9C-101B-9397-08002B2CF9AE}" pid="36" name="LAWLISTTMP1">
    <vt:lpwstr>70301/144.a;144;144g</vt:lpwstr>
  </property>
</Properties>
</file>