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B015AB" w:rsidRPr="007C55CD" w14:paraId="5FB94AA4" w14:textId="77777777" w:rsidTr="00265FF9">
        <w:trPr>
          <w:trHeight w:hRule="exact" w:val="418"/>
          <w:jc w:val="center"/>
        </w:trPr>
        <w:tc>
          <w:tcPr>
            <w:tcW w:w="8721" w:type="dxa"/>
            <w:gridSpan w:val="2"/>
          </w:tcPr>
          <w:p w14:paraId="25EBBCDE" w14:textId="77777777" w:rsidR="00B015AB" w:rsidRPr="007C55CD" w:rsidRDefault="00B015AB" w:rsidP="00FC61C8">
            <w:pPr>
              <w:pStyle w:val="a3"/>
              <w:jc w:val="center"/>
              <w:rPr>
                <w:rFonts w:ascii="Tahoma" w:hAnsi="Tahoma" w:cs="Tahoma"/>
                <w:color w:val="000080"/>
                <w:rtl/>
              </w:rPr>
            </w:pPr>
            <w:r w:rsidRPr="007C55CD">
              <w:rPr>
                <w:rFonts w:ascii="Tahoma" w:hAnsi="Tahoma" w:cs="Tahoma"/>
                <w:b/>
                <w:bCs/>
                <w:color w:val="000080"/>
                <w:rtl/>
              </w:rPr>
              <w:t>בית משפט השלום בקריות</w:t>
            </w:r>
          </w:p>
        </w:tc>
      </w:tr>
      <w:tr w:rsidR="00B015AB" w:rsidRPr="007C55CD" w14:paraId="25A6FDED" w14:textId="77777777" w:rsidTr="00265FF9">
        <w:trPr>
          <w:trHeight w:val="337"/>
          <w:jc w:val="center"/>
        </w:trPr>
        <w:tc>
          <w:tcPr>
            <w:tcW w:w="5061" w:type="dxa"/>
          </w:tcPr>
          <w:p w14:paraId="6271660B" w14:textId="77777777" w:rsidR="00B015AB" w:rsidRPr="007C55CD" w:rsidRDefault="00B015AB" w:rsidP="00FC61C8">
            <w:pPr>
              <w:rPr>
                <w:rFonts w:cs="FrankRuehl"/>
                <w:sz w:val="28"/>
                <w:szCs w:val="28"/>
                <w:rtl/>
              </w:rPr>
            </w:pPr>
            <w:r w:rsidRPr="007C55CD">
              <w:rPr>
                <w:rFonts w:cs="FrankRuehl"/>
                <w:sz w:val="28"/>
                <w:szCs w:val="28"/>
                <w:rtl/>
              </w:rPr>
              <w:t>ת"פ</w:t>
            </w:r>
            <w:r w:rsidRPr="007C55CD">
              <w:rPr>
                <w:rFonts w:cs="FrankRuehl" w:hint="cs"/>
                <w:sz w:val="28"/>
                <w:szCs w:val="28"/>
                <w:rtl/>
              </w:rPr>
              <w:t xml:space="preserve"> </w:t>
            </w:r>
            <w:r w:rsidRPr="007C55CD">
              <w:rPr>
                <w:rFonts w:cs="FrankRuehl"/>
                <w:sz w:val="28"/>
                <w:szCs w:val="28"/>
                <w:rtl/>
              </w:rPr>
              <w:t>19950-09-23</w:t>
            </w:r>
            <w:r w:rsidRPr="007C55CD">
              <w:rPr>
                <w:rFonts w:cs="FrankRuehl" w:hint="cs"/>
                <w:sz w:val="28"/>
                <w:szCs w:val="28"/>
                <w:rtl/>
              </w:rPr>
              <w:t xml:space="preserve"> </w:t>
            </w:r>
            <w:r w:rsidRPr="007C55CD">
              <w:rPr>
                <w:rFonts w:cs="FrankRuehl"/>
                <w:sz w:val="28"/>
                <w:szCs w:val="28"/>
                <w:rtl/>
              </w:rPr>
              <w:t>מדינת ישראל נ' לוקיאנוב(עציר)</w:t>
            </w:r>
          </w:p>
          <w:p w14:paraId="3364A67D" w14:textId="77777777" w:rsidR="00B015AB" w:rsidRPr="007C55CD" w:rsidRDefault="00B015AB" w:rsidP="00FC61C8">
            <w:pPr>
              <w:pStyle w:val="a3"/>
              <w:rPr>
                <w:rFonts w:cs="FrankRuehl"/>
                <w:sz w:val="28"/>
                <w:szCs w:val="28"/>
                <w:rtl/>
              </w:rPr>
            </w:pPr>
          </w:p>
        </w:tc>
        <w:tc>
          <w:tcPr>
            <w:tcW w:w="3660" w:type="dxa"/>
          </w:tcPr>
          <w:p w14:paraId="3753D1DE" w14:textId="77777777" w:rsidR="00B015AB" w:rsidRPr="007C55CD" w:rsidRDefault="00B015AB" w:rsidP="00FC61C8">
            <w:pPr>
              <w:pStyle w:val="a3"/>
              <w:jc w:val="right"/>
              <w:rPr>
                <w:rFonts w:cs="FrankRuehl"/>
                <w:sz w:val="28"/>
                <w:szCs w:val="28"/>
                <w:rtl/>
              </w:rPr>
            </w:pPr>
          </w:p>
        </w:tc>
      </w:tr>
    </w:tbl>
    <w:p w14:paraId="1268437E" w14:textId="77777777" w:rsidR="00B015AB" w:rsidRPr="007C55CD" w:rsidRDefault="00B015AB" w:rsidP="00B015AB">
      <w:pPr>
        <w:pStyle w:val="a3"/>
        <w:rPr>
          <w:rtl/>
        </w:rPr>
      </w:pPr>
      <w:r w:rsidRPr="007C55CD">
        <w:rPr>
          <w:rFonts w:hint="cs"/>
          <w:rtl/>
        </w:rPr>
        <w:t xml:space="preserve"> </w:t>
      </w:r>
    </w:p>
    <w:p w14:paraId="44F1FCCF" w14:textId="77777777" w:rsidR="00B015AB" w:rsidRPr="007C55CD" w:rsidRDefault="00B015AB" w:rsidP="00B015AB">
      <w:pPr>
        <w:rPr>
          <w:sz w:val="26"/>
          <w:szCs w:val="26"/>
          <w:rtl/>
        </w:rPr>
      </w:pP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B015AB" w:rsidRPr="007C55CD" w14:paraId="411A15A9" w14:textId="77777777" w:rsidTr="00B015AB">
        <w:trPr>
          <w:trHeight w:val="345"/>
          <w:jc w:val="center"/>
        </w:trPr>
        <w:tc>
          <w:tcPr>
            <w:tcW w:w="957" w:type="dxa"/>
            <w:tcBorders>
              <w:top w:val="nil"/>
              <w:left w:val="nil"/>
              <w:bottom w:val="nil"/>
              <w:right w:val="nil"/>
            </w:tcBorders>
            <w:shd w:val="clear" w:color="auto" w:fill="auto"/>
          </w:tcPr>
          <w:p w14:paraId="127C6858" w14:textId="77777777" w:rsidR="00B015AB" w:rsidRPr="007C55CD" w:rsidRDefault="00B015AB" w:rsidP="00B015AB">
            <w:pPr>
              <w:jc w:val="both"/>
              <w:rPr>
                <w:rFonts w:ascii="David" w:hAnsi="David"/>
                <w:b/>
                <w:bCs/>
              </w:rPr>
            </w:pPr>
            <w:r w:rsidRPr="007C55CD">
              <w:rPr>
                <w:rFonts w:ascii="David" w:hAnsi="David"/>
                <w:b/>
                <w:bCs/>
                <w:rtl/>
              </w:rPr>
              <w:t xml:space="preserve">בפני </w:t>
            </w:r>
          </w:p>
        </w:tc>
        <w:tc>
          <w:tcPr>
            <w:tcW w:w="8358" w:type="dxa"/>
            <w:gridSpan w:val="2"/>
            <w:tcBorders>
              <w:top w:val="nil"/>
              <w:left w:val="nil"/>
              <w:bottom w:val="nil"/>
              <w:right w:val="nil"/>
            </w:tcBorders>
            <w:shd w:val="clear" w:color="auto" w:fill="auto"/>
          </w:tcPr>
          <w:p w14:paraId="49BBB4F6" w14:textId="77777777" w:rsidR="00B015AB" w:rsidRPr="007C55CD" w:rsidRDefault="00B015AB" w:rsidP="00FC61C8">
            <w:pPr>
              <w:rPr>
                <w:rFonts w:ascii="David" w:hAnsi="David"/>
                <w:b/>
                <w:bCs/>
              </w:rPr>
            </w:pPr>
            <w:r w:rsidRPr="007C55CD">
              <w:rPr>
                <w:rFonts w:ascii="Arial" w:hAnsi="Arial"/>
                <w:b/>
                <w:bCs/>
                <w:rtl/>
              </w:rPr>
              <w:t>כב' השופט יוסי טורס , סגן הנשיאה</w:t>
            </w:r>
          </w:p>
        </w:tc>
      </w:tr>
      <w:tr w:rsidR="00B015AB" w:rsidRPr="007C55CD" w14:paraId="563896A9" w14:textId="77777777" w:rsidTr="00B015AB">
        <w:trPr>
          <w:trHeight w:val="345"/>
          <w:jc w:val="center"/>
        </w:trPr>
        <w:tc>
          <w:tcPr>
            <w:tcW w:w="957" w:type="dxa"/>
            <w:tcBorders>
              <w:top w:val="nil"/>
              <w:left w:val="nil"/>
              <w:bottom w:val="nil"/>
              <w:right w:val="nil"/>
            </w:tcBorders>
            <w:shd w:val="clear" w:color="auto" w:fill="auto"/>
          </w:tcPr>
          <w:p w14:paraId="20BDDB80" w14:textId="77777777" w:rsidR="00B015AB" w:rsidRPr="007C55CD" w:rsidRDefault="00B015AB" w:rsidP="00B015AB">
            <w:pPr>
              <w:jc w:val="both"/>
              <w:rPr>
                <w:rFonts w:ascii="David" w:hAnsi="David"/>
                <w:b/>
                <w:bCs/>
                <w:rtl/>
              </w:rPr>
            </w:pPr>
            <w:bookmarkStart w:id="0" w:name="LastJudge"/>
            <w:bookmarkEnd w:id="0"/>
          </w:p>
          <w:p w14:paraId="2E9A6E94" w14:textId="77777777" w:rsidR="00B015AB" w:rsidRPr="007C55CD" w:rsidRDefault="00B015AB" w:rsidP="00B015AB">
            <w:pPr>
              <w:jc w:val="both"/>
              <w:rPr>
                <w:rFonts w:ascii="David" w:hAnsi="David"/>
                <w:b/>
                <w:bCs/>
                <w:rtl/>
              </w:rPr>
            </w:pPr>
          </w:p>
        </w:tc>
        <w:tc>
          <w:tcPr>
            <w:tcW w:w="8358" w:type="dxa"/>
            <w:gridSpan w:val="2"/>
            <w:tcBorders>
              <w:top w:val="nil"/>
              <w:left w:val="nil"/>
              <w:bottom w:val="nil"/>
              <w:right w:val="nil"/>
            </w:tcBorders>
            <w:shd w:val="clear" w:color="auto" w:fill="auto"/>
          </w:tcPr>
          <w:p w14:paraId="7590FCA1" w14:textId="77777777" w:rsidR="00B015AB" w:rsidRPr="007C55CD" w:rsidRDefault="00B015AB" w:rsidP="00FC61C8">
            <w:pPr>
              <w:rPr>
                <w:rFonts w:ascii="Arial" w:hAnsi="Arial"/>
                <w:b/>
                <w:bCs/>
                <w:rtl/>
              </w:rPr>
            </w:pPr>
          </w:p>
        </w:tc>
      </w:tr>
      <w:tr w:rsidR="00B015AB" w:rsidRPr="007C55CD" w14:paraId="3F497BEC" w14:textId="77777777" w:rsidTr="00B015AB">
        <w:trPr>
          <w:trHeight w:val="415"/>
          <w:jc w:val="center"/>
        </w:trPr>
        <w:tc>
          <w:tcPr>
            <w:tcW w:w="957" w:type="dxa"/>
            <w:tcBorders>
              <w:top w:val="nil"/>
              <w:left w:val="nil"/>
              <w:bottom w:val="nil"/>
              <w:right w:val="nil"/>
            </w:tcBorders>
            <w:shd w:val="clear" w:color="auto" w:fill="auto"/>
          </w:tcPr>
          <w:p w14:paraId="53F8BA12" w14:textId="77777777" w:rsidR="00B015AB" w:rsidRPr="007C55CD" w:rsidRDefault="00B015AB" w:rsidP="00B015AB">
            <w:pPr>
              <w:jc w:val="both"/>
              <w:rPr>
                <w:rFonts w:ascii="David" w:hAnsi="David"/>
                <w:b/>
                <w:bCs/>
              </w:rPr>
            </w:pPr>
            <w:bookmarkStart w:id="1" w:name="FirstAppellant"/>
            <w:r w:rsidRPr="007C55CD">
              <w:rPr>
                <w:rFonts w:ascii="David" w:hAnsi="David"/>
                <w:b/>
                <w:bCs/>
                <w:rtl/>
              </w:rPr>
              <w:t>בעניין:</w:t>
            </w:r>
          </w:p>
        </w:tc>
        <w:tc>
          <w:tcPr>
            <w:tcW w:w="5095" w:type="dxa"/>
            <w:tcBorders>
              <w:top w:val="nil"/>
              <w:left w:val="nil"/>
              <w:bottom w:val="nil"/>
              <w:right w:val="nil"/>
            </w:tcBorders>
            <w:shd w:val="clear" w:color="auto" w:fill="auto"/>
          </w:tcPr>
          <w:p w14:paraId="080714DE" w14:textId="77777777" w:rsidR="00B015AB" w:rsidRPr="007C55CD" w:rsidRDefault="00B015AB" w:rsidP="00FC61C8">
            <w:pPr>
              <w:rPr>
                <w:rFonts w:ascii="David" w:hAnsi="David"/>
                <w:b/>
                <w:bCs/>
              </w:rPr>
            </w:pPr>
            <w:r w:rsidRPr="007C55CD">
              <w:rPr>
                <w:rFonts w:ascii="David" w:hAnsi="David"/>
                <w:b/>
                <w:bCs/>
                <w:rtl/>
              </w:rPr>
              <w:t>מדינת ישראל</w:t>
            </w:r>
          </w:p>
        </w:tc>
        <w:tc>
          <w:tcPr>
            <w:tcW w:w="3263" w:type="dxa"/>
            <w:tcBorders>
              <w:top w:val="nil"/>
              <w:left w:val="nil"/>
              <w:bottom w:val="nil"/>
              <w:right w:val="nil"/>
            </w:tcBorders>
            <w:shd w:val="clear" w:color="auto" w:fill="auto"/>
          </w:tcPr>
          <w:p w14:paraId="12B83156" w14:textId="77777777" w:rsidR="00B015AB" w:rsidRPr="007C55CD" w:rsidRDefault="00B015AB" w:rsidP="00B015AB">
            <w:pPr>
              <w:jc w:val="both"/>
              <w:rPr>
                <w:rFonts w:ascii="David" w:hAnsi="David"/>
                <w:b/>
                <w:bCs/>
              </w:rPr>
            </w:pPr>
            <w:r w:rsidRPr="007C55CD">
              <w:rPr>
                <w:rFonts w:ascii="David" w:hAnsi="David"/>
                <w:b/>
                <w:bCs/>
                <w:rtl/>
              </w:rPr>
              <w:t>המאשימה</w:t>
            </w:r>
          </w:p>
        </w:tc>
      </w:tr>
      <w:bookmarkEnd w:id="1"/>
      <w:tr w:rsidR="00B015AB" w:rsidRPr="007C55CD" w14:paraId="62751FB0" w14:textId="77777777" w:rsidTr="00B015AB">
        <w:trPr>
          <w:trHeight w:val="415"/>
          <w:jc w:val="center"/>
        </w:trPr>
        <w:tc>
          <w:tcPr>
            <w:tcW w:w="957" w:type="dxa"/>
            <w:tcBorders>
              <w:top w:val="nil"/>
              <w:left w:val="nil"/>
              <w:bottom w:val="nil"/>
              <w:right w:val="nil"/>
            </w:tcBorders>
            <w:shd w:val="clear" w:color="auto" w:fill="auto"/>
          </w:tcPr>
          <w:p w14:paraId="0123D1BF" w14:textId="77777777" w:rsidR="00B015AB" w:rsidRPr="007C55CD" w:rsidRDefault="00B015AB" w:rsidP="00B015AB">
            <w:pPr>
              <w:jc w:val="both"/>
              <w:rPr>
                <w:rFonts w:ascii="David" w:hAnsi="David"/>
                <w:b/>
                <w:bCs/>
                <w:rtl/>
              </w:rPr>
            </w:pPr>
          </w:p>
        </w:tc>
        <w:tc>
          <w:tcPr>
            <w:tcW w:w="8358" w:type="dxa"/>
            <w:gridSpan w:val="2"/>
            <w:tcBorders>
              <w:top w:val="nil"/>
              <w:left w:val="nil"/>
              <w:bottom w:val="nil"/>
              <w:right w:val="nil"/>
            </w:tcBorders>
            <w:shd w:val="clear" w:color="auto" w:fill="auto"/>
          </w:tcPr>
          <w:p w14:paraId="56324B07" w14:textId="77777777" w:rsidR="00B015AB" w:rsidRPr="007C55CD" w:rsidRDefault="00B015AB" w:rsidP="00FC61C8">
            <w:pPr>
              <w:rPr>
                <w:rFonts w:ascii="David" w:hAnsi="David"/>
                <w:b/>
                <w:bCs/>
              </w:rPr>
            </w:pPr>
            <w:r w:rsidRPr="007C55CD">
              <w:rPr>
                <w:rFonts w:ascii="David" w:hAnsi="David" w:hint="cs"/>
                <w:b/>
                <w:bCs/>
                <w:rtl/>
              </w:rPr>
              <w:t xml:space="preserve">                                                   </w:t>
            </w:r>
            <w:r w:rsidRPr="007C55CD">
              <w:rPr>
                <w:rFonts w:ascii="David" w:hAnsi="David"/>
                <w:b/>
                <w:bCs/>
                <w:rtl/>
              </w:rPr>
              <w:t>נגד</w:t>
            </w:r>
          </w:p>
        </w:tc>
      </w:tr>
      <w:tr w:rsidR="00B015AB" w:rsidRPr="007C55CD" w14:paraId="3DD4FDEC" w14:textId="77777777" w:rsidTr="00B015AB">
        <w:trPr>
          <w:trHeight w:val="415"/>
          <w:jc w:val="center"/>
        </w:trPr>
        <w:tc>
          <w:tcPr>
            <w:tcW w:w="957" w:type="dxa"/>
            <w:tcBorders>
              <w:top w:val="nil"/>
              <w:left w:val="nil"/>
              <w:bottom w:val="nil"/>
              <w:right w:val="nil"/>
            </w:tcBorders>
            <w:shd w:val="clear" w:color="auto" w:fill="auto"/>
          </w:tcPr>
          <w:p w14:paraId="424D8791" w14:textId="77777777" w:rsidR="00B015AB" w:rsidRPr="007C55CD" w:rsidRDefault="00B015AB" w:rsidP="00FC61C8">
            <w:pPr>
              <w:rPr>
                <w:rFonts w:ascii="David" w:hAnsi="David"/>
                <w:b/>
                <w:bCs/>
                <w:rtl/>
              </w:rPr>
            </w:pPr>
          </w:p>
        </w:tc>
        <w:tc>
          <w:tcPr>
            <w:tcW w:w="5095" w:type="dxa"/>
            <w:tcBorders>
              <w:top w:val="nil"/>
              <w:left w:val="nil"/>
              <w:bottom w:val="nil"/>
              <w:right w:val="nil"/>
            </w:tcBorders>
            <w:shd w:val="clear" w:color="auto" w:fill="auto"/>
          </w:tcPr>
          <w:p w14:paraId="33569D58" w14:textId="77777777" w:rsidR="00B015AB" w:rsidRPr="007C55CD" w:rsidRDefault="00B015AB" w:rsidP="00FC61C8">
            <w:pPr>
              <w:rPr>
                <w:rFonts w:ascii="David" w:hAnsi="David"/>
                <w:b/>
                <w:bCs/>
                <w:rtl/>
              </w:rPr>
            </w:pPr>
            <w:r w:rsidRPr="007C55CD">
              <w:rPr>
                <w:rFonts w:ascii="David" w:hAnsi="David"/>
                <w:b/>
                <w:bCs/>
                <w:rtl/>
              </w:rPr>
              <w:br/>
            </w:r>
            <w:r w:rsidRPr="007C55CD">
              <w:rPr>
                <w:rFonts w:ascii="David" w:hAnsi="David"/>
                <w:b/>
                <w:bCs/>
                <w:rtl/>
              </w:rPr>
              <w:br/>
            </w:r>
            <w:r w:rsidRPr="007C55CD">
              <w:rPr>
                <w:rFonts w:ascii="David" w:hAnsi="David"/>
                <w:b/>
                <w:bCs/>
                <w:rtl/>
              </w:rPr>
              <w:br/>
              <w:t xml:space="preserve">קיריל לוקיאנוב </w:t>
            </w:r>
          </w:p>
        </w:tc>
        <w:tc>
          <w:tcPr>
            <w:tcW w:w="3263" w:type="dxa"/>
            <w:tcBorders>
              <w:top w:val="nil"/>
              <w:left w:val="nil"/>
              <w:bottom w:val="nil"/>
              <w:right w:val="nil"/>
            </w:tcBorders>
            <w:shd w:val="clear" w:color="auto" w:fill="auto"/>
          </w:tcPr>
          <w:p w14:paraId="1CDF0061" w14:textId="77777777" w:rsidR="00B015AB" w:rsidRPr="007C55CD" w:rsidRDefault="00B015AB" w:rsidP="00FC61C8">
            <w:pPr>
              <w:rPr>
                <w:rFonts w:ascii="David" w:hAnsi="David"/>
                <w:b/>
                <w:bCs/>
                <w:rtl/>
              </w:rPr>
            </w:pPr>
          </w:p>
          <w:p w14:paraId="321E40B0" w14:textId="77777777" w:rsidR="00B015AB" w:rsidRPr="007C55CD" w:rsidRDefault="00B015AB" w:rsidP="00FC61C8">
            <w:pPr>
              <w:rPr>
                <w:rFonts w:ascii="David" w:hAnsi="David"/>
                <w:b/>
                <w:bCs/>
                <w:rtl/>
              </w:rPr>
            </w:pPr>
          </w:p>
          <w:p w14:paraId="4DA4634C" w14:textId="77777777" w:rsidR="00B015AB" w:rsidRPr="007C55CD" w:rsidRDefault="00B015AB" w:rsidP="00FC61C8">
            <w:pPr>
              <w:rPr>
                <w:rFonts w:ascii="David" w:hAnsi="David"/>
                <w:b/>
                <w:bCs/>
                <w:rtl/>
              </w:rPr>
            </w:pPr>
          </w:p>
          <w:p w14:paraId="36823FC3" w14:textId="77777777" w:rsidR="00B015AB" w:rsidRPr="007C55CD" w:rsidRDefault="00B015AB" w:rsidP="00FC61C8">
            <w:pPr>
              <w:rPr>
                <w:rFonts w:ascii="David" w:hAnsi="David"/>
                <w:b/>
                <w:bCs/>
              </w:rPr>
            </w:pPr>
            <w:r w:rsidRPr="007C55CD">
              <w:rPr>
                <w:rFonts w:ascii="David" w:hAnsi="David"/>
                <w:b/>
                <w:bCs/>
                <w:rtl/>
              </w:rPr>
              <w:t>הנאש</w:t>
            </w:r>
            <w:r w:rsidRPr="007C55CD">
              <w:rPr>
                <w:rFonts w:ascii="David" w:hAnsi="David" w:hint="cs"/>
                <w:b/>
                <w:bCs/>
                <w:rtl/>
              </w:rPr>
              <w:t>ם</w:t>
            </w:r>
          </w:p>
        </w:tc>
      </w:tr>
    </w:tbl>
    <w:p w14:paraId="2F1E17A9" w14:textId="77777777" w:rsidR="00B015AB" w:rsidRPr="007C55CD" w:rsidRDefault="00B015AB" w:rsidP="00B015AB">
      <w:pPr>
        <w:rPr>
          <w:sz w:val="26"/>
          <w:szCs w:val="26"/>
        </w:rPr>
      </w:pPr>
    </w:p>
    <w:p w14:paraId="307E6877" w14:textId="77777777" w:rsidR="007C55CD" w:rsidRPr="007C55CD" w:rsidRDefault="007C55CD" w:rsidP="007C55CD">
      <w:pPr>
        <w:spacing w:before="120" w:after="120" w:line="240" w:lineRule="exact"/>
        <w:ind w:left="283" w:hanging="283"/>
        <w:jc w:val="both"/>
        <w:rPr>
          <w:rFonts w:ascii="FrankRuehl" w:hAnsi="FrankRuehl" w:cs="FrankRuehl"/>
          <w:rtl/>
        </w:rPr>
      </w:pPr>
    </w:p>
    <w:p w14:paraId="7C7A6E4D" w14:textId="77777777" w:rsidR="007C55CD" w:rsidRPr="007C55CD" w:rsidRDefault="007C55CD" w:rsidP="007C55CD">
      <w:pPr>
        <w:rPr>
          <w:rFonts w:ascii="David" w:hAnsi="David"/>
          <w:rtl/>
        </w:rPr>
      </w:pPr>
    </w:p>
    <w:p w14:paraId="7FE66E57" w14:textId="77777777" w:rsidR="00265FF9" w:rsidRPr="00265FF9" w:rsidRDefault="00265FF9" w:rsidP="00265FF9">
      <w:pPr>
        <w:spacing w:before="120" w:after="120" w:line="240" w:lineRule="exact"/>
        <w:ind w:left="283" w:hanging="283"/>
        <w:jc w:val="both"/>
        <w:rPr>
          <w:rFonts w:ascii="FrankRuehl" w:hAnsi="FrankRuehl" w:cs="FrankRuehl"/>
          <w:rtl/>
        </w:rPr>
      </w:pPr>
      <w:bookmarkStart w:id="2" w:name="LawTable"/>
      <w:bookmarkEnd w:id="2"/>
    </w:p>
    <w:p w14:paraId="4623EEE0" w14:textId="77777777" w:rsidR="00265FF9" w:rsidRPr="00265FF9" w:rsidRDefault="00265FF9" w:rsidP="00265FF9">
      <w:pPr>
        <w:spacing w:before="120" w:after="120" w:line="240" w:lineRule="exact"/>
        <w:ind w:left="283" w:hanging="283"/>
        <w:jc w:val="both"/>
        <w:rPr>
          <w:rFonts w:ascii="FrankRuehl" w:hAnsi="FrankRuehl" w:cs="FrankRuehl"/>
          <w:rtl/>
        </w:rPr>
      </w:pPr>
      <w:r w:rsidRPr="00265FF9">
        <w:rPr>
          <w:rFonts w:ascii="FrankRuehl" w:hAnsi="FrankRuehl" w:cs="FrankRuehl"/>
          <w:rtl/>
        </w:rPr>
        <w:t xml:space="preserve">חקיקה שאוזכרה: </w:t>
      </w:r>
    </w:p>
    <w:p w14:paraId="6B8FD72C" w14:textId="77777777" w:rsidR="00265FF9" w:rsidRPr="00265FF9" w:rsidRDefault="00265FF9" w:rsidP="00265FF9">
      <w:pPr>
        <w:spacing w:before="120" w:after="120" w:line="240" w:lineRule="exact"/>
        <w:ind w:left="283" w:hanging="283"/>
        <w:jc w:val="both"/>
        <w:rPr>
          <w:rFonts w:ascii="FrankRuehl" w:hAnsi="FrankRuehl" w:cs="FrankRuehl"/>
          <w:color w:val="0000FF"/>
          <w:rtl/>
        </w:rPr>
      </w:pPr>
      <w:hyperlink r:id="rId7" w:history="1">
        <w:r w:rsidRPr="00265FF9">
          <w:rPr>
            <w:rStyle w:val="Hyperlink"/>
            <w:rFonts w:ascii="FrankRuehl" w:hAnsi="FrankRuehl" w:cs="FrankRuehl"/>
            <w:u w:val="none"/>
            <w:rtl/>
          </w:rPr>
          <w:t>חוק העונשין, תשל"ז-1977</w:t>
        </w:r>
      </w:hyperlink>
      <w:r w:rsidRPr="00265FF9">
        <w:rPr>
          <w:rFonts w:ascii="FrankRuehl" w:hAnsi="FrankRuehl" w:cs="FrankRuehl"/>
          <w:color w:val="0000FF"/>
          <w:rtl/>
        </w:rPr>
        <w:t xml:space="preserve">: סע'  </w:t>
      </w:r>
      <w:hyperlink r:id="rId8" w:history="1">
        <w:r w:rsidRPr="00265FF9">
          <w:rPr>
            <w:rStyle w:val="Hyperlink"/>
            <w:rFonts w:ascii="FrankRuehl" w:hAnsi="FrankRuehl" w:cs="FrankRuehl"/>
            <w:u w:val="none"/>
          </w:rPr>
          <w:t>144</w:t>
        </w:r>
      </w:hyperlink>
      <w:r w:rsidRPr="00265FF9">
        <w:rPr>
          <w:rFonts w:ascii="FrankRuehl" w:hAnsi="FrankRuehl" w:cs="FrankRuehl"/>
          <w:color w:val="0000FF"/>
          <w:rtl/>
        </w:rPr>
        <w:t xml:space="preserve">, </w:t>
      </w:r>
      <w:hyperlink r:id="rId9" w:history="1">
        <w:r w:rsidRPr="00265FF9">
          <w:rPr>
            <w:rStyle w:val="Hyperlink"/>
            <w:rFonts w:ascii="FrankRuehl" w:hAnsi="FrankRuehl" w:cs="FrankRuehl"/>
            <w:u w:val="none"/>
          </w:rPr>
          <w:t>144</w:t>
        </w:r>
      </w:hyperlink>
      <w:r w:rsidRPr="00265FF9">
        <w:rPr>
          <w:rFonts w:ascii="FrankRuehl" w:hAnsi="FrankRuehl" w:cs="FrankRuehl"/>
          <w:color w:val="0000FF"/>
          <w:rtl/>
        </w:rPr>
        <w:t xml:space="preserve">(א)סיפא, </w:t>
      </w:r>
      <w:hyperlink r:id="rId10" w:history="1">
        <w:r w:rsidRPr="00265FF9">
          <w:rPr>
            <w:rStyle w:val="Hyperlink"/>
            <w:rFonts w:ascii="FrankRuehl" w:hAnsi="FrankRuehl" w:cs="FrankRuehl"/>
            <w:u w:val="none"/>
          </w:rPr>
          <w:t>244</w:t>
        </w:r>
      </w:hyperlink>
      <w:r w:rsidRPr="00265FF9">
        <w:rPr>
          <w:rFonts w:ascii="FrankRuehl" w:hAnsi="FrankRuehl" w:cs="FrankRuehl"/>
          <w:color w:val="0000FF"/>
          <w:rtl/>
        </w:rPr>
        <w:t xml:space="preserve">, </w:t>
      </w:r>
      <w:hyperlink r:id="rId11" w:history="1">
        <w:r w:rsidRPr="00265FF9">
          <w:rPr>
            <w:rStyle w:val="Hyperlink"/>
            <w:rFonts w:ascii="FrankRuehl" w:hAnsi="FrankRuehl" w:cs="FrankRuehl"/>
            <w:u w:val="none"/>
          </w:rPr>
          <w:t>275</w:t>
        </w:r>
      </w:hyperlink>
      <w:r w:rsidRPr="00265FF9">
        <w:rPr>
          <w:rFonts w:ascii="FrankRuehl" w:hAnsi="FrankRuehl" w:cs="FrankRuehl"/>
          <w:color w:val="0000FF"/>
          <w:rtl/>
        </w:rPr>
        <w:t xml:space="preserve">, </w:t>
      </w:r>
      <w:hyperlink r:id="rId12" w:history="1">
        <w:r w:rsidRPr="00265FF9">
          <w:rPr>
            <w:rStyle w:val="Hyperlink"/>
            <w:rFonts w:ascii="FrankRuehl" w:hAnsi="FrankRuehl" w:cs="FrankRuehl"/>
            <w:u w:val="none"/>
          </w:rPr>
          <w:t>384</w:t>
        </w:r>
      </w:hyperlink>
      <w:r w:rsidRPr="00265FF9">
        <w:rPr>
          <w:rFonts w:ascii="FrankRuehl" w:hAnsi="FrankRuehl" w:cs="FrankRuehl"/>
          <w:color w:val="0000FF"/>
          <w:rtl/>
        </w:rPr>
        <w:t xml:space="preserve">, </w:t>
      </w:r>
      <w:hyperlink r:id="rId13" w:history="1">
        <w:r w:rsidRPr="00265FF9">
          <w:rPr>
            <w:rStyle w:val="Hyperlink"/>
            <w:rFonts w:ascii="FrankRuehl" w:hAnsi="FrankRuehl" w:cs="FrankRuehl"/>
            <w:u w:val="none"/>
          </w:rPr>
          <w:t>406</w:t>
        </w:r>
      </w:hyperlink>
      <w:r w:rsidRPr="00265FF9">
        <w:rPr>
          <w:rFonts w:ascii="FrankRuehl" w:hAnsi="FrankRuehl" w:cs="FrankRuehl"/>
          <w:color w:val="0000FF"/>
          <w:rtl/>
        </w:rPr>
        <w:t xml:space="preserve">(ב), </w:t>
      </w:r>
      <w:hyperlink r:id="rId14" w:history="1">
        <w:r w:rsidRPr="00265FF9">
          <w:rPr>
            <w:rStyle w:val="Hyperlink"/>
            <w:rFonts w:ascii="FrankRuehl" w:hAnsi="FrankRuehl" w:cs="FrankRuehl"/>
            <w:u w:val="none"/>
          </w:rPr>
          <w:t>40</w:t>
        </w:r>
        <w:r w:rsidRPr="00265FF9">
          <w:rPr>
            <w:rStyle w:val="Hyperlink"/>
            <w:rFonts w:ascii="FrankRuehl" w:hAnsi="FrankRuehl" w:cs="FrankRuehl"/>
            <w:u w:val="none"/>
            <w:rtl/>
          </w:rPr>
          <w:t>יא</w:t>
        </w:r>
        <w:r w:rsidRPr="00265FF9">
          <w:rPr>
            <w:rStyle w:val="Hyperlink"/>
            <w:rFonts w:ascii="FrankRuehl" w:hAnsi="FrankRuehl" w:cs="FrankRuehl"/>
            <w:u w:val="none"/>
          </w:rPr>
          <w:t>'</w:t>
        </w:r>
      </w:hyperlink>
      <w:r w:rsidRPr="00265FF9">
        <w:rPr>
          <w:rFonts w:ascii="FrankRuehl" w:hAnsi="FrankRuehl" w:cs="FrankRuehl"/>
          <w:color w:val="0000FF"/>
          <w:rtl/>
        </w:rPr>
        <w:t>(10)</w:t>
      </w:r>
    </w:p>
    <w:p w14:paraId="083E9DFC" w14:textId="77777777" w:rsidR="00B015AB" w:rsidRDefault="00B015AB" w:rsidP="00265FF9">
      <w:pPr>
        <w:rPr>
          <w:rFonts w:ascii="David" w:hAnsi="David" w:hint="cs"/>
          <w:rtl/>
        </w:rPr>
      </w:pPr>
      <w:bookmarkStart w:id="3" w:name="LawTable_End"/>
      <w:bookmarkEnd w:id="3"/>
    </w:p>
    <w:p w14:paraId="653F8EB5" w14:textId="77777777" w:rsidR="00265FF9" w:rsidRDefault="00265FF9" w:rsidP="00265FF9">
      <w:pPr>
        <w:rPr>
          <w:rFonts w:ascii="David" w:hAnsi="David" w:hint="cs"/>
          <w:rtl/>
        </w:rPr>
      </w:pPr>
    </w:p>
    <w:p w14:paraId="52529E81" w14:textId="77777777" w:rsidR="00265FF9" w:rsidRPr="00265FF9" w:rsidRDefault="00265FF9" w:rsidP="00265FF9">
      <w:pPr>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15AB" w14:paraId="7C9321EB" w14:textId="77777777" w:rsidTr="00B015AB">
        <w:trPr>
          <w:trHeight w:val="355"/>
          <w:jc w:val="center"/>
        </w:trPr>
        <w:tc>
          <w:tcPr>
            <w:tcW w:w="8820" w:type="dxa"/>
            <w:tcBorders>
              <w:top w:val="nil"/>
              <w:left w:val="nil"/>
              <w:bottom w:val="nil"/>
              <w:right w:val="nil"/>
            </w:tcBorders>
            <w:shd w:val="clear" w:color="auto" w:fill="auto"/>
          </w:tcPr>
          <w:p w14:paraId="46979228" w14:textId="77777777" w:rsidR="007C55CD" w:rsidRPr="007C55CD" w:rsidRDefault="007C55CD" w:rsidP="007C55CD">
            <w:pPr>
              <w:jc w:val="center"/>
              <w:rPr>
                <w:rFonts w:ascii="David" w:hAnsi="David"/>
                <w:b/>
                <w:bCs/>
                <w:sz w:val="32"/>
                <w:szCs w:val="32"/>
                <w:u w:val="single"/>
                <w:rtl/>
              </w:rPr>
            </w:pPr>
            <w:bookmarkStart w:id="4" w:name="PsakDin" w:colFirst="0" w:colLast="0"/>
            <w:r w:rsidRPr="007C55CD">
              <w:rPr>
                <w:rFonts w:ascii="David" w:hAnsi="David"/>
                <w:b/>
                <w:bCs/>
                <w:sz w:val="32"/>
                <w:szCs w:val="32"/>
                <w:u w:val="single"/>
                <w:rtl/>
              </w:rPr>
              <w:t>גזר דין</w:t>
            </w:r>
          </w:p>
          <w:p w14:paraId="3FCED376" w14:textId="77777777" w:rsidR="00B015AB" w:rsidRPr="007C55CD" w:rsidRDefault="00B015AB" w:rsidP="007C55CD">
            <w:pPr>
              <w:jc w:val="center"/>
              <w:rPr>
                <w:rFonts w:ascii="David" w:hAnsi="David"/>
                <w:bCs/>
                <w:sz w:val="32"/>
                <w:szCs w:val="32"/>
                <w:u w:val="single"/>
                <w:rtl/>
              </w:rPr>
            </w:pPr>
          </w:p>
        </w:tc>
      </w:tr>
      <w:bookmarkEnd w:id="4"/>
    </w:tbl>
    <w:p w14:paraId="33891C39" w14:textId="77777777" w:rsidR="00B015AB" w:rsidRDefault="00B015AB" w:rsidP="00B015AB">
      <w:pPr>
        <w:rPr>
          <w:rFonts w:ascii="David" w:hAnsi="David"/>
          <w:rtl/>
        </w:rPr>
      </w:pPr>
    </w:p>
    <w:p w14:paraId="2E0C8742" w14:textId="77777777" w:rsidR="00B015AB" w:rsidRDefault="00B015AB" w:rsidP="00B015AB">
      <w:pPr>
        <w:spacing w:line="360" w:lineRule="auto"/>
        <w:jc w:val="both"/>
        <w:rPr>
          <w:rFonts w:ascii="David" w:hAnsi="David"/>
          <w:rtl/>
        </w:rPr>
      </w:pPr>
      <w:r>
        <w:rPr>
          <w:rFonts w:ascii="David" w:hAnsi="David" w:hint="cs"/>
          <w:b/>
          <w:bCs/>
          <w:u w:val="single"/>
          <w:rtl/>
        </w:rPr>
        <w:t>כתב אישום</w:t>
      </w:r>
    </w:p>
    <w:p w14:paraId="31ADAC92" w14:textId="77777777" w:rsidR="00B015AB" w:rsidRDefault="00B015AB" w:rsidP="00B015AB">
      <w:pPr>
        <w:jc w:val="both"/>
        <w:rPr>
          <w:rFonts w:ascii="David" w:hAnsi="David"/>
          <w:rtl/>
        </w:rPr>
      </w:pPr>
    </w:p>
    <w:p w14:paraId="6EC21C5A"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הנאשם הורשע במסגרת הסדר טיעון בכתב אישום הכולל שני אישומים כמפורט להלן:  </w:t>
      </w:r>
    </w:p>
    <w:p w14:paraId="27C69531" w14:textId="77777777" w:rsidR="00B015AB" w:rsidRPr="00450970" w:rsidRDefault="00B015AB" w:rsidP="00B015AB">
      <w:pPr>
        <w:pStyle w:val="a9"/>
        <w:ind w:left="0"/>
        <w:jc w:val="both"/>
        <w:rPr>
          <w:rFonts w:ascii="David" w:hAnsi="David"/>
          <w:rtl/>
        </w:rPr>
      </w:pPr>
    </w:p>
    <w:p w14:paraId="0856533E" w14:textId="77777777" w:rsidR="00B015AB" w:rsidRDefault="00B015AB" w:rsidP="00B015AB">
      <w:pPr>
        <w:pStyle w:val="a9"/>
        <w:spacing w:line="360" w:lineRule="auto"/>
        <w:jc w:val="both"/>
        <w:rPr>
          <w:rFonts w:ascii="David" w:hAnsi="David"/>
          <w:rtl/>
        </w:rPr>
      </w:pPr>
      <w:r>
        <w:rPr>
          <w:rFonts w:ascii="David" w:hAnsi="David" w:hint="cs"/>
          <w:rtl/>
        </w:rPr>
        <w:t>(-)</w:t>
      </w:r>
      <w:r>
        <w:rPr>
          <w:rFonts w:ascii="David" w:hAnsi="David"/>
          <w:rtl/>
        </w:rPr>
        <w:tab/>
      </w:r>
      <w:bookmarkStart w:id="5" w:name="ABSTRACT_START"/>
      <w:bookmarkEnd w:id="5"/>
      <w:r>
        <w:rPr>
          <w:rFonts w:ascii="David" w:hAnsi="David" w:hint="cs"/>
          <w:rtl/>
        </w:rPr>
        <w:t xml:space="preserve">אישום ראשון: ביום 24.3.20 בשעה 2:30 התפרץ הנאשם יחד עם קטין לביתה של המתלוננת, ילידת 1934. השניים פתחו את שער הכניסה לחצר, טיפסו לעבר חלון המטבח בקומת הקרקע ונכנסו לדירה. בתוך הדירה הבחינו השניים במכשיר הקלטה הכולל </w:t>
      </w:r>
      <w:r w:rsidRPr="00450970">
        <w:rPr>
          <w:rFonts w:ascii="David" w:hAnsi="David" w:hint="cs"/>
          <w:sz w:val="22"/>
          <w:szCs w:val="22"/>
        </w:rPr>
        <w:t>DVR</w:t>
      </w:r>
      <w:r>
        <w:rPr>
          <w:rFonts w:ascii="David" w:hAnsi="David" w:hint="cs"/>
          <w:rtl/>
        </w:rPr>
        <w:t xml:space="preserve">, ניתקו אותו ולקחו אותו על מנת לשבש ראיות. המטפלת של המתלוננת הבחינה בשניים והם ברחו מהדירה דרך דלת הכניסה כאשר מכשיר ההקלטה בידם. השניים נעלו את דלת הדירה מבחוץ והותירו את המפתח ברשותם. </w:t>
      </w:r>
    </w:p>
    <w:p w14:paraId="72C42E36" w14:textId="77777777" w:rsidR="00B015AB" w:rsidRDefault="00B015AB" w:rsidP="00B015AB">
      <w:pPr>
        <w:pStyle w:val="a9"/>
        <w:spacing w:line="360" w:lineRule="auto"/>
        <w:jc w:val="both"/>
        <w:rPr>
          <w:rFonts w:ascii="David" w:hAnsi="David"/>
          <w:rtl/>
        </w:rPr>
      </w:pPr>
      <w:bookmarkStart w:id="6" w:name="ABSTRACT_END"/>
      <w:bookmarkEnd w:id="6"/>
    </w:p>
    <w:p w14:paraId="6B2DD2C3" w14:textId="77777777" w:rsidR="00B015AB" w:rsidRPr="00450970" w:rsidRDefault="00B015AB" w:rsidP="00B015AB">
      <w:pPr>
        <w:pStyle w:val="a9"/>
        <w:spacing w:line="360" w:lineRule="auto"/>
        <w:ind w:firstLine="720"/>
        <w:jc w:val="both"/>
        <w:rPr>
          <w:rFonts w:ascii="David" w:hAnsi="David"/>
          <w:rtl/>
        </w:rPr>
      </w:pPr>
      <w:r w:rsidRPr="00450970">
        <w:rPr>
          <w:rFonts w:ascii="David" w:hAnsi="David" w:hint="cs"/>
          <w:rtl/>
        </w:rPr>
        <w:t xml:space="preserve">בגין מעשים אלו הורשע הנאשם בעבירת התפרצות למקום מגורים, לפי </w:t>
      </w:r>
      <w:hyperlink r:id="rId15" w:history="1">
        <w:r w:rsidR="00265FF9" w:rsidRPr="00265FF9">
          <w:rPr>
            <w:rStyle w:val="Hyperlink"/>
            <w:rFonts w:ascii="David" w:hAnsi="David" w:hint="eastAsia"/>
            <w:color w:val="0000FF"/>
            <w:rtl/>
          </w:rPr>
          <w:t>סעיף</w:t>
        </w:r>
        <w:r w:rsidR="00265FF9" w:rsidRPr="00265FF9">
          <w:rPr>
            <w:rStyle w:val="Hyperlink"/>
            <w:rFonts w:ascii="David" w:hAnsi="David"/>
            <w:color w:val="0000FF"/>
            <w:rtl/>
          </w:rPr>
          <w:t xml:space="preserve"> 406(ב)</w:t>
        </w:r>
      </w:hyperlink>
      <w:r w:rsidRPr="00450970">
        <w:rPr>
          <w:rFonts w:ascii="David" w:hAnsi="David" w:hint="cs"/>
          <w:rtl/>
        </w:rPr>
        <w:t xml:space="preserve"> ל</w:t>
      </w:r>
      <w:hyperlink r:id="rId16" w:history="1">
        <w:r w:rsidR="007C55CD" w:rsidRPr="007C55CD">
          <w:rPr>
            <w:rFonts w:ascii="David" w:hAnsi="David"/>
            <w:color w:val="0000FF"/>
            <w:u w:val="single"/>
            <w:rtl/>
          </w:rPr>
          <w:t>חוק העונשין</w:t>
        </w:r>
      </w:hyperlink>
      <w:r w:rsidRPr="00450970">
        <w:rPr>
          <w:rFonts w:ascii="David" w:hAnsi="David" w:hint="cs"/>
          <w:rtl/>
        </w:rPr>
        <w:t xml:space="preserve">, תשל"ז- 1977 (להלן </w:t>
      </w:r>
      <w:r w:rsidRPr="00450970">
        <w:rPr>
          <w:rFonts w:ascii="David" w:hAnsi="David"/>
          <w:rtl/>
        </w:rPr>
        <w:t>–</w:t>
      </w:r>
      <w:r w:rsidRPr="00450970">
        <w:rPr>
          <w:rFonts w:ascii="David" w:hAnsi="David" w:hint="cs"/>
          <w:rtl/>
        </w:rPr>
        <w:t xml:space="preserve"> </w:t>
      </w:r>
      <w:r w:rsidRPr="00450970">
        <w:rPr>
          <w:rFonts w:ascii="Miriam" w:hAnsi="Miriam" w:cs="Miriam"/>
          <w:rtl/>
        </w:rPr>
        <w:t>חוק העונשין</w:t>
      </w:r>
      <w:r w:rsidRPr="00450970">
        <w:rPr>
          <w:rFonts w:ascii="David" w:hAnsi="David" w:hint="cs"/>
          <w:rtl/>
        </w:rPr>
        <w:t xml:space="preserve">); גניבה, לפי </w:t>
      </w:r>
      <w:hyperlink r:id="rId17" w:history="1">
        <w:r w:rsidR="00265FF9" w:rsidRPr="00265FF9">
          <w:rPr>
            <w:rStyle w:val="Hyperlink"/>
            <w:rFonts w:ascii="David" w:hAnsi="David" w:hint="eastAsia"/>
            <w:color w:val="0000FF"/>
            <w:rtl/>
          </w:rPr>
          <w:t>סעיף</w:t>
        </w:r>
        <w:r w:rsidR="00265FF9" w:rsidRPr="00265FF9">
          <w:rPr>
            <w:rStyle w:val="Hyperlink"/>
            <w:rFonts w:ascii="David" w:hAnsi="David"/>
            <w:color w:val="0000FF"/>
            <w:rtl/>
          </w:rPr>
          <w:t xml:space="preserve"> 384</w:t>
        </w:r>
      </w:hyperlink>
      <w:r w:rsidRPr="00450970">
        <w:rPr>
          <w:rFonts w:ascii="David" w:hAnsi="David" w:hint="cs"/>
          <w:rtl/>
        </w:rPr>
        <w:t xml:space="preserve"> לחוק העונשין; ושיבוש מהלכי משפט, לפי </w:t>
      </w:r>
      <w:hyperlink r:id="rId18" w:history="1">
        <w:r w:rsidR="00265FF9" w:rsidRPr="00265FF9">
          <w:rPr>
            <w:rStyle w:val="Hyperlink"/>
            <w:rFonts w:ascii="David" w:hAnsi="David" w:hint="eastAsia"/>
            <w:color w:val="0000FF"/>
            <w:rtl/>
          </w:rPr>
          <w:t>סעיף</w:t>
        </w:r>
        <w:r w:rsidR="00265FF9" w:rsidRPr="00265FF9">
          <w:rPr>
            <w:rStyle w:val="Hyperlink"/>
            <w:rFonts w:ascii="David" w:hAnsi="David"/>
            <w:color w:val="0000FF"/>
            <w:rtl/>
          </w:rPr>
          <w:t xml:space="preserve"> 244</w:t>
        </w:r>
      </w:hyperlink>
      <w:r w:rsidRPr="00450970">
        <w:rPr>
          <w:rFonts w:ascii="David" w:hAnsi="David" w:hint="cs"/>
          <w:rtl/>
        </w:rPr>
        <w:t xml:space="preserve"> לחוק העונשין. </w:t>
      </w:r>
    </w:p>
    <w:p w14:paraId="57FB7A80" w14:textId="77777777" w:rsidR="00B015AB" w:rsidRDefault="00B015AB" w:rsidP="00B015AB">
      <w:pPr>
        <w:pStyle w:val="a9"/>
        <w:spacing w:line="360" w:lineRule="auto"/>
        <w:ind w:left="0" w:firstLine="720"/>
        <w:jc w:val="both"/>
        <w:rPr>
          <w:rFonts w:ascii="David" w:hAnsi="David"/>
          <w:rtl/>
        </w:rPr>
      </w:pPr>
    </w:p>
    <w:p w14:paraId="65975D7C" w14:textId="77777777" w:rsidR="00B015AB" w:rsidRDefault="00B015AB" w:rsidP="00B015AB">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 xml:space="preserve">אישום שני: ביום 24.3.20 החזיק הנאשם במחסן ביתו תחמושת כמפורט להלן: שני רימוני אימונים, ארבע מחסניות שחורות מלאות בכדורי אקדח, שקית ובה 156 כדורי אקדח מסוג 5.56 מ"מ ונרתיק עור ובתוכו 12 כדורי אקדח מסוג 5.56 מ"מ. כשהבחין הנאשם בשוטר נמלט מהמקום והסגיר את עצמו רק ביום 19.7.21. </w:t>
      </w:r>
    </w:p>
    <w:p w14:paraId="7AEA47D8" w14:textId="77777777" w:rsidR="00B015AB" w:rsidRDefault="00B015AB" w:rsidP="00B015AB">
      <w:pPr>
        <w:pStyle w:val="a9"/>
        <w:ind w:left="0" w:firstLine="720"/>
        <w:jc w:val="both"/>
        <w:rPr>
          <w:rFonts w:ascii="David" w:hAnsi="David"/>
          <w:rtl/>
        </w:rPr>
      </w:pPr>
    </w:p>
    <w:p w14:paraId="08D31598" w14:textId="77777777" w:rsidR="00B015AB" w:rsidRPr="0075152A" w:rsidRDefault="00B015AB" w:rsidP="00B015AB">
      <w:pPr>
        <w:pStyle w:val="a9"/>
        <w:spacing w:line="360" w:lineRule="auto"/>
        <w:ind w:firstLine="720"/>
        <w:jc w:val="both"/>
        <w:rPr>
          <w:rFonts w:ascii="David" w:hAnsi="David"/>
          <w:rtl/>
        </w:rPr>
      </w:pPr>
      <w:r>
        <w:rPr>
          <w:rFonts w:ascii="David" w:hAnsi="David" w:hint="cs"/>
          <w:rtl/>
        </w:rPr>
        <w:t xml:space="preserve">בגין מעשים אלו הורשע הנאשם בעבירת החזקת חלק של נשק/תחמושת, לפי </w:t>
      </w:r>
      <w:hyperlink r:id="rId19" w:history="1">
        <w:r w:rsidR="00265FF9" w:rsidRPr="00265FF9">
          <w:rPr>
            <w:rStyle w:val="Hyperlink"/>
            <w:rFonts w:ascii="David" w:hAnsi="David" w:hint="eastAsia"/>
            <w:color w:val="0000FF"/>
            <w:rtl/>
          </w:rPr>
          <w:t>סעיף</w:t>
        </w:r>
        <w:r w:rsidR="00265FF9" w:rsidRPr="00265FF9">
          <w:rPr>
            <w:rStyle w:val="Hyperlink"/>
            <w:rFonts w:ascii="David" w:hAnsi="David"/>
            <w:color w:val="0000FF"/>
            <w:rtl/>
          </w:rPr>
          <w:t xml:space="preserve"> 144(א)סיפא</w:t>
        </w:r>
      </w:hyperlink>
      <w:r>
        <w:rPr>
          <w:rFonts w:ascii="David" w:hAnsi="David" w:hint="cs"/>
          <w:rtl/>
        </w:rPr>
        <w:t xml:space="preserve"> ל</w:t>
      </w:r>
      <w:hyperlink r:id="rId20" w:history="1">
        <w:r w:rsidR="007C55CD" w:rsidRPr="007C55CD">
          <w:rPr>
            <w:rFonts w:ascii="David" w:hAnsi="David"/>
            <w:color w:val="0000FF"/>
            <w:u w:val="single"/>
            <w:rtl/>
          </w:rPr>
          <w:t>חוק העונשין</w:t>
        </w:r>
      </w:hyperlink>
      <w:r>
        <w:rPr>
          <w:rFonts w:ascii="David" w:hAnsi="David" w:hint="cs"/>
          <w:rtl/>
        </w:rPr>
        <w:t xml:space="preserve"> ועבירת הפרעה לשוטר במילוי תפקידו, לפי </w:t>
      </w:r>
      <w:hyperlink r:id="rId21" w:history="1">
        <w:r w:rsidR="00265FF9" w:rsidRPr="00265FF9">
          <w:rPr>
            <w:rStyle w:val="Hyperlink"/>
            <w:rFonts w:ascii="David" w:hAnsi="David" w:hint="eastAsia"/>
            <w:color w:val="0000FF"/>
            <w:rtl/>
          </w:rPr>
          <w:t>סעיף</w:t>
        </w:r>
        <w:r w:rsidR="00265FF9" w:rsidRPr="00265FF9">
          <w:rPr>
            <w:rStyle w:val="Hyperlink"/>
            <w:rFonts w:ascii="David" w:hAnsi="David"/>
            <w:color w:val="0000FF"/>
            <w:rtl/>
          </w:rPr>
          <w:t xml:space="preserve"> 275</w:t>
        </w:r>
      </w:hyperlink>
      <w:r>
        <w:rPr>
          <w:rFonts w:ascii="David" w:hAnsi="David" w:hint="cs"/>
          <w:rtl/>
        </w:rPr>
        <w:t xml:space="preserve"> לחוק העונשין. </w:t>
      </w:r>
    </w:p>
    <w:p w14:paraId="24F01FE4" w14:textId="77777777" w:rsidR="00B015AB" w:rsidRDefault="00B015AB" w:rsidP="00B015AB">
      <w:pPr>
        <w:spacing w:line="360" w:lineRule="auto"/>
        <w:jc w:val="both"/>
        <w:rPr>
          <w:rFonts w:ascii="David" w:hAnsi="David"/>
          <w:rtl/>
        </w:rPr>
      </w:pPr>
    </w:p>
    <w:p w14:paraId="2B044618"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במסגרת הסדר הטיעון הסכימו הצדדים על הפניית הנאשם לתסקיר, אשר מסקנותיו לא תחייבנה את הצדדים.  </w:t>
      </w:r>
    </w:p>
    <w:p w14:paraId="5E01DF82" w14:textId="77777777" w:rsidR="00B015AB" w:rsidRDefault="00B015AB" w:rsidP="00B015AB">
      <w:pPr>
        <w:pStyle w:val="a9"/>
        <w:ind w:left="0"/>
        <w:jc w:val="both"/>
        <w:rPr>
          <w:rFonts w:ascii="David" w:hAnsi="David"/>
          <w:rtl/>
        </w:rPr>
      </w:pPr>
    </w:p>
    <w:p w14:paraId="08E8616F" w14:textId="77777777" w:rsidR="00B015AB" w:rsidRDefault="00B015AB" w:rsidP="00B015AB">
      <w:pPr>
        <w:pStyle w:val="a9"/>
        <w:spacing w:line="360" w:lineRule="auto"/>
        <w:ind w:left="0"/>
        <w:jc w:val="both"/>
        <w:rPr>
          <w:rFonts w:ascii="David" w:hAnsi="David"/>
          <w:rtl/>
        </w:rPr>
      </w:pPr>
      <w:r>
        <w:rPr>
          <w:rFonts w:ascii="David" w:hAnsi="David" w:hint="cs"/>
          <w:b/>
          <w:bCs/>
          <w:u w:val="single"/>
          <w:rtl/>
        </w:rPr>
        <w:t>תסקירי שירות המבחן</w:t>
      </w:r>
    </w:p>
    <w:p w14:paraId="55EEA5AE" w14:textId="77777777" w:rsidR="00B015AB" w:rsidRPr="00850031" w:rsidRDefault="00B015AB" w:rsidP="00B015AB">
      <w:pPr>
        <w:pStyle w:val="a9"/>
        <w:spacing w:line="360" w:lineRule="auto"/>
        <w:ind w:left="0"/>
        <w:jc w:val="both"/>
        <w:rPr>
          <w:rFonts w:ascii="David" w:hAnsi="David"/>
        </w:rPr>
      </w:pPr>
    </w:p>
    <w:p w14:paraId="3F56F38E"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שירות המבחן הגיש שלושה תסקירים בעניינו של הנאשם, בהם פורטו בהרחבה נסיבות חייו. מטעמים של צנעת הפרט לא ארחיב ובתמצית ייאמר כי הנאשם כבן 35, גרוש ואב לשלושה ילדים וכיום מנהל מערכת יחסים זוגית חדשה. עברו הפלילי מכביד והוא ריצה מספר מאסרים בכליאה, אשר מהאחרון שוחרר לאחרונה. בתסקיר הראשון, שנערך כאשר הנאשם היה עדיין אסיר, פורט תפקודו החיובי במאסר שכלל שילוב במחלקה טיפולית בתחום ההתמכרויות ובתעסוקה. ביחס לביצוע העבירות נקט הנאשם בעמדה מצמצמת וקיבל אחריות חלקית למעשיו (שהתבטאה בהשלכת העבירה על ההתמכרות לאלכוהול ועל תקופת הקורונה). על אף הליך הטיפול שעבר אותה עת בבית המאסר והמוטיבציה הגבוהה לשינוי שהפגין, התרשמה קצינת המבחן כי הנאשם מתקשה להכיר בדפוסי אישיותו ונוטה להטיל את האחריות על גורמים חיצוניים ולכן לא ניתן לשלול סיכון להישנות עבירות בעתיד. משכך לא בא שירות המבחן בהמלצה טיפולית ואף המליץ להטיל על הנאשם עונש מאסר בפועל. </w:t>
      </w:r>
    </w:p>
    <w:p w14:paraId="05CA6548" w14:textId="77777777" w:rsidR="00B015AB" w:rsidRDefault="00B015AB" w:rsidP="00B015AB">
      <w:pPr>
        <w:pStyle w:val="a9"/>
        <w:spacing w:line="360" w:lineRule="auto"/>
        <w:ind w:left="0"/>
        <w:jc w:val="both"/>
        <w:rPr>
          <w:rFonts w:ascii="David" w:hAnsi="David"/>
        </w:rPr>
      </w:pPr>
    </w:p>
    <w:p w14:paraId="409C34B4" w14:textId="77777777" w:rsidR="00B015AB" w:rsidRDefault="00B015AB" w:rsidP="00B015AB">
      <w:pPr>
        <w:pStyle w:val="a9"/>
        <w:spacing w:line="360" w:lineRule="auto"/>
        <w:ind w:left="0" w:firstLine="720"/>
        <w:jc w:val="both"/>
        <w:rPr>
          <w:rFonts w:ascii="David" w:hAnsi="David"/>
        </w:rPr>
      </w:pPr>
      <w:r>
        <w:rPr>
          <w:rFonts w:ascii="David" w:hAnsi="David" w:hint="cs"/>
          <w:rtl/>
        </w:rPr>
        <w:t>לאחר הגשת התסקיר הראשון שוחרר הנאשם שחרור מוקדם, השתלב מיד בעבודה אליה הופנה על ידי גורמי הטיפול ברש"א (בתאגיד המים)</w:t>
      </w:r>
      <w:r>
        <w:rPr>
          <w:rFonts w:ascii="David" w:hAnsi="David" w:hint="cs"/>
        </w:rPr>
        <w:t xml:space="preserve"> </w:t>
      </w:r>
      <w:r>
        <w:rPr>
          <w:rFonts w:ascii="David" w:hAnsi="David" w:hint="cs"/>
          <w:rtl/>
        </w:rPr>
        <w:t xml:space="preserve">וכן השתלב בטיפול פרטני וקבוצתי ביחידה לטיפול בהתמכרויות בעיר מגוריו. הנאשם ביטא בפני קצינת המבחן עייפות מניהול אורח חיים עברייני וטען שהוא מבקש לשקם את חייו ולנהל אורח חיים יצרני ותקין ללא תלות באלכוהול. שירות המבחן ביצע הערכה מחודשת של המצב, תוך שהביא בחשבון את ההליך הטיפולי (שהוגדר כמשמעותי) שעבר הנאשם בכלא חרמון ואת המוטיבציה שלו לשיקום, וציין כי המשך הטיפול עשוי להפחית את המסוכנות להישנות עבירות. משכך, סבר שירות המבחן שטרם נכון ליתן המלצה סופית והתבקשה דחייה בת 3 חודשים. </w:t>
      </w:r>
    </w:p>
    <w:p w14:paraId="439EA40C" w14:textId="77777777" w:rsidR="00B015AB" w:rsidRPr="00AF633C" w:rsidRDefault="00B015AB" w:rsidP="00B015AB">
      <w:pPr>
        <w:pStyle w:val="a9"/>
        <w:rPr>
          <w:rFonts w:ascii="David" w:hAnsi="David"/>
          <w:rtl/>
        </w:rPr>
      </w:pPr>
    </w:p>
    <w:p w14:paraId="38084537" w14:textId="77777777" w:rsidR="00B015AB" w:rsidRDefault="00B015AB" w:rsidP="00B015AB">
      <w:pPr>
        <w:pStyle w:val="a9"/>
        <w:spacing w:line="360" w:lineRule="auto"/>
        <w:ind w:left="0" w:firstLine="720"/>
        <w:jc w:val="both"/>
        <w:rPr>
          <w:rFonts w:ascii="David" w:hAnsi="David"/>
        </w:rPr>
      </w:pPr>
      <w:r>
        <w:rPr>
          <w:rFonts w:ascii="David" w:hAnsi="David" w:hint="cs"/>
          <w:rtl/>
        </w:rPr>
        <w:lastRenderedPageBreak/>
        <w:t xml:space="preserve">בתקופת הדחייה דווח כי הנאשם ממשיך בהליך הטיפולי, מוסר בדיקות שתן נקיות ומצליח להיתרם מההליך. הנאשם המשיך בעבודתו בתאגיד המים ותיאר תחושה של סיפוק והצלחה. לאור כל זאת בחן שירות המבחן מחדש את סיכויי שיקומו של הנאשם וציין כי הוא מצליח להפיק תועלת מהטיפול ושומר על ניקיון מחומרים ממכרים. צוין כי בעת הזו הטלת ענישה קונקרטית בדרך של עבודות שירות או צו של"צ </w:t>
      </w:r>
      <w:r w:rsidRPr="00065CB4">
        <w:rPr>
          <w:rFonts w:ascii="Miriam" w:hAnsi="Miriam" w:cs="Miriam"/>
          <w:rtl/>
        </w:rPr>
        <w:t>"עלולה להוביל לרגרסיה בתפקודו ובמצבו הרגשי ולפגוע בהישגים הטיפוליים עד כה ובכך להעלות את רמת הסיכון להישנות ביצוע עבירות דומות בעתיד"</w:t>
      </w:r>
      <w:r>
        <w:rPr>
          <w:rFonts w:ascii="David" w:hAnsi="David" w:hint="cs"/>
          <w:rtl/>
        </w:rPr>
        <w:t xml:space="preserve"> ומשכך הומלץ על צו מבחן במסגרתו ימשיך הנאשם בטיפול להתמכרויות תחת פיקוח שירות המבחן. כן הומלץ להטיל מאסר מותנה. </w:t>
      </w:r>
    </w:p>
    <w:p w14:paraId="30541531" w14:textId="77777777" w:rsidR="00B015AB" w:rsidRDefault="00B015AB" w:rsidP="00B015AB">
      <w:pPr>
        <w:pStyle w:val="a9"/>
        <w:spacing w:line="360" w:lineRule="auto"/>
        <w:ind w:left="0"/>
        <w:jc w:val="both"/>
        <w:rPr>
          <w:rFonts w:ascii="David" w:hAnsi="David"/>
          <w:rtl/>
        </w:rPr>
      </w:pPr>
    </w:p>
    <w:p w14:paraId="24BDB3D9" w14:textId="77777777" w:rsidR="00B015AB" w:rsidRDefault="00B015AB" w:rsidP="00B015AB">
      <w:pPr>
        <w:pStyle w:val="a9"/>
        <w:spacing w:line="360" w:lineRule="auto"/>
        <w:ind w:left="0"/>
        <w:jc w:val="both"/>
        <w:rPr>
          <w:rFonts w:ascii="David" w:hAnsi="David"/>
          <w:rtl/>
        </w:rPr>
      </w:pPr>
      <w:r>
        <w:rPr>
          <w:rFonts w:ascii="David" w:hAnsi="David" w:hint="cs"/>
          <w:b/>
          <w:bCs/>
          <w:u w:val="single"/>
          <w:rtl/>
        </w:rPr>
        <w:t>טיעוני הצדדים לעונש והראיות</w:t>
      </w:r>
    </w:p>
    <w:p w14:paraId="1CA94468" w14:textId="77777777" w:rsidR="00B015AB" w:rsidRPr="001C0161" w:rsidRDefault="00B015AB" w:rsidP="00B015AB">
      <w:pPr>
        <w:pStyle w:val="a9"/>
        <w:spacing w:line="360" w:lineRule="auto"/>
        <w:ind w:left="0"/>
        <w:jc w:val="both"/>
        <w:rPr>
          <w:rFonts w:ascii="David" w:hAnsi="David"/>
        </w:rPr>
      </w:pPr>
    </w:p>
    <w:p w14:paraId="24B20294"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טיעוני המאשימה נטענו בכתב וכן במסגרת השלמת טיעון על פה. המאשימה הדגישה את חומרת העבירות ונסיבות ביצוען </w:t>
      </w:r>
      <w:r>
        <w:rPr>
          <w:rFonts w:ascii="David" w:hAnsi="David"/>
          <w:rtl/>
        </w:rPr>
        <w:t>–</w:t>
      </w:r>
      <w:r>
        <w:rPr>
          <w:rFonts w:ascii="David" w:hAnsi="David" w:hint="cs"/>
          <w:rtl/>
        </w:rPr>
        <w:t xml:space="preserve"> פריצה לדירה של קשישה בצוותא עם קטין בשעת לילה מאוחרת כאשר במסגרתה התרחש מפגש עם המטפלת של הקשישה </w:t>
      </w:r>
      <w:r>
        <w:rPr>
          <w:rFonts w:ascii="David" w:hAnsi="David"/>
          <w:rtl/>
        </w:rPr>
        <w:t>–</w:t>
      </w:r>
      <w:r>
        <w:rPr>
          <w:rFonts w:ascii="David" w:hAnsi="David" w:hint="cs"/>
          <w:rtl/>
        </w:rPr>
        <w:t xml:space="preserve"> וטענה למתחם ענישה הנע בין 15-30 חודשי מאסר. ביחס לאישום השני הודגש כי מדובר באביזרים לנשק/תחמושת (לרבות רימוני האימונים ועל כך בהמשך)</w:t>
      </w:r>
      <w:r>
        <w:rPr>
          <w:rFonts w:ascii="David" w:hAnsi="David" w:hint="cs"/>
        </w:rPr>
        <w:t xml:space="preserve"> </w:t>
      </w:r>
      <w:r>
        <w:rPr>
          <w:rFonts w:ascii="David" w:hAnsi="David" w:hint="cs"/>
          <w:rtl/>
        </w:rPr>
        <w:t xml:space="preserve">בכמות לא מבוטלת ונטען למתחם ענישה הנע בין 10-20 חודשי מאסר. ביחס לתסקיר שירות המבחן טענה המאשימה שהמלצתו קיצונית לאור כך שאינה כוללת ענישה מוחשית כלשהי וכי הנאשם יכול להמשיך את שיקומו בבית מאסר. כן הפנתה לעברו הפלילי המכביד. לאור כך ביקשה המאשימה לדחות את המלצות התסקיר ועתרה לעונש מאסר בפועל למשך 36 חודשים וענישה נלווית. </w:t>
      </w:r>
    </w:p>
    <w:p w14:paraId="5C19B577" w14:textId="77777777" w:rsidR="00B015AB" w:rsidRDefault="00B015AB" w:rsidP="00B015AB">
      <w:pPr>
        <w:pStyle w:val="a9"/>
        <w:ind w:left="0"/>
        <w:jc w:val="both"/>
        <w:rPr>
          <w:rFonts w:ascii="David" w:hAnsi="David"/>
        </w:rPr>
      </w:pPr>
    </w:p>
    <w:p w14:paraId="61537DEE"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ב"כ הנאשם עתר לקביעת מתחם ענישה אחד לשני האישומים ולחילופין טען כי באישום הראשון נע מתחם הענישה בין שישה חודשי מאסר לריצוי בעבודות שירות לבין 14 חודשי מאסר בפועל ואילו באישום השני תחילתו של המתחם במאסר מותנה. הסנגור הדגיש את תפקודו החיובי של הנאשם במאסר האחרון, את השתלבותו בהליכי הטיפול וטען כי הוא עובד לפרנסתו לשביעות רצון המעסיק (הוצג מכתב המלצה- ענ'1) וכי יש לתת משקל ממשי להמלצת שירות המבחן ולהעדיף את האפיק השיקומי. כן טען הסנגור שיש להביא בחשבון את השיהוי המשמעותי בהגשת כתב האישום (שלוש שנים וחצי). ברמה האופרטיבית עתרה ההגנה לאמץ את המלצות התסקיר ולכל היותר להורות על צו של"צ בנוסף.</w:t>
      </w:r>
    </w:p>
    <w:p w14:paraId="5B12FC49" w14:textId="77777777" w:rsidR="00B015AB" w:rsidRPr="002916E5" w:rsidRDefault="00B015AB" w:rsidP="00B015AB">
      <w:pPr>
        <w:pStyle w:val="a9"/>
        <w:rPr>
          <w:rFonts w:ascii="David" w:hAnsi="David"/>
          <w:rtl/>
        </w:rPr>
      </w:pPr>
    </w:p>
    <w:p w14:paraId="02655AC9"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הנאשם בדברו האחרון התנצל על מעשיו, סיפר על הליך הטיפול החיובי שעבר ותיאר את רצונו להמשיך בדרך זו. כן סיפר על התמדתו במקום העבודה, שיתף כי בת זוגו בהיריון וביקש הזדמנות להמשיך במסלול חיים תקין. </w:t>
      </w:r>
    </w:p>
    <w:p w14:paraId="05587178" w14:textId="77777777" w:rsidR="00B015AB" w:rsidRPr="00FC2B79" w:rsidRDefault="00B015AB" w:rsidP="00B015AB">
      <w:pPr>
        <w:pStyle w:val="a9"/>
        <w:rPr>
          <w:rFonts w:ascii="David" w:hAnsi="David"/>
          <w:rtl/>
        </w:rPr>
      </w:pPr>
    </w:p>
    <w:p w14:paraId="2D05AEA9" w14:textId="77777777" w:rsidR="00B015AB" w:rsidRDefault="00B015AB" w:rsidP="00B015AB">
      <w:pPr>
        <w:pStyle w:val="a9"/>
        <w:spacing w:line="360" w:lineRule="auto"/>
        <w:ind w:left="0"/>
        <w:jc w:val="both"/>
        <w:rPr>
          <w:rFonts w:ascii="David" w:hAnsi="David"/>
          <w:b/>
          <w:bCs/>
          <w:u w:val="single"/>
          <w:rtl/>
        </w:rPr>
      </w:pPr>
      <w:r>
        <w:rPr>
          <w:rFonts w:ascii="David" w:hAnsi="David" w:hint="cs"/>
          <w:b/>
          <w:bCs/>
          <w:u w:val="single"/>
          <w:rtl/>
        </w:rPr>
        <w:t>דיון והכרעה</w:t>
      </w:r>
    </w:p>
    <w:p w14:paraId="4E0A5E5A" w14:textId="77777777" w:rsidR="00B015AB" w:rsidRPr="00FC2B79" w:rsidRDefault="00B015AB" w:rsidP="00B015AB">
      <w:pPr>
        <w:pStyle w:val="a9"/>
        <w:spacing w:line="360" w:lineRule="auto"/>
        <w:ind w:left="0"/>
        <w:jc w:val="both"/>
        <w:rPr>
          <w:rFonts w:ascii="David" w:hAnsi="David"/>
        </w:rPr>
      </w:pPr>
      <w:r>
        <w:rPr>
          <w:rFonts w:ascii="David" w:hAnsi="David" w:hint="cs"/>
          <w:b/>
          <w:bCs/>
          <w:u w:val="single"/>
          <w:rtl/>
        </w:rPr>
        <w:t>קביעת מתחם הענישה</w:t>
      </w:r>
    </w:p>
    <w:p w14:paraId="7ED292E6" w14:textId="77777777" w:rsidR="00B015AB" w:rsidRPr="00FC2B79" w:rsidRDefault="00B015AB" w:rsidP="00B015AB">
      <w:pPr>
        <w:pStyle w:val="a9"/>
        <w:rPr>
          <w:rFonts w:ascii="David" w:hAnsi="David"/>
          <w:rtl/>
        </w:rPr>
      </w:pPr>
    </w:p>
    <w:p w14:paraId="6F5A6ECC" w14:textId="77777777" w:rsidR="00B015AB" w:rsidRDefault="00B015AB" w:rsidP="00B015AB">
      <w:pPr>
        <w:pStyle w:val="a9"/>
        <w:numPr>
          <w:ilvl w:val="0"/>
          <w:numId w:val="1"/>
        </w:numPr>
        <w:spacing w:line="360" w:lineRule="auto"/>
        <w:jc w:val="both"/>
        <w:rPr>
          <w:rFonts w:ascii="David" w:hAnsi="David"/>
        </w:rPr>
      </w:pPr>
      <w:r>
        <w:rPr>
          <w:rFonts w:ascii="David" w:hAnsi="David"/>
          <w:rtl/>
        </w:rPr>
        <w:t>לדידי יש לראות בכל אישום אירוע נפרד.</w:t>
      </w:r>
      <w:r>
        <w:rPr>
          <w:rFonts w:ascii="David" w:hAnsi="David" w:hint="cs"/>
          <w:rtl/>
        </w:rPr>
        <w:t xml:space="preserve"> הגם שקיימת סמיכות זמנים בין האירועים (הנובעת מכך שהחיפוש מושא האישום השני נבע מכך שלאחר העבירה מושא האישום הראשון המשטרה חיפשה אחר הנאשם), אין כל קשר ביניהם והם אינם מקיימים את מבחן הקשר ההדוק</w:t>
      </w:r>
      <w:r w:rsidRPr="00232FFE">
        <w:rPr>
          <w:rFonts w:ascii="David" w:hAnsi="David"/>
          <w:rtl/>
        </w:rPr>
        <w:t>.</w:t>
      </w:r>
      <w:r>
        <w:rPr>
          <w:rFonts w:ascii="David" w:hAnsi="David" w:hint="cs"/>
          <w:rtl/>
        </w:rPr>
        <w:t xml:space="preserve"> עם זאת, </w:t>
      </w:r>
      <w:r w:rsidRPr="00440F9E">
        <w:rPr>
          <w:rFonts w:ascii="David" w:hAnsi="David"/>
          <w:rtl/>
        </w:rPr>
        <w:t>בכוונתי להטיל עונש אחד בגין מכלול האירועים שכן ענישה נפרדת</w:t>
      </w:r>
      <w:r>
        <w:rPr>
          <w:rFonts w:ascii="David" w:hAnsi="David" w:hint="cs"/>
          <w:rtl/>
        </w:rPr>
        <w:t>,</w:t>
      </w:r>
      <w:r w:rsidRPr="00440F9E">
        <w:rPr>
          <w:rFonts w:ascii="David" w:hAnsi="David"/>
          <w:rtl/>
        </w:rPr>
        <w:t xml:space="preserve"> כעתירת המאשימה, נראית בעיני מלאכותית במקרה זה.</w:t>
      </w:r>
    </w:p>
    <w:p w14:paraId="7B598204" w14:textId="77777777" w:rsidR="00B015AB" w:rsidRPr="009A6CD2" w:rsidRDefault="00B015AB" w:rsidP="00B015AB">
      <w:pPr>
        <w:pStyle w:val="a9"/>
        <w:spacing w:line="360" w:lineRule="auto"/>
        <w:ind w:left="0"/>
        <w:jc w:val="both"/>
        <w:rPr>
          <w:rFonts w:ascii="David" w:hAnsi="David"/>
        </w:rPr>
      </w:pPr>
    </w:p>
    <w:p w14:paraId="33DDC1AC" w14:textId="77777777" w:rsidR="00B015AB" w:rsidRPr="009D286E" w:rsidRDefault="00B015AB" w:rsidP="00B015AB">
      <w:pPr>
        <w:pStyle w:val="a9"/>
        <w:numPr>
          <w:ilvl w:val="0"/>
          <w:numId w:val="1"/>
        </w:numPr>
        <w:spacing w:line="360" w:lineRule="auto"/>
        <w:jc w:val="both"/>
        <w:rPr>
          <w:rFonts w:ascii="David" w:hAnsi="David"/>
        </w:rPr>
      </w:pPr>
      <w:r w:rsidRPr="009D286E">
        <w:rPr>
          <w:rFonts w:ascii="David" w:hAnsi="David"/>
          <w:rtl/>
        </w:rPr>
        <w:t xml:space="preserve">פריצה </w:t>
      </w:r>
      <w:r>
        <w:rPr>
          <w:rFonts w:ascii="David" w:hAnsi="David" w:hint="cs"/>
          <w:rtl/>
        </w:rPr>
        <w:t xml:space="preserve">למבנה </w:t>
      </w:r>
      <w:r w:rsidRPr="009D286E">
        <w:rPr>
          <w:rFonts w:ascii="David" w:hAnsi="David"/>
          <w:rtl/>
        </w:rPr>
        <w:t>פוגעת בקניינם של הבעלים ובפרט כשמדובר בדירת מגורים. כמו כן – ולא אחת זהו העיקר – גורמת לפגיעה קשה בשלוות רוחו, בפרטיותו וביכולתו של קורבן העבירה לחוש בטוח בביתו-מבצרו או במקום עבודתו (</w:t>
      </w:r>
      <w:hyperlink r:id="rId22" w:history="1">
        <w:r w:rsidR="007C55CD" w:rsidRPr="007C55CD">
          <w:rPr>
            <w:rFonts w:ascii="David" w:hAnsi="David"/>
            <w:color w:val="0000FF"/>
            <w:u w:val="single"/>
            <w:rtl/>
          </w:rPr>
          <w:t>ע"פ 7453/08</w:t>
        </w:r>
      </w:hyperlink>
      <w:r w:rsidRPr="009D286E">
        <w:rPr>
          <w:rFonts w:ascii="David" w:hAnsi="David"/>
          <w:rtl/>
        </w:rPr>
        <w:t xml:space="preserve"> </w:t>
      </w:r>
      <w:r w:rsidRPr="009D286E">
        <w:rPr>
          <w:rFonts w:ascii="David" w:hAnsi="David"/>
          <w:b/>
          <w:bCs/>
          <w:rtl/>
        </w:rPr>
        <w:t>מדינת ישראל נ' אואזנה</w:t>
      </w:r>
      <w:r w:rsidRPr="009D286E">
        <w:rPr>
          <w:rFonts w:ascii="David" w:hAnsi="David"/>
          <w:rtl/>
        </w:rPr>
        <w:t xml:space="preserve"> (31.12.2008)). ראו</w:t>
      </w:r>
      <w:r>
        <w:rPr>
          <w:rFonts w:ascii="David" w:hAnsi="David" w:hint="cs"/>
          <w:rtl/>
        </w:rPr>
        <w:t xml:space="preserve"> עוד</w:t>
      </w:r>
      <w:r w:rsidRPr="009D286E">
        <w:rPr>
          <w:rFonts w:ascii="David" w:hAnsi="David"/>
          <w:rtl/>
        </w:rPr>
        <w:t xml:space="preserve">: </w:t>
      </w:r>
    </w:p>
    <w:p w14:paraId="5D5BC4D1" w14:textId="77777777" w:rsidR="00B015AB" w:rsidRPr="009A6CD2" w:rsidRDefault="00B015AB" w:rsidP="00B015AB">
      <w:pPr>
        <w:pStyle w:val="a9"/>
        <w:ind w:left="0"/>
        <w:jc w:val="both"/>
        <w:rPr>
          <w:rFonts w:ascii="David" w:hAnsi="David"/>
        </w:rPr>
      </w:pPr>
    </w:p>
    <w:p w14:paraId="249A5DE5" w14:textId="77777777" w:rsidR="00B015AB" w:rsidRDefault="00B015AB" w:rsidP="00B015AB">
      <w:pPr>
        <w:shd w:val="clear" w:color="auto" w:fill="FFFFFF"/>
        <w:overflowPunct w:val="0"/>
        <w:autoSpaceDE w:val="0"/>
        <w:autoSpaceDN w:val="0"/>
        <w:adjustRightInd w:val="0"/>
        <w:spacing w:after="120"/>
        <w:ind w:left="1440" w:right="1281"/>
        <w:contextualSpacing/>
        <w:jc w:val="both"/>
        <w:rPr>
          <w:rFonts w:ascii="Miriam" w:hAnsi="Miriam" w:cs="Miriam"/>
          <w:rtl/>
        </w:rPr>
      </w:pPr>
      <w:r>
        <w:rPr>
          <w:rFonts w:ascii="Miriam" w:hAnsi="Miriam" w:cs="Miriam"/>
          <w:rtl/>
        </w:rPr>
        <w:t>"עבירת ההתפרצות מערערת את תחושת הביטחון האישי של כל אדם, כאשר הפורץ נכנס בעזות מצח לדירה שאינה שלו, במטרה לבצע עבירה. באותה העת, קניינו, פרטיותו וכבודו של בעל הדירה נפגעים, כאשר הוא נוכח לדעת כי אפילו ביתו – אינו מבצרו ... יודגש, עבירת ההתפרצות למקום מגורים אינה עבירת "רכוש" גרידא – אף שגם בכך אין להקל ראש, כי אם פגיעה בלב חירותו של כל אדם ואזרח הנגרמת כאשר אדם זר חודר ברגל גסה לדל"ת אמותיו. מאותה העת, חרדה אוחזת בבעל הדירה העולה על יצועו, ביודעו כי אף בביתו שלו, בחדרו ובמיטתו – אינו מוגן. במקרים אלו נדרשת ענישה הולמת ומרתיעה בדמות עונש מאסר בפועל מאחורי סורג ובריח, נוכח הפשיעה הגואה ברחובות ישראל בכלל, ובאזור הנגב בפרט. כך נדרש כדי להגביר את תחושת הביטחון במרחב הציבורי והאישי". (</w:t>
      </w:r>
      <w:hyperlink r:id="rId23" w:history="1">
        <w:r w:rsidR="007C55CD" w:rsidRPr="007C55CD">
          <w:rPr>
            <w:rFonts w:ascii="David" w:hAnsi="David"/>
            <w:color w:val="0000FF"/>
            <w:u w:val="single"/>
            <w:rtl/>
          </w:rPr>
          <w:t>רע"פ 4789/22</w:t>
        </w:r>
      </w:hyperlink>
      <w:r>
        <w:rPr>
          <w:rFonts w:ascii="David" w:hAnsi="David"/>
          <w:rtl/>
        </w:rPr>
        <w:t xml:space="preserve"> </w:t>
      </w:r>
      <w:r>
        <w:rPr>
          <w:rFonts w:ascii="David" w:hAnsi="David"/>
          <w:b/>
          <w:bCs/>
          <w:rtl/>
        </w:rPr>
        <w:t>פלוני נ' מדינת ישראל</w:t>
      </w:r>
      <w:r>
        <w:rPr>
          <w:rFonts w:ascii="David" w:hAnsi="David"/>
          <w:rtl/>
        </w:rPr>
        <w:t xml:space="preserve"> (20.7.2022)).</w:t>
      </w:r>
    </w:p>
    <w:p w14:paraId="5110D71B" w14:textId="77777777" w:rsidR="00B015AB" w:rsidRDefault="00B015AB" w:rsidP="00B015AB">
      <w:pPr>
        <w:shd w:val="clear" w:color="auto" w:fill="FFFFFF"/>
        <w:overflowPunct w:val="0"/>
        <w:autoSpaceDE w:val="0"/>
        <w:autoSpaceDN w:val="0"/>
        <w:adjustRightInd w:val="0"/>
        <w:spacing w:after="120"/>
        <w:ind w:left="1440" w:right="1281"/>
        <w:contextualSpacing/>
        <w:jc w:val="both"/>
        <w:rPr>
          <w:rFonts w:ascii="Miriam" w:hAnsi="Miriam" w:cs="Miriam"/>
          <w:rtl/>
        </w:rPr>
      </w:pPr>
    </w:p>
    <w:p w14:paraId="0E191A80"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ביחס לנסיבות ביצוע העבירות אציין כי מדובר בהתפרצות לדירת מגורים של אישה בת 90. אכן, אין ראיות על כך שהנאשם היה מודע לנסיבה זו ועדין אין להתעלם מכך במסגרת הערכת חומרת העבירה. הנאשם ביצע את העבירה עם קטין ועל רקע הפרש הגילאים המשמעותי שבין השניים, הוא שהיה אפוא הגורם הדומיננטי באירוע. בעת ההתפרצות התרחש מפגש עם המטפלת של המתלוננת הקשישה. השניים אמנם לא פגעו בה, אלא נמלטו, אך המפגש ממחיש את חומרתה של עבירה זו והסיכון שבמפגש מבעית של בעל הדירה עם הפורצים. הנאשם ושותפו לא גנבו רכוש מהדירה למעט מכשיר הקלטה אשר נועד למעשה להעלים ראיות (ומכאן העבירה של שיבוש הליכי משפט).</w:t>
      </w:r>
      <w:r>
        <w:rPr>
          <w:rFonts w:ascii="David" w:hAnsi="David" w:hint="cs"/>
        </w:rPr>
        <w:t xml:space="preserve"> </w:t>
      </w:r>
    </w:p>
    <w:p w14:paraId="741A655B" w14:textId="77777777" w:rsidR="00B015AB" w:rsidRPr="00365AAE" w:rsidRDefault="00B015AB" w:rsidP="00B015AB">
      <w:pPr>
        <w:pStyle w:val="a9"/>
        <w:ind w:left="0"/>
        <w:jc w:val="both"/>
        <w:rPr>
          <w:rFonts w:ascii="David" w:hAnsi="David"/>
        </w:rPr>
      </w:pPr>
    </w:p>
    <w:p w14:paraId="33AF517D" w14:textId="77777777" w:rsidR="00B015AB" w:rsidRPr="00A72476" w:rsidRDefault="00B015AB" w:rsidP="00B015AB">
      <w:pPr>
        <w:pStyle w:val="a9"/>
        <w:numPr>
          <w:ilvl w:val="0"/>
          <w:numId w:val="1"/>
        </w:numPr>
        <w:spacing w:line="360" w:lineRule="auto"/>
        <w:jc w:val="both"/>
        <w:rPr>
          <w:rFonts w:ascii="David" w:hAnsi="David"/>
        </w:rPr>
      </w:pPr>
      <w:r>
        <w:rPr>
          <w:rFonts w:ascii="David" w:hAnsi="David" w:hint="cs"/>
          <w:rtl/>
        </w:rPr>
        <w:t xml:space="preserve">ביחס לעבירת החזקת התחמושת אזי זו </w:t>
      </w:r>
      <w:r w:rsidRPr="00CE7070">
        <w:rPr>
          <w:rFonts w:ascii="David" w:hAnsi="David"/>
          <w:rtl/>
        </w:rPr>
        <w:t>פוגעת בערך המוגן של קדושת החיים והצורך בשמירה על הסדר הציבורי. בהקשר זה אפנה ל</w:t>
      </w:r>
      <w:hyperlink r:id="rId24" w:history="1">
        <w:r w:rsidR="007C55CD" w:rsidRPr="007C55CD">
          <w:rPr>
            <w:rFonts w:ascii="David" w:hAnsi="David"/>
            <w:color w:val="0000FF"/>
            <w:u w:val="single"/>
            <w:rtl/>
          </w:rPr>
          <w:t>ע"פ 309/22</w:t>
        </w:r>
      </w:hyperlink>
      <w:r w:rsidRPr="00CE7070">
        <w:rPr>
          <w:rFonts w:ascii="David" w:hAnsi="David"/>
          <w:rtl/>
        </w:rPr>
        <w:t xml:space="preserve"> </w:t>
      </w:r>
      <w:r w:rsidRPr="00CE7070">
        <w:rPr>
          <w:rFonts w:ascii="David" w:hAnsi="David"/>
          <w:b/>
          <w:bCs/>
          <w:rtl/>
        </w:rPr>
        <w:t>מדינת ישראל נ' חאמד ביאדסה</w:t>
      </w:r>
      <w:r w:rsidRPr="00CE7070">
        <w:rPr>
          <w:rFonts w:ascii="David" w:hAnsi="David"/>
          <w:rtl/>
        </w:rPr>
        <w:t xml:space="preserve"> (10.5.2022), בו צוין כי </w:t>
      </w:r>
      <w:r w:rsidRPr="00CE7070">
        <w:rPr>
          <w:rFonts w:ascii="Miriam" w:hAnsi="Miriam" w:cs="Miriam"/>
          <w:rtl/>
        </w:rPr>
        <w:t>"ביסוד עבירות אלו עומדת פגיעה בחיי האדם ובשלמות גופו, כמו גם בביטחון הציבור ובסדר הציבורי בכללותו [..] עבירות אלו חמורות במיוחד, בין היתר משום שהן עשויות לשמש בסיס לביצוע פעילות עבריינית או פעילות טרור"</w:t>
      </w:r>
      <w:r w:rsidRPr="00CE7070">
        <w:rPr>
          <w:rFonts w:ascii="David" w:hAnsi="David"/>
          <w:rtl/>
        </w:rPr>
        <w:t xml:space="preserve">. בפסיקה צוין כי </w:t>
      </w:r>
      <w:r w:rsidRPr="00CE7070">
        <w:rPr>
          <w:rFonts w:ascii="Miriam" w:hAnsi="Miriam" w:cs="Miriam"/>
          <w:rtl/>
        </w:rPr>
        <w:t xml:space="preserve">"מידת החומרה מושפעת מסוג התחמושת שהוחזקה, כמותה, נסיבות החזקתה, נסיבות השגתה, המטרה לשמה הוחזקה התחמושת, זהות המחזיק בתחמושת, אורחותיו ועברו הפלילי, ועוד" </w:t>
      </w:r>
      <w:r w:rsidRPr="00CE7070">
        <w:rPr>
          <w:rFonts w:ascii="David" w:hAnsi="David"/>
          <w:rtl/>
        </w:rPr>
        <w:t>(</w:t>
      </w:r>
      <w:hyperlink r:id="rId25" w:history="1">
        <w:r w:rsidR="007C55CD" w:rsidRPr="007C55CD">
          <w:rPr>
            <w:rFonts w:ascii="David" w:hAnsi="David"/>
            <w:color w:val="0000FF"/>
            <w:u w:val="single"/>
            <w:rtl/>
          </w:rPr>
          <w:t>עפ"ג 9036-02-23</w:t>
        </w:r>
      </w:hyperlink>
      <w:r w:rsidRPr="00CE7070">
        <w:rPr>
          <w:rFonts w:ascii="David" w:hAnsi="David"/>
          <w:rtl/>
        </w:rPr>
        <w:t xml:space="preserve"> </w:t>
      </w:r>
      <w:r w:rsidRPr="00CE7070">
        <w:rPr>
          <w:rFonts w:ascii="David" w:hAnsi="David"/>
          <w:b/>
          <w:bCs/>
          <w:rtl/>
        </w:rPr>
        <w:t>אסולין נ' מדינת ישראל</w:t>
      </w:r>
      <w:r w:rsidRPr="00CE7070">
        <w:rPr>
          <w:rFonts w:ascii="David" w:hAnsi="David"/>
          <w:rtl/>
        </w:rPr>
        <w:t xml:space="preserve"> (15.3.2023)). </w:t>
      </w:r>
      <w:r>
        <w:rPr>
          <w:rFonts w:ascii="David" w:hAnsi="David" w:hint="cs"/>
          <w:rtl/>
        </w:rPr>
        <w:t xml:space="preserve">עוד יצוין כי חומרת החזקת תחמושת נובעת מכך </w:t>
      </w:r>
      <w:r w:rsidRPr="00A72476">
        <w:rPr>
          <w:rFonts w:ascii="David" w:hAnsi="David"/>
          <w:rtl/>
        </w:rPr>
        <w:t>ש</w:t>
      </w:r>
      <w:r w:rsidRPr="00A72476">
        <w:rPr>
          <w:rFonts w:ascii="Miriam" w:hAnsi="Miriam" w:cs="Miriam"/>
          <w:rtl/>
        </w:rPr>
        <w:t>"טבעם של דברים הוא, כי התחמושת היא בבחינת 'תנאי בלעדיו אין' לביצוע ירי, ובסופו של יום, נשקים ותחמושת שהושגו שלא כדין מובילים לפגיעה בחיי אדם ולא פעם בקורבנות תמימים"</w:t>
      </w:r>
      <w:r w:rsidRPr="00A72476">
        <w:rPr>
          <w:rFonts w:ascii="David" w:hAnsi="David"/>
          <w:rtl/>
        </w:rPr>
        <w:t xml:space="preserve"> (</w:t>
      </w:r>
      <w:hyperlink r:id="rId26" w:history="1">
        <w:r w:rsidR="007C55CD" w:rsidRPr="007C55CD">
          <w:rPr>
            <w:rFonts w:ascii="David" w:hAnsi="David"/>
            <w:color w:val="0000FF"/>
            <w:u w:val="single"/>
            <w:rtl/>
          </w:rPr>
          <w:t>ע"פ 587/22</w:t>
        </w:r>
      </w:hyperlink>
      <w:r w:rsidRPr="00A72476">
        <w:rPr>
          <w:rFonts w:ascii="David" w:hAnsi="David"/>
          <w:rtl/>
        </w:rPr>
        <w:t xml:space="preserve"> </w:t>
      </w:r>
      <w:r w:rsidRPr="00A72476">
        <w:rPr>
          <w:rFonts w:ascii="David" w:hAnsi="David"/>
          <w:b/>
          <w:bCs/>
          <w:rtl/>
        </w:rPr>
        <w:t>עדאב אבו נאעסה נ' מדינת ישראל</w:t>
      </w:r>
      <w:r w:rsidRPr="00A72476">
        <w:rPr>
          <w:rFonts w:ascii="David" w:hAnsi="David"/>
          <w:rtl/>
        </w:rPr>
        <w:t xml:space="preserve"> (22.5.2022)).</w:t>
      </w:r>
      <w:r w:rsidRPr="00A72476">
        <w:rPr>
          <w:rFonts w:ascii="David" w:hAnsi="David" w:hint="cs"/>
          <w:rtl/>
        </w:rPr>
        <w:t xml:space="preserve"> </w:t>
      </w:r>
      <w:r w:rsidRPr="00A72476">
        <w:rPr>
          <w:rFonts w:ascii="David" w:hAnsi="David"/>
          <w:rtl/>
        </w:rPr>
        <w:t xml:space="preserve">במקרה זה הפגיעה בערכים המוגנים </w:t>
      </w:r>
      <w:r w:rsidRPr="00A72476">
        <w:rPr>
          <w:rFonts w:ascii="David" w:hAnsi="David" w:hint="cs"/>
          <w:rtl/>
        </w:rPr>
        <w:t xml:space="preserve">אינה קלה </w:t>
      </w:r>
      <w:r w:rsidRPr="00A72476">
        <w:rPr>
          <w:rFonts w:ascii="David" w:hAnsi="David"/>
          <w:rtl/>
        </w:rPr>
        <w:t xml:space="preserve">וזאת לאור סוג התחמושת והכמות </w:t>
      </w:r>
      <w:r w:rsidRPr="00A72476">
        <w:rPr>
          <w:rFonts w:ascii="David" w:hAnsi="David" w:hint="cs"/>
          <w:rtl/>
        </w:rPr>
        <w:t xml:space="preserve">שאינה מבוטלת (ולשאלת מהות התחמושת אתייחס בהמשך). </w:t>
      </w:r>
    </w:p>
    <w:p w14:paraId="67D604F2" w14:textId="77777777" w:rsidR="00B015AB" w:rsidRDefault="00B015AB" w:rsidP="00B015AB">
      <w:pPr>
        <w:pStyle w:val="a9"/>
        <w:numPr>
          <w:ilvl w:val="0"/>
          <w:numId w:val="1"/>
        </w:numPr>
        <w:spacing w:line="360" w:lineRule="auto"/>
        <w:jc w:val="both"/>
        <w:rPr>
          <w:rFonts w:ascii="David" w:hAnsi="David"/>
          <w:rtl/>
        </w:rPr>
      </w:pPr>
      <w:r>
        <w:rPr>
          <w:rFonts w:ascii="David" w:hAnsi="David" w:hint="cs"/>
          <w:rtl/>
        </w:rPr>
        <w:t xml:space="preserve">ביחס לנסיבות ביצוע העבירות בנשק אציין כי מדובר בהחזקת ארבע מחסניות מלאות בכדורי אקדח וכן 168 כדורי אקדח נוספים (הערה: בכתב האישום צוין שמדובר בכדורים בקוטר 5.56 מ"מ ולכן ספק אם אכן מדובר בכדורי אקדח). לכך יש להוסיף את שני רימוני האימונים.  בעניין זה ראיתי להעיר כי המאשימה כינתה את הכדורים, המחסניות ורימוני האימונים "תחמושת" (סעיף 1 לאישום 2) ולא הפרידה בין תחמושת לבין אביזר (כאשר המחסניות הן בבירור אביזר ולא תחמושת). ביחס לרימוני האימונים לדידי נכון הייתה עושה המאשימה לו פירטה בכתב האישום מהו רימון אימונים. מדובר בפריט שמהותו אינה בבחינת ידיעה שיפוטית והוא אף אינו "מככב" תדיר בכתבי אישום. ב"כ המאשימה השיב לשאלתי כי </w:t>
      </w:r>
      <w:r w:rsidRPr="004C7FAB">
        <w:rPr>
          <w:rFonts w:ascii="Miriam" w:hAnsi="Miriam" w:cs="Miriam"/>
          <w:rtl/>
        </w:rPr>
        <w:t>"אני מבין את רימון האימונים כך שניתן למלא אותו ולהפוך אותו לרימון שמיש"</w:t>
      </w:r>
      <w:r>
        <w:rPr>
          <w:rFonts w:ascii="David" w:hAnsi="David" w:hint="cs"/>
          <w:rtl/>
        </w:rPr>
        <w:t>. מכך ניתן ללמוד שאף המאשימה אינה יודעת מהן תכונותיו של רימון אימונים (אלא משערת) ובכל מקרה דומה שהיא סבורה שמדובר באביזר (וברי שלא טענה שמדובר בתחמושת). חוסר בהירות זה מקשה על הערכת טיבו של חפץ זה, על מסוכנותו ועל הערכים המוגנים שנפגעו בשל החזקתו והוא פועל לחובת המאשימה. בצד דברים אלו אציין שכתב האישום שותק ביחס לשאלה לשם מה החזיק הנאשם בתחמושת ובאביזרים ומשכך שאין למצוא בעובדות שהוכחו נסיבה מקלה ביחס לסיבת ההחזקה (ומנגד גם לא נסיבה מחמירה). כן נמלט הנאשם מהשוטרים למשך תקופה ארוכה.</w:t>
      </w:r>
    </w:p>
    <w:p w14:paraId="18889E45" w14:textId="77777777" w:rsidR="00B015AB" w:rsidRDefault="00B015AB" w:rsidP="00B015AB">
      <w:pPr>
        <w:pStyle w:val="a9"/>
        <w:ind w:left="0"/>
        <w:jc w:val="both"/>
        <w:rPr>
          <w:rFonts w:ascii="David" w:hAnsi="David"/>
        </w:rPr>
      </w:pPr>
    </w:p>
    <w:p w14:paraId="4C2C7530" w14:textId="77777777" w:rsidR="00B015AB" w:rsidRDefault="00B015AB" w:rsidP="00B015AB">
      <w:pPr>
        <w:pStyle w:val="a9"/>
        <w:numPr>
          <w:ilvl w:val="0"/>
          <w:numId w:val="1"/>
        </w:numPr>
        <w:spacing w:line="360" w:lineRule="auto"/>
        <w:jc w:val="both"/>
        <w:rPr>
          <w:rFonts w:ascii="David" w:hAnsi="David"/>
        </w:rPr>
      </w:pPr>
      <w:r w:rsidRPr="007F753E">
        <w:rPr>
          <w:rFonts w:ascii="David" w:hAnsi="David" w:hint="cs"/>
          <w:rtl/>
        </w:rPr>
        <w:t xml:space="preserve">לצורך בחינת מדיניות הענישה בעבירות הרכוש שביצע הנאשם (פריצה לדירה וגניבה) </w:t>
      </w:r>
      <w:r w:rsidRPr="007F753E">
        <w:rPr>
          <w:rFonts w:ascii="David" w:hAnsi="David"/>
          <w:rtl/>
        </w:rPr>
        <w:t xml:space="preserve">אפנה לפסקי הדין הבאים, בשינויים המחויבים: </w:t>
      </w:r>
      <w:hyperlink r:id="rId27" w:history="1">
        <w:r w:rsidR="007C55CD" w:rsidRPr="007C55CD">
          <w:rPr>
            <w:rFonts w:ascii="David" w:hAnsi="David"/>
            <w:color w:val="0000FF"/>
            <w:u w:val="single"/>
            <w:rtl/>
          </w:rPr>
          <w:t>רע"פ 2251/23</w:t>
        </w:r>
      </w:hyperlink>
      <w:r w:rsidRPr="007F753E">
        <w:rPr>
          <w:rFonts w:ascii="David" w:hAnsi="David"/>
          <w:rtl/>
        </w:rPr>
        <w:t xml:space="preserve"> </w:t>
      </w:r>
      <w:r w:rsidRPr="007F753E">
        <w:rPr>
          <w:rFonts w:ascii="David" w:hAnsi="David"/>
          <w:b/>
          <w:bCs/>
          <w:rtl/>
        </w:rPr>
        <w:t>אחמד בשארה נ' מדינת ישראל</w:t>
      </w:r>
      <w:r w:rsidRPr="007F753E">
        <w:rPr>
          <w:rFonts w:ascii="David" w:hAnsi="David"/>
          <w:rtl/>
        </w:rPr>
        <w:t xml:space="preserve"> (9.4.2023), בו נידון נאשם שפרץ לדירה, גרם בה נזק, גנב ממנה רכוש רב וכאשר נתקל בבעל הדירה דחפו. באירוע נוסף ברח משוטרים שניסו לעוצרו. על הנאשם הוטל עונש כולל של 18 חודשי מאסר; </w:t>
      </w:r>
      <w:hyperlink r:id="rId28" w:history="1">
        <w:r w:rsidR="007C55CD" w:rsidRPr="007C55CD">
          <w:rPr>
            <w:rFonts w:ascii="David" w:hAnsi="David"/>
            <w:color w:val="0000FF"/>
            <w:u w:val="single"/>
            <w:rtl/>
          </w:rPr>
          <w:t>רע"פ 4789/22</w:t>
        </w:r>
      </w:hyperlink>
      <w:r w:rsidRPr="007F753E">
        <w:rPr>
          <w:rFonts w:ascii="David" w:hAnsi="David"/>
          <w:rtl/>
        </w:rPr>
        <w:t xml:space="preserve"> </w:t>
      </w:r>
      <w:r w:rsidRPr="007F753E">
        <w:rPr>
          <w:rFonts w:ascii="David" w:hAnsi="David"/>
          <w:b/>
          <w:bCs/>
          <w:rtl/>
        </w:rPr>
        <w:t>פלוני נ' מדינת ישראל</w:t>
      </w:r>
      <w:r w:rsidRPr="007F753E">
        <w:rPr>
          <w:rFonts w:ascii="David" w:hAnsi="David"/>
          <w:rtl/>
        </w:rPr>
        <w:t xml:space="preserve"> (20.7.2022), בו נידון עניינו של נאשם שהורשע בעבירות התפרצות לדירה וגניבה ונגזרו עליו 14 חודשי מאסר בפועל ועונשים נלווים. בשעת לילה מאוחרת התפרץ הנאשם לבית מגורים, גנב מספר פריטים ביניהם טלפון נייד ושעונים ונמלט מהמקום לאחר שהמתלוננת התעוררה משנתה, הבחינה בו והחלה לצעוק. בית משפט השלום קבע כי המתחם נע בין 13 חודשי מאסר בפועל ועד 29 חודשי מאסר ובית המשפט העליון הדגיש כי העונש הולם את חומרת המעשים וכי </w:t>
      </w:r>
      <w:r w:rsidRPr="007F753E">
        <w:rPr>
          <w:rFonts w:ascii="Miriam" w:hAnsi="Miriam" w:cs="Miriam"/>
          <w:rtl/>
        </w:rPr>
        <w:t>"אף לו היה נגזר על המבקש עונש חמור יותר – לא היה מקום להקל בעונשו"</w:t>
      </w:r>
      <w:r w:rsidRPr="007F753E">
        <w:rPr>
          <w:rFonts w:ascii="David" w:hAnsi="David"/>
          <w:rtl/>
        </w:rPr>
        <w:t>;</w:t>
      </w:r>
      <w:r w:rsidRPr="007F753E">
        <w:rPr>
          <w:rFonts w:ascii="David" w:hAnsi="David" w:hint="cs"/>
          <w:rtl/>
        </w:rPr>
        <w:t xml:space="preserve"> </w:t>
      </w:r>
      <w:hyperlink r:id="rId29" w:history="1">
        <w:r w:rsidR="007C55CD" w:rsidRPr="007C55CD">
          <w:rPr>
            <w:rFonts w:ascii="David" w:hAnsi="David"/>
            <w:color w:val="0000FF"/>
            <w:u w:val="single"/>
            <w:rtl/>
          </w:rPr>
          <w:t>ת"פ 22599-08-23</w:t>
        </w:r>
      </w:hyperlink>
      <w:r w:rsidRPr="007F753E">
        <w:rPr>
          <w:rFonts w:ascii="David" w:hAnsi="David"/>
          <w:rtl/>
        </w:rPr>
        <w:t xml:space="preserve"> </w:t>
      </w:r>
      <w:r w:rsidRPr="007F753E">
        <w:rPr>
          <w:rFonts w:ascii="David" w:hAnsi="David"/>
          <w:b/>
          <w:bCs/>
          <w:rtl/>
        </w:rPr>
        <w:t>מדינת ישראל נ' דוד אלבס</w:t>
      </w:r>
      <w:r w:rsidRPr="007F753E">
        <w:rPr>
          <w:rFonts w:ascii="David" w:hAnsi="David"/>
          <w:rtl/>
        </w:rPr>
        <w:t xml:space="preserve"> (18.12.2023), בו הוטלו על נאשם 14 חודשי מאסר בפועל ועונשים נלווים בגין התפרצות לדירת מגורים וגניבה. הנאשם התפרץ לבית המתלונן וגנב מתוכו ארנק השייך לבתו המנוחה ובו 1,500 ₪ ונשאר בבית המתלונן כשעה וחצי, עד שזה הקיץ משנתו; </w:t>
      </w:r>
      <w:hyperlink r:id="rId30" w:history="1">
        <w:r w:rsidR="007C55CD" w:rsidRPr="007C55CD">
          <w:rPr>
            <w:rFonts w:ascii="David" w:hAnsi="David"/>
            <w:color w:val="0000FF"/>
            <w:u w:val="single"/>
            <w:rtl/>
          </w:rPr>
          <w:t>ת"פ 49511-03-24</w:t>
        </w:r>
      </w:hyperlink>
      <w:r w:rsidRPr="007F753E">
        <w:rPr>
          <w:rFonts w:ascii="David" w:hAnsi="David"/>
          <w:rtl/>
        </w:rPr>
        <w:t xml:space="preserve"> </w:t>
      </w:r>
      <w:r w:rsidRPr="007F753E">
        <w:rPr>
          <w:rFonts w:ascii="David" w:hAnsi="David"/>
          <w:b/>
          <w:bCs/>
          <w:rtl/>
        </w:rPr>
        <w:t>מדינת ישראל נ' כפיר כהן</w:t>
      </w:r>
      <w:r w:rsidRPr="007F753E">
        <w:rPr>
          <w:rFonts w:ascii="David" w:hAnsi="David"/>
          <w:rtl/>
        </w:rPr>
        <w:t xml:space="preserve"> (28.10.2024), בו נדון נאשם ל-14 חודשים מאסר בגין פריצה לדירה בדרך של כניסה מחלון שהיה סגור אך לא נעול וגניבת רכוש אישי לרבות כרטיס חיוב בו ניסה לעשות שימוש. </w:t>
      </w:r>
    </w:p>
    <w:p w14:paraId="60988E26" w14:textId="77777777" w:rsidR="00B015AB" w:rsidRDefault="00B015AB" w:rsidP="00B015AB">
      <w:pPr>
        <w:pStyle w:val="a9"/>
        <w:spacing w:line="360" w:lineRule="auto"/>
        <w:ind w:left="0"/>
        <w:jc w:val="both"/>
        <w:rPr>
          <w:rFonts w:ascii="David" w:hAnsi="David"/>
        </w:rPr>
      </w:pPr>
    </w:p>
    <w:p w14:paraId="57922E3B" w14:textId="77777777" w:rsidR="00B015AB" w:rsidRPr="00A72476" w:rsidRDefault="00B015AB" w:rsidP="00B015AB">
      <w:pPr>
        <w:pStyle w:val="a9"/>
        <w:numPr>
          <w:ilvl w:val="0"/>
          <w:numId w:val="1"/>
        </w:numPr>
        <w:spacing w:line="360" w:lineRule="auto"/>
        <w:jc w:val="both"/>
        <w:rPr>
          <w:rFonts w:ascii="David" w:hAnsi="David"/>
        </w:rPr>
      </w:pPr>
      <w:r w:rsidRPr="003F0434">
        <w:rPr>
          <w:rFonts w:ascii="David" w:hAnsi="David" w:hint="cs"/>
          <w:rtl/>
        </w:rPr>
        <w:t xml:space="preserve">ביחס לעבירת הנשק </w:t>
      </w:r>
      <w:r>
        <w:rPr>
          <w:rFonts w:ascii="David" w:hAnsi="David" w:hint="cs"/>
          <w:rtl/>
        </w:rPr>
        <w:t xml:space="preserve">אציין כי </w:t>
      </w:r>
      <w:r w:rsidRPr="00A72476">
        <w:rPr>
          <w:rFonts w:ascii="David" w:hAnsi="David"/>
          <w:rtl/>
        </w:rPr>
        <w:t>מדיניות הענישה הוחמרה בשנים האחרונות</w:t>
      </w:r>
      <w:r w:rsidRPr="00A72476">
        <w:rPr>
          <w:rFonts w:ascii="David" w:hAnsi="David" w:hint="cs"/>
          <w:rtl/>
        </w:rPr>
        <w:t>, אך יש להביא בחשבון שמדובר בעבירות שבוצעו בחודש 3/20</w:t>
      </w:r>
      <w:r w:rsidRPr="00A72476">
        <w:rPr>
          <w:rFonts w:ascii="David" w:hAnsi="David"/>
          <w:rtl/>
        </w:rPr>
        <w:t>.</w:t>
      </w:r>
      <w:r w:rsidRPr="00A72476">
        <w:rPr>
          <w:rFonts w:ascii="David" w:hAnsi="David" w:hint="cs"/>
          <w:rtl/>
        </w:rPr>
        <w:t xml:space="preserve"> </w:t>
      </w:r>
      <w:r w:rsidRPr="00A72476">
        <w:rPr>
          <w:rFonts w:ascii="David" w:hAnsi="David"/>
          <w:rtl/>
        </w:rPr>
        <w:t>בית המשפט העליון קבע בשורה ארוכה של מקרים כי על בתי המשפט לתרום תרומתם בביעור עבירות הנשק וכי יש להחמיר בענישה במקרים אלו</w:t>
      </w:r>
      <w:r w:rsidRPr="00A72476">
        <w:rPr>
          <w:rFonts w:ascii="David" w:hAnsi="David" w:hint="cs"/>
          <w:rtl/>
        </w:rPr>
        <w:t xml:space="preserve"> (ראו למשל: </w:t>
      </w:r>
      <w:hyperlink r:id="rId31" w:history="1">
        <w:r w:rsidR="007C55CD" w:rsidRPr="007C55CD">
          <w:rPr>
            <w:rFonts w:ascii="David" w:hAnsi="David"/>
            <w:color w:val="0000FF"/>
            <w:u w:val="single"/>
            <w:rtl/>
          </w:rPr>
          <w:t>ע"פ 5681/23</w:t>
        </w:r>
      </w:hyperlink>
      <w:r w:rsidRPr="00A72476">
        <w:rPr>
          <w:rFonts w:ascii="David" w:hAnsi="David"/>
          <w:rtl/>
        </w:rPr>
        <w:t xml:space="preserve"> </w:t>
      </w:r>
      <w:r w:rsidRPr="00A72476">
        <w:rPr>
          <w:rFonts w:ascii="David" w:hAnsi="David"/>
          <w:b/>
          <w:bCs/>
          <w:rtl/>
        </w:rPr>
        <w:t>נח חווא נ' מדינת ישראל</w:t>
      </w:r>
      <w:r w:rsidRPr="00A72476">
        <w:rPr>
          <w:rFonts w:ascii="David" w:hAnsi="David"/>
          <w:rtl/>
        </w:rPr>
        <w:t xml:space="preserve"> (20.12.2023)</w:t>
      </w:r>
      <w:r w:rsidRPr="00A72476">
        <w:rPr>
          <w:rFonts w:ascii="David" w:hAnsi="David" w:hint="cs"/>
          <w:rtl/>
        </w:rPr>
        <w:t xml:space="preserve">; </w:t>
      </w:r>
      <w:hyperlink r:id="rId32" w:history="1">
        <w:r w:rsidR="007C55CD" w:rsidRPr="007C55CD">
          <w:rPr>
            <w:rFonts w:ascii="David" w:hAnsi="David"/>
            <w:color w:val="0000FF"/>
            <w:u w:val="single"/>
            <w:rtl/>
          </w:rPr>
          <w:t>ע"פ 2251/21</w:t>
        </w:r>
      </w:hyperlink>
      <w:r w:rsidRPr="00A72476">
        <w:rPr>
          <w:rFonts w:ascii="David" w:hAnsi="David"/>
          <w:rtl/>
        </w:rPr>
        <w:t xml:space="preserve"> ‏</w:t>
      </w:r>
      <w:r w:rsidRPr="00A72476">
        <w:rPr>
          <w:rFonts w:ascii="David" w:hAnsi="David"/>
          <w:b/>
          <w:bCs/>
          <w:rtl/>
        </w:rPr>
        <w:t>אנואר אבו עראר נ' מדינת ישראל</w:t>
      </w:r>
      <w:r w:rsidRPr="00A72476">
        <w:rPr>
          <w:rFonts w:ascii="David" w:hAnsi="David"/>
          <w:rtl/>
        </w:rPr>
        <w:t xml:space="preserve"> (15.12.2021); </w:t>
      </w:r>
      <w:hyperlink r:id="rId33" w:history="1">
        <w:r w:rsidR="007C55CD" w:rsidRPr="007C55CD">
          <w:rPr>
            <w:rFonts w:ascii="David" w:hAnsi="David"/>
            <w:color w:val="0000FF"/>
            <w:u w:val="single"/>
            <w:rtl/>
          </w:rPr>
          <w:t>ע"פ 4456/21</w:t>
        </w:r>
      </w:hyperlink>
      <w:r w:rsidRPr="00A72476">
        <w:rPr>
          <w:rFonts w:ascii="David" w:hAnsi="David"/>
          <w:rtl/>
        </w:rPr>
        <w:t xml:space="preserve"> ‏מ</w:t>
      </w:r>
      <w:r w:rsidRPr="00A72476">
        <w:rPr>
          <w:rFonts w:ascii="David" w:hAnsi="David"/>
          <w:b/>
          <w:bCs/>
          <w:rtl/>
        </w:rPr>
        <w:t>דינת ישראל נ' מוחמד אבו עבסה</w:t>
      </w:r>
      <w:r w:rsidRPr="00A72476">
        <w:rPr>
          <w:rFonts w:ascii="David" w:hAnsi="David"/>
          <w:rtl/>
        </w:rPr>
        <w:t xml:space="preserve">, פסקה 15 (23.1.2022); </w:t>
      </w:r>
      <w:hyperlink r:id="rId34" w:history="1">
        <w:r w:rsidR="007C55CD" w:rsidRPr="007C55CD">
          <w:rPr>
            <w:rFonts w:ascii="David" w:hAnsi="David"/>
            <w:color w:val="0000FF"/>
            <w:u w:val="single"/>
            <w:rtl/>
          </w:rPr>
          <w:t>רע"פ 3619/21</w:t>
        </w:r>
      </w:hyperlink>
      <w:r w:rsidRPr="00A72476">
        <w:rPr>
          <w:rFonts w:ascii="David" w:hAnsi="David"/>
          <w:rtl/>
        </w:rPr>
        <w:t xml:space="preserve"> </w:t>
      </w:r>
      <w:r w:rsidRPr="00A72476">
        <w:rPr>
          <w:rFonts w:ascii="David" w:hAnsi="David"/>
          <w:b/>
          <w:bCs/>
          <w:rtl/>
        </w:rPr>
        <w:t>אבו הלאל נ' מדינת ישראל</w:t>
      </w:r>
      <w:r w:rsidRPr="00A72476">
        <w:rPr>
          <w:rFonts w:ascii="David" w:hAnsi="David"/>
          <w:rtl/>
        </w:rPr>
        <w:t xml:space="preserve"> (26.5.2021))).</w:t>
      </w:r>
      <w:r w:rsidRPr="00A72476">
        <w:rPr>
          <w:rFonts w:ascii="David" w:hAnsi="David" w:hint="cs"/>
          <w:rtl/>
        </w:rPr>
        <w:t xml:space="preserve"> </w:t>
      </w:r>
    </w:p>
    <w:p w14:paraId="1E0472E4" w14:textId="77777777" w:rsidR="00B015AB" w:rsidRPr="00A72476" w:rsidRDefault="00B015AB" w:rsidP="00B015AB">
      <w:pPr>
        <w:pStyle w:val="a9"/>
        <w:rPr>
          <w:rFonts w:ascii="David" w:hAnsi="David"/>
          <w:rtl/>
        </w:rPr>
      </w:pPr>
    </w:p>
    <w:p w14:paraId="2BB8460F" w14:textId="77777777" w:rsidR="00B015AB" w:rsidRPr="003F0434" w:rsidRDefault="00B015AB" w:rsidP="00B015AB">
      <w:pPr>
        <w:pStyle w:val="a9"/>
        <w:numPr>
          <w:ilvl w:val="0"/>
          <w:numId w:val="1"/>
        </w:numPr>
        <w:spacing w:line="360" w:lineRule="auto"/>
        <w:jc w:val="both"/>
        <w:rPr>
          <w:rFonts w:ascii="David" w:hAnsi="David"/>
          <w:rtl/>
        </w:rPr>
      </w:pPr>
      <w:r>
        <w:rPr>
          <w:rFonts w:ascii="David" w:hAnsi="David" w:hint="cs"/>
          <w:rtl/>
        </w:rPr>
        <w:t xml:space="preserve">לצורך בחינת מדיניות הענישה בעבירות דומות </w:t>
      </w:r>
      <w:r w:rsidRPr="003F0434">
        <w:rPr>
          <w:rFonts w:ascii="David" w:hAnsi="David"/>
          <w:rtl/>
        </w:rPr>
        <w:t>אפנה לפסקי הדין שלהלן:</w:t>
      </w:r>
      <w:r w:rsidRPr="003F0434">
        <w:rPr>
          <w:rFonts w:ascii="David" w:hAnsi="David" w:hint="cs"/>
          <w:rtl/>
        </w:rPr>
        <w:t xml:space="preserve"> </w:t>
      </w:r>
      <w:hyperlink r:id="rId35" w:history="1">
        <w:r w:rsidR="007C55CD" w:rsidRPr="007C55CD">
          <w:rPr>
            <w:rFonts w:ascii="David" w:hAnsi="David"/>
            <w:color w:val="0000FF"/>
            <w:u w:val="single"/>
            <w:rtl/>
          </w:rPr>
          <w:t>עפ"ג 9036-02-23</w:t>
        </w:r>
      </w:hyperlink>
      <w:r w:rsidRPr="003F0434">
        <w:rPr>
          <w:rFonts w:ascii="David" w:hAnsi="David"/>
          <w:rtl/>
        </w:rPr>
        <w:t xml:space="preserve"> </w:t>
      </w:r>
      <w:r w:rsidRPr="003F0434">
        <w:rPr>
          <w:rFonts w:ascii="David" w:hAnsi="David"/>
          <w:b/>
          <w:bCs/>
          <w:rtl/>
        </w:rPr>
        <w:t>אסולין נ' מדינת ישראל</w:t>
      </w:r>
      <w:r w:rsidRPr="003F0434">
        <w:rPr>
          <w:rFonts w:ascii="David" w:hAnsi="David"/>
          <w:rtl/>
        </w:rPr>
        <w:t xml:space="preserve"> (15.3.2023) בו התקבל ערעור נאשם על חומרת עונשו והוטל עליו מאסר על תנאי, תחת עונש של 3 חודשי מאסר בעבודות שירות. במקרה זה מדובר היה בנאשם שהורשע בהחזקת 120 כדורי 5.56 מ"מ. בית המשפט המחוזי הביא בחשבון כי הסברו של הנאשם כי מצא את הכדורים במטווח לפני שנים רבות לא נבדק. כן ציין שלפי נתוניו </w:t>
      </w:r>
      <w:r w:rsidRPr="003F0434">
        <w:rPr>
          <w:rFonts w:ascii="Miriam" w:hAnsi="Miriam" w:cs="Miriam"/>
          <w:rtl/>
        </w:rPr>
        <w:t>"יש בסיס להנחה שהחזקת התחמושת על ידי המערער לא היתה למטרה עבריינית"</w:t>
      </w:r>
      <w:r w:rsidRPr="003F0434">
        <w:rPr>
          <w:rFonts w:ascii="David" w:hAnsi="David" w:hint="cs"/>
          <w:rtl/>
        </w:rPr>
        <w:t xml:space="preserve">; </w:t>
      </w:r>
      <w:hyperlink r:id="rId36" w:history="1">
        <w:r w:rsidR="007C55CD" w:rsidRPr="007C55CD">
          <w:rPr>
            <w:rFonts w:ascii="David" w:hAnsi="David"/>
            <w:color w:val="0000FF"/>
            <w:u w:val="single"/>
            <w:rtl/>
          </w:rPr>
          <w:t>ת"פ 66124-12-19</w:t>
        </w:r>
      </w:hyperlink>
      <w:r w:rsidRPr="003F0434">
        <w:rPr>
          <w:rFonts w:ascii="David" w:hAnsi="David"/>
          <w:rtl/>
        </w:rPr>
        <w:t xml:space="preserve"> </w:t>
      </w:r>
      <w:r w:rsidRPr="003F0434">
        <w:rPr>
          <w:rFonts w:ascii="David" w:hAnsi="David"/>
          <w:b/>
          <w:bCs/>
          <w:rtl/>
        </w:rPr>
        <w:t>מדינת ישראל נ' רביע</w:t>
      </w:r>
      <w:r w:rsidRPr="003F0434">
        <w:rPr>
          <w:rFonts w:ascii="David" w:hAnsi="David"/>
          <w:rtl/>
        </w:rPr>
        <w:t xml:space="preserve"> (27.07.2022), בו הורשע נאשם בעבירת החזקת תחמושת בכך שהחזיק בביתו 1183 כדורים בקוטר 5.56, 91 כדורים בקוטר 7.62 מ"מ, 47 תחמישים, 51 תרמילים וכן כדור צייד אחד. בית המשפט קבע מתחם ענישה הנע בין תקופת מאסר קצרה לריצוי בעבודות שירות ועד 15 חודשי מאסר וגזר על הנאשם 5 חודשי מאסר בפועל</w:t>
      </w:r>
      <w:r w:rsidRPr="003F0434">
        <w:rPr>
          <w:rFonts w:ascii="David" w:hAnsi="David" w:hint="cs"/>
          <w:rtl/>
        </w:rPr>
        <w:t xml:space="preserve">; </w:t>
      </w:r>
      <w:hyperlink r:id="rId37" w:history="1">
        <w:r w:rsidR="007C55CD" w:rsidRPr="007C55CD">
          <w:rPr>
            <w:rFonts w:ascii="David" w:hAnsi="David"/>
            <w:color w:val="0000FF"/>
            <w:u w:val="single"/>
            <w:rtl/>
          </w:rPr>
          <w:t>תפ (ק"ג) 53098-05-17</w:t>
        </w:r>
      </w:hyperlink>
      <w:r w:rsidRPr="003F0434">
        <w:rPr>
          <w:rFonts w:ascii="David" w:hAnsi="David"/>
          <w:rtl/>
        </w:rPr>
        <w:t xml:space="preserve"> </w:t>
      </w:r>
      <w:r w:rsidRPr="003F0434">
        <w:rPr>
          <w:rFonts w:ascii="David" w:hAnsi="David"/>
          <w:b/>
          <w:bCs/>
          <w:rtl/>
        </w:rPr>
        <w:t>מדינת ישראל נ' אלכסנדר שטיינפאייר</w:t>
      </w:r>
      <w:r>
        <w:rPr>
          <w:rFonts w:ascii="David" w:hAnsi="David" w:hint="cs"/>
          <w:rtl/>
        </w:rPr>
        <w:t xml:space="preserve"> (3.1.2018) בו נקבע מתחם ענישה הנע בין מאסר מותנה ועד 6 חודשי מאסר בגין החזקת </w:t>
      </w:r>
      <w:r w:rsidRPr="003F0434">
        <w:rPr>
          <w:rFonts w:ascii="David" w:hAnsi="David"/>
          <w:rtl/>
        </w:rPr>
        <w:t xml:space="preserve">50 כדורים בקוטר 7.62, מחסנית </w:t>
      </w:r>
      <w:r w:rsidRPr="003F0434">
        <w:rPr>
          <w:rFonts w:ascii="David" w:hAnsi="David"/>
        </w:rPr>
        <w:t>M-16</w:t>
      </w:r>
      <w:r w:rsidRPr="003F0434">
        <w:rPr>
          <w:rFonts w:ascii="David" w:hAnsi="David"/>
          <w:rtl/>
        </w:rPr>
        <w:t xml:space="preserve"> ו-50 כדורי </w:t>
      </w:r>
      <w:r w:rsidRPr="003F0434">
        <w:rPr>
          <w:rFonts w:ascii="David" w:hAnsi="David"/>
        </w:rPr>
        <w:t>M-16</w:t>
      </w:r>
      <w:r w:rsidRPr="003F0434">
        <w:rPr>
          <w:rFonts w:ascii="David" w:hAnsi="David"/>
          <w:rtl/>
        </w:rPr>
        <w:t xml:space="preserve"> בקוטר</w:t>
      </w:r>
      <w:r>
        <w:rPr>
          <w:rtl/>
        </w:rPr>
        <w:t xml:space="preserve"> 5.56</w:t>
      </w:r>
      <w:r>
        <w:rPr>
          <w:rFonts w:ascii="David" w:hAnsi="David" w:hint="cs"/>
          <w:rtl/>
        </w:rPr>
        <w:t>.</w:t>
      </w:r>
    </w:p>
    <w:p w14:paraId="57646DE3" w14:textId="77777777" w:rsidR="00B015AB" w:rsidRPr="003F0434" w:rsidRDefault="00B015AB" w:rsidP="00B015AB">
      <w:pPr>
        <w:pStyle w:val="a9"/>
        <w:spacing w:line="360" w:lineRule="auto"/>
        <w:ind w:left="0"/>
        <w:jc w:val="both"/>
        <w:rPr>
          <w:rFonts w:ascii="David" w:hAnsi="David"/>
          <w:rtl/>
        </w:rPr>
      </w:pPr>
    </w:p>
    <w:p w14:paraId="42D87F65" w14:textId="77777777" w:rsidR="00B015AB" w:rsidRDefault="00B015AB" w:rsidP="00B015AB">
      <w:pPr>
        <w:pStyle w:val="a9"/>
        <w:numPr>
          <w:ilvl w:val="0"/>
          <w:numId w:val="1"/>
        </w:numPr>
        <w:spacing w:line="360" w:lineRule="auto"/>
        <w:jc w:val="both"/>
        <w:rPr>
          <w:rFonts w:ascii="David" w:hAnsi="David"/>
        </w:rPr>
      </w:pPr>
      <w:r>
        <w:rPr>
          <w:rFonts w:ascii="David" w:hAnsi="David"/>
          <w:rtl/>
        </w:rPr>
        <w:t>לאור כל זאת, אני בדעה כי מתחמי הענישה שיש לקבוע בענייננו הם אלו:</w:t>
      </w:r>
    </w:p>
    <w:p w14:paraId="069C2F0B" w14:textId="77777777" w:rsidR="00B015AB" w:rsidRDefault="00B015AB" w:rsidP="00B015AB">
      <w:pPr>
        <w:pStyle w:val="a9"/>
        <w:ind w:left="0"/>
        <w:jc w:val="both"/>
        <w:rPr>
          <w:rFonts w:ascii="David" w:hAnsi="David"/>
          <w:rtl/>
        </w:rPr>
      </w:pPr>
    </w:p>
    <w:p w14:paraId="30C57B4F" w14:textId="77777777" w:rsidR="00B015AB" w:rsidRDefault="00B015AB" w:rsidP="00B015AB">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 xml:space="preserve">אישום ראשון: </w:t>
      </w:r>
      <w:r>
        <w:rPr>
          <w:rFonts w:ascii="David" w:hAnsi="David"/>
          <w:rtl/>
        </w:rPr>
        <w:t>בין 12 חודשי מאסר בפועל לבין 24 חודשי מאסר בפועל.</w:t>
      </w:r>
    </w:p>
    <w:p w14:paraId="23185606" w14:textId="77777777" w:rsidR="00B015AB" w:rsidRPr="007F753E" w:rsidRDefault="00B015AB" w:rsidP="00B015AB">
      <w:pPr>
        <w:pStyle w:val="a9"/>
        <w:spacing w:line="360" w:lineRule="auto"/>
        <w:jc w:val="both"/>
        <w:rPr>
          <w:rFonts w:ascii="David" w:hAnsi="David"/>
        </w:rPr>
      </w:pPr>
      <w:r w:rsidRPr="00434F30">
        <w:rPr>
          <w:rFonts w:ascii="David" w:hAnsi="David" w:hint="cs"/>
          <w:rtl/>
        </w:rPr>
        <w:t>(-)</w:t>
      </w:r>
      <w:r w:rsidRPr="00434F30">
        <w:rPr>
          <w:rFonts w:ascii="David" w:hAnsi="David"/>
          <w:rtl/>
        </w:rPr>
        <w:tab/>
      </w:r>
      <w:r w:rsidRPr="00434F30">
        <w:rPr>
          <w:rFonts w:ascii="David" w:hAnsi="David" w:hint="cs"/>
          <w:rtl/>
        </w:rPr>
        <w:t xml:space="preserve">אישום שני: עונש מאסר קצר </w:t>
      </w:r>
      <w:r w:rsidRPr="00434F30">
        <w:rPr>
          <w:rFonts w:ascii="David" w:hAnsi="David"/>
          <w:rtl/>
        </w:rPr>
        <w:t xml:space="preserve">ועד </w:t>
      </w:r>
      <w:r w:rsidRPr="00434F30">
        <w:rPr>
          <w:rFonts w:ascii="David" w:hAnsi="David" w:hint="cs"/>
          <w:rtl/>
        </w:rPr>
        <w:t>12</w:t>
      </w:r>
      <w:r w:rsidRPr="00434F30">
        <w:rPr>
          <w:rFonts w:ascii="David" w:hAnsi="David"/>
          <w:rtl/>
        </w:rPr>
        <w:t xml:space="preserve"> חודשי מאסר.</w:t>
      </w:r>
    </w:p>
    <w:p w14:paraId="77A8F33A" w14:textId="77777777" w:rsidR="00B015AB" w:rsidRPr="007B00D2" w:rsidRDefault="00B015AB" w:rsidP="00B015AB">
      <w:pPr>
        <w:pStyle w:val="a9"/>
        <w:ind w:left="0"/>
        <w:jc w:val="both"/>
        <w:rPr>
          <w:rFonts w:ascii="David" w:hAnsi="David"/>
          <w:rtl/>
        </w:rPr>
      </w:pPr>
    </w:p>
    <w:p w14:paraId="2787EA1D" w14:textId="77777777" w:rsidR="00B015AB" w:rsidRDefault="00B015AB" w:rsidP="00B015AB">
      <w:pPr>
        <w:pStyle w:val="a9"/>
        <w:spacing w:line="360" w:lineRule="auto"/>
        <w:ind w:left="0"/>
        <w:jc w:val="both"/>
        <w:rPr>
          <w:rFonts w:ascii="David" w:hAnsi="David"/>
          <w:b/>
          <w:bCs/>
          <w:u w:val="single"/>
        </w:rPr>
      </w:pPr>
      <w:r>
        <w:rPr>
          <w:rFonts w:ascii="David" w:hAnsi="David"/>
          <w:b/>
          <w:bCs/>
          <w:u w:val="single"/>
          <w:rtl/>
        </w:rPr>
        <w:t>קביעת עונשו של הנאשם</w:t>
      </w:r>
    </w:p>
    <w:p w14:paraId="242D1FB2" w14:textId="77777777" w:rsidR="00B015AB" w:rsidRDefault="00B015AB" w:rsidP="00B015AB">
      <w:pPr>
        <w:pStyle w:val="a9"/>
        <w:ind w:left="0"/>
        <w:jc w:val="both"/>
        <w:rPr>
          <w:rFonts w:ascii="David" w:hAnsi="David"/>
          <w:rtl/>
        </w:rPr>
      </w:pPr>
    </w:p>
    <w:p w14:paraId="7225BC3D"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גזירת עונשו של הנאשם אינה קלה. על רקע עברו הפלילי המכביד, העונש ההולם למעשיו הוא מאסר ממושך בכליאה. מנגד, לא ניתן להתעלם מהעובדה שמדובר בעבירות שבוצעו לפני כחמש שנים, כתב האישום הוגש בשיהוי משמעותי של 42 חודשים והנאשם נמצא כעת "במקום אחר" </w:t>
      </w:r>
      <w:r>
        <w:rPr>
          <w:rFonts w:ascii="David" w:hAnsi="David"/>
          <w:rtl/>
        </w:rPr>
        <w:t>–</w:t>
      </w:r>
      <w:r>
        <w:rPr>
          <w:rFonts w:ascii="David" w:hAnsi="David" w:hint="cs"/>
          <w:rtl/>
        </w:rPr>
        <w:t xml:space="preserve"> הוא שוחרר לאחרונה שחרור מוקדם ממאסר בו עבר הליך שיקומי משמעותי, הוא עובד בעבודה קבועה, הוא מצפה להולדת בנו ומצוי בהליך טיפולי. שירות המבחן ממליץ בשל כל אלו להעדיף את הפן השיקומי ולהימנע מענישה מוחשית, ממילא מעונש מאסר. </w:t>
      </w:r>
    </w:p>
    <w:p w14:paraId="2CB3626D" w14:textId="77777777" w:rsidR="00B015AB" w:rsidRDefault="00B015AB" w:rsidP="00B015AB">
      <w:pPr>
        <w:pStyle w:val="a9"/>
        <w:ind w:left="0"/>
        <w:jc w:val="both"/>
        <w:rPr>
          <w:rFonts w:ascii="David" w:hAnsi="David"/>
        </w:rPr>
      </w:pPr>
    </w:p>
    <w:p w14:paraId="78D3C995"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אקדים ואומר כי לאחר שבחנתי את טיעוני הצדדים סברתי שחרף חומרת המעשים, יש להימנע מכליאתו של הנאשם ואף מהטלת ענישה שתביא לפיטוריו, ולהעדיף את הפן השיקומי. </w:t>
      </w:r>
      <w:r w:rsidRPr="00640511">
        <w:rPr>
          <w:rFonts w:ascii="David" w:hAnsi="David"/>
          <w:rtl/>
        </w:rPr>
        <w:t>אנמק מסקנתי להלן.</w:t>
      </w:r>
    </w:p>
    <w:p w14:paraId="6FE95F19" w14:textId="77777777" w:rsidR="00B015AB" w:rsidRPr="00640511" w:rsidRDefault="00B015AB" w:rsidP="00B015AB">
      <w:pPr>
        <w:pStyle w:val="a9"/>
        <w:rPr>
          <w:rFonts w:ascii="David" w:hAnsi="David"/>
          <w:rtl/>
        </w:rPr>
      </w:pPr>
    </w:p>
    <w:p w14:paraId="66F23997"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הנאשם שלפני הוא צעיר יחסית, כבן 35. הוא אב לשלושה ילדים מנישואים קודמים ובקרוב עתידה בת זוגו הנוכחית ללדת. הוא שוחרר לפני כשבעה חודשים ממאסר (שחרור מוקדם) ומאז נמצא תחת פיקוח רש"א ומקיים את תנאי השחרור כנדרש. הנאשם השתלב מיד בעבודה שתיאמה רש"א עבורו ומעסיקו מרוצה מתפקודו (ראו ענ/1). הוא אף השתלב מיוזמתו בהליך טיפולי וגורמי הטיפול התרשמו לחיוב מהמוטיבציה שלו ומיכולתו להפיק תועלת מכך. לאור כך סבר שירות המבחן שראוי להעדיף את הפן השיקומי ולהימנע מענישה מוחשית בצד צו מבחן וענישה מותנית. </w:t>
      </w:r>
    </w:p>
    <w:p w14:paraId="75984B44" w14:textId="77777777" w:rsidR="00B015AB" w:rsidRPr="00D37D45" w:rsidRDefault="00B015AB" w:rsidP="00B015AB">
      <w:pPr>
        <w:pStyle w:val="a9"/>
        <w:rPr>
          <w:rFonts w:ascii="David" w:hAnsi="David"/>
          <w:rtl/>
        </w:rPr>
      </w:pPr>
    </w:p>
    <w:p w14:paraId="6E8C61BE" w14:textId="77777777" w:rsidR="00B015AB" w:rsidRPr="00AE22B1" w:rsidRDefault="00B015AB" w:rsidP="00B015AB">
      <w:pPr>
        <w:pStyle w:val="a9"/>
        <w:numPr>
          <w:ilvl w:val="0"/>
          <w:numId w:val="1"/>
        </w:numPr>
        <w:spacing w:line="360" w:lineRule="auto"/>
        <w:jc w:val="both"/>
        <w:rPr>
          <w:rFonts w:ascii="David" w:hAnsi="David"/>
        </w:rPr>
      </w:pPr>
      <w:r>
        <w:rPr>
          <w:rFonts w:ascii="David" w:hAnsi="David" w:hint="cs"/>
          <w:rtl/>
        </w:rPr>
        <w:t xml:space="preserve">לדידי, קיימים בעניינו של הנאשם סיכויי שיקום משמעותיים ובעניין זה מסקנת שירות המבחן מקובלת עלי </w:t>
      </w:r>
      <w:r w:rsidRPr="00AE22B1">
        <w:rPr>
          <w:rFonts w:ascii="David" w:hAnsi="David"/>
          <w:rtl/>
        </w:rPr>
        <w:t>(</w:t>
      </w:r>
      <w:hyperlink r:id="rId38" w:history="1">
        <w:r w:rsidR="007C55CD" w:rsidRPr="007C55CD">
          <w:rPr>
            <w:rFonts w:ascii="David" w:hAnsi="David"/>
            <w:color w:val="0000FF"/>
            <w:u w:val="single"/>
            <w:rtl/>
          </w:rPr>
          <w:t>ע"פ 6637/17</w:t>
        </w:r>
      </w:hyperlink>
      <w:r w:rsidRPr="00AE22B1">
        <w:rPr>
          <w:rFonts w:ascii="David" w:hAnsi="David"/>
          <w:rtl/>
        </w:rPr>
        <w:t xml:space="preserve"> </w:t>
      </w:r>
      <w:r w:rsidRPr="00AE22B1">
        <w:rPr>
          <w:rFonts w:ascii="David" w:hAnsi="David"/>
          <w:b/>
          <w:bCs/>
          <w:rtl/>
        </w:rPr>
        <w:t>אליזבת קרנדל נ' מדינת ישראל</w:t>
      </w:r>
      <w:r w:rsidRPr="00AE22B1">
        <w:rPr>
          <w:rFonts w:ascii="David" w:hAnsi="David"/>
          <w:rtl/>
        </w:rPr>
        <w:t xml:space="preserve"> (18.4.2018), פסקאות 23-25 לפסק דינה של כב' השופטת ברק-ארז) כן ראו </w:t>
      </w:r>
      <w:hyperlink r:id="rId39" w:history="1">
        <w:r w:rsidR="007C55CD" w:rsidRPr="007C55CD">
          <w:rPr>
            <w:rFonts w:ascii="David" w:hAnsi="David"/>
            <w:color w:val="0000FF"/>
            <w:u w:val="single"/>
            <w:rtl/>
          </w:rPr>
          <w:t>רע"פ 7683/13</w:t>
        </w:r>
      </w:hyperlink>
      <w:r w:rsidRPr="00AE22B1">
        <w:rPr>
          <w:rFonts w:ascii="David" w:hAnsi="David"/>
          <w:rtl/>
        </w:rPr>
        <w:t xml:space="preserve"> </w:t>
      </w:r>
      <w:r w:rsidRPr="00AE22B1">
        <w:rPr>
          <w:rFonts w:ascii="David" w:hAnsi="David"/>
          <w:b/>
          <w:bCs/>
          <w:rtl/>
        </w:rPr>
        <w:t>דוד פרלמן נ' מדינת ישראל</w:t>
      </w:r>
      <w:r w:rsidRPr="00AE22B1">
        <w:rPr>
          <w:rFonts w:ascii="David" w:hAnsi="David"/>
          <w:rtl/>
        </w:rPr>
        <w:t xml:space="preserve"> (23.2.2014)). </w:t>
      </w:r>
      <w:r>
        <w:rPr>
          <w:rFonts w:ascii="David" w:hAnsi="David" w:hint="cs"/>
          <w:rtl/>
        </w:rPr>
        <w:t>אכן, עברו הפלילי של הנאשם מכביד ואולם גורמי הטיפול התרשמו כי הוא קץ באורח החיים העברייני והוא מפגין רצון עז לשינוי. הנאשם אף תרגם היטב את רצונו למעשים. תפקודו בעת מאסרו האחרון היה מיטבי, הוא שולב בהליך טיפולי משמעותי בכלא חרמון, שוחרר שחרור מוקדם (חרף עברו הפלילי), שולב מיד בעבודה עם שחרורו, המשיך להליך טיפולי במסגרת שירותי הרווחה ושירות המבחן התרשם מיכולותיו. לכך יש להוסיף את העובדה שהוא בזוגיות חדשה ומצפה לילד. כן אוסיף כי התרשמתי מהנאשם במהלך הדיונים (ואף התיק בגינו הוטל עליו עונש מאסר היה בפני) ומרצונו העז בשינוי. נתונים אלו בכללותם מצדיקים מסקנה בדבר סיכויי שיקום משמעותיים.</w:t>
      </w:r>
    </w:p>
    <w:p w14:paraId="1A8EA18C" w14:textId="77777777" w:rsidR="00B015AB" w:rsidRPr="00AE22B1" w:rsidRDefault="00B015AB" w:rsidP="00B015AB">
      <w:pPr>
        <w:pStyle w:val="a9"/>
        <w:rPr>
          <w:rFonts w:ascii="David" w:hAnsi="David"/>
          <w:rtl/>
        </w:rPr>
      </w:pPr>
    </w:p>
    <w:p w14:paraId="6CD84482" w14:textId="77777777" w:rsidR="00B015AB" w:rsidRDefault="00B015AB" w:rsidP="00B015AB">
      <w:pPr>
        <w:pStyle w:val="a9"/>
        <w:numPr>
          <w:ilvl w:val="0"/>
          <w:numId w:val="1"/>
        </w:numPr>
        <w:spacing w:line="360" w:lineRule="auto"/>
        <w:jc w:val="both"/>
        <w:rPr>
          <w:rFonts w:ascii="David" w:hAnsi="David"/>
        </w:rPr>
      </w:pPr>
      <w:r w:rsidRPr="00964C5E">
        <w:rPr>
          <w:rFonts w:ascii="David" w:hAnsi="David"/>
          <w:rtl/>
        </w:rPr>
        <w:t>עם זאת, שיקום אינו חזות הכל ויש שעליו לסגת מפני שיקולי ההלימה וה</w:t>
      </w:r>
      <w:r>
        <w:rPr>
          <w:rFonts w:ascii="David" w:hAnsi="David" w:hint="cs"/>
          <w:rtl/>
        </w:rPr>
        <w:t>ה</w:t>
      </w:r>
      <w:r w:rsidRPr="00964C5E">
        <w:rPr>
          <w:rFonts w:ascii="David" w:hAnsi="David"/>
          <w:rtl/>
        </w:rPr>
        <w:t>רתעה ולעיתים חרף סיכויי שיקום אין מנוס בשל חומרת המעשה מעונש מאסר בפועל (</w:t>
      </w:r>
      <w:hyperlink r:id="rId40" w:history="1">
        <w:r w:rsidR="007C55CD" w:rsidRPr="007C55CD">
          <w:rPr>
            <w:rFonts w:ascii="David" w:hAnsi="David"/>
            <w:color w:val="0000FF"/>
            <w:u w:val="single"/>
            <w:rtl/>
          </w:rPr>
          <w:t>ע"פ 8622/21</w:t>
        </w:r>
      </w:hyperlink>
      <w:r w:rsidRPr="00964C5E">
        <w:rPr>
          <w:rFonts w:ascii="David" w:hAnsi="David"/>
          <w:rtl/>
        </w:rPr>
        <w:t xml:space="preserve"> </w:t>
      </w:r>
      <w:r w:rsidRPr="00964C5E">
        <w:rPr>
          <w:rFonts w:ascii="David" w:hAnsi="David"/>
          <w:b/>
          <w:bCs/>
          <w:rtl/>
        </w:rPr>
        <w:t>הולר נ' מדינת ישראל</w:t>
      </w:r>
      <w:r w:rsidRPr="00964C5E">
        <w:rPr>
          <w:rFonts w:ascii="David" w:hAnsi="David"/>
          <w:rtl/>
        </w:rPr>
        <w:t xml:space="preserve">, פסקה 12 (15.5.2022); </w:t>
      </w:r>
      <w:hyperlink r:id="rId41" w:history="1">
        <w:r w:rsidR="007C55CD" w:rsidRPr="007C55CD">
          <w:rPr>
            <w:rFonts w:ascii="David" w:hAnsi="David"/>
            <w:color w:val="0000FF"/>
            <w:u w:val="single"/>
            <w:rtl/>
          </w:rPr>
          <w:t>ע"פ 2260/22</w:t>
        </w:r>
      </w:hyperlink>
      <w:r w:rsidRPr="00964C5E">
        <w:rPr>
          <w:rFonts w:ascii="David" w:hAnsi="David"/>
          <w:rtl/>
        </w:rPr>
        <w:t xml:space="preserve"> </w:t>
      </w:r>
      <w:r w:rsidRPr="00964C5E">
        <w:rPr>
          <w:rFonts w:ascii="David" w:hAnsi="David"/>
          <w:b/>
          <w:bCs/>
          <w:rtl/>
        </w:rPr>
        <w:t>פלוני נ' מדינת ישראל</w:t>
      </w:r>
      <w:r w:rsidRPr="00964C5E">
        <w:rPr>
          <w:rFonts w:ascii="David" w:hAnsi="David"/>
          <w:rtl/>
        </w:rPr>
        <w:t xml:space="preserve">, פסקה 10 (18.7.2022); </w:t>
      </w:r>
      <w:hyperlink r:id="rId42" w:history="1">
        <w:r w:rsidR="007C55CD" w:rsidRPr="007C55CD">
          <w:rPr>
            <w:rFonts w:ascii="David" w:hAnsi="David"/>
            <w:color w:val="0000FF"/>
            <w:u w:val="single"/>
            <w:rtl/>
          </w:rPr>
          <w:t>ע"פ 7159/21</w:t>
        </w:r>
      </w:hyperlink>
      <w:r w:rsidRPr="00964C5E">
        <w:rPr>
          <w:rFonts w:ascii="David" w:hAnsi="David"/>
          <w:rtl/>
        </w:rPr>
        <w:t xml:space="preserve"> </w:t>
      </w:r>
      <w:r w:rsidRPr="00964C5E">
        <w:rPr>
          <w:rFonts w:ascii="David" w:hAnsi="David"/>
          <w:b/>
          <w:bCs/>
          <w:rtl/>
        </w:rPr>
        <w:t>בניהו מנשירוב נ' מדינת ישראל</w:t>
      </w:r>
      <w:r w:rsidRPr="00964C5E">
        <w:rPr>
          <w:rFonts w:ascii="David" w:hAnsi="David"/>
          <w:rtl/>
        </w:rPr>
        <w:t xml:space="preserve"> (28.10.2021)). כמו כן, כידוע, המלצת שירות המבחן כשמה כן היא, המלצה, ובית המשפט אינו מחויב לאמצה, הגם שניתן לה משקל של ממש בעת גזירת הדין.</w:t>
      </w:r>
      <w:r>
        <w:rPr>
          <w:rFonts w:ascii="David" w:hAnsi="David" w:hint="cs"/>
          <w:rtl/>
        </w:rPr>
        <w:t xml:space="preserve"> </w:t>
      </w:r>
    </w:p>
    <w:p w14:paraId="3FC92876" w14:textId="77777777" w:rsidR="00B015AB" w:rsidRPr="00DF7F7B" w:rsidRDefault="00B015AB" w:rsidP="00B015AB">
      <w:pPr>
        <w:pStyle w:val="a9"/>
        <w:rPr>
          <w:rFonts w:ascii="David" w:hAnsi="David"/>
          <w:rtl/>
        </w:rPr>
      </w:pPr>
    </w:p>
    <w:p w14:paraId="23220CD0" w14:textId="77777777" w:rsidR="00B015AB" w:rsidRPr="00385A55" w:rsidRDefault="00B015AB" w:rsidP="00B015AB">
      <w:pPr>
        <w:pStyle w:val="a9"/>
        <w:numPr>
          <w:ilvl w:val="0"/>
          <w:numId w:val="1"/>
        </w:numPr>
        <w:spacing w:line="360" w:lineRule="auto"/>
        <w:jc w:val="both"/>
        <w:rPr>
          <w:rFonts w:ascii="David" w:hAnsi="David"/>
        </w:rPr>
      </w:pPr>
      <w:r w:rsidRPr="008C311F">
        <w:rPr>
          <w:rFonts w:ascii="David" w:hAnsi="David" w:hint="cs"/>
          <w:rtl/>
        </w:rPr>
        <w:t>בהביאי בחשבון את מכלל השיקולים במקרה זה סברתי כי סיכויי השיקום מצדיקים להעדיף את הפן השיקומי</w:t>
      </w:r>
      <w:r>
        <w:rPr>
          <w:rFonts w:ascii="David" w:hAnsi="David" w:hint="cs"/>
          <w:rtl/>
        </w:rPr>
        <w:t>, וזאת תוך שאינני מתעלם מחומרת העבירות. אין לשכוח כי חלפו מאז כחמש שנים. אמנם, הנאשם עבר בתקופה זו עבירות נוספות (בגינן הוטל עליו בחודש 8/23 עונש מאסר) ואולם מדובר בכישלון בודד (הגם שחמור) ובכל מקרה, הטלת עונש מאסר כיום דומה שתוריד לטמיון את ההליך הטיפולי ובכל מקרה ספק אם תשיג תכלית ענישה ראויה בחלוף זמן כה רב. בעניין זה אין להתעלם מהשיהוי המשמעותי (מאוד)</w:t>
      </w:r>
      <w:r>
        <w:rPr>
          <w:rFonts w:ascii="David" w:hAnsi="David" w:hint="cs"/>
        </w:rPr>
        <w:t xml:space="preserve"> </w:t>
      </w:r>
      <w:r>
        <w:rPr>
          <w:rFonts w:ascii="David" w:hAnsi="David" w:hint="cs"/>
          <w:rtl/>
        </w:rPr>
        <w:t xml:space="preserve">שבהגשת כתב האישום. כאמור, נדרשו למאשימה 42 חודשים להגשת כתב האישום (וגם אם אביא בחשבון שהנאשם אותר רק בחודש 7/21 מדובר ב-38 חודשים- תקופה משמעותית וחריגה). </w:t>
      </w:r>
      <w:r w:rsidRPr="00385A55">
        <w:rPr>
          <w:rFonts w:ascii="David" w:hAnsi="David"/>
          <w:color w:val="000000"/>
          <w:rtl/>
        </w:rPr>
        <w:t xml:space="preserve">המאשימה לא מסרה הסבר מניח את הדעת </w:t>
      </w:r>
      <w:r w:rsidRPr="00385A55">
        <w:rPr>
          <w:rFonts w:ascii="David" w:hAnsi="David" w:hint="cs"/>
          <w:color w:val="000000"/>
          <w:rtl/>
        </w:rPr>
        <w:t xml:space="preserve">לשיהוי חריג זה. </w:t>
      </w:r>
    </w:p>
    <w:p w14:paraId="6C524826" w14:textId="77777777" w:rsidR="00B015AB" w:rsidRPr="00385A55" w:rsidRDefault="00B015AB" w:rsidP="00B015AB">
      <w:pPr>
        <w:pStyle w:val="a9"/>
        <w:rPr>
          <w:rFonts w:ascii="David" w:hAnsi="David"/>
          <w:rtl/>
        </w:rPr>
      </w:pPr>
    </w:p>
    <w:p w14:paraId="2BA6C9AD"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 xml:space="preserve">כידוע, לשיהוי משמעותי </w:t>
      </w:r>
      <w:r w:rsidRPr="00217241">
        <w:rPr>
          <w:rFonts w:ascii="David" w:hAnsi="David"/>
          <w:rtl/>
        </w:rPr>
        <w:t xml:space="preserve">נפקות </w:t>
      </w:r>
      <w:r>
        <w:rPr>
          <w:rFonts w:ascii="David" w:hAnsi="David" w:hint="cs"/>
          <w:rtl/>
        </w:rPr>
        <w:t>ל</w:t>
      </w:r>
      <w:r w:rsidRPr="00217241">
        <w:rPr>
          <w:rFonts w:ascii="David" w:hAnsi="David"/>
          <w:rtl/>
        </w:rPr>
        <w:t>עניין הענישה (</w:t>
      </w:r>
      <w:hyperlink r:id="rId43" w:history="1">
        <w:r w:rsidR="00265FF9" w:rsidRPr="00265FF9">
          <w:rPr>
            <w:rStyle w:val="Hyperlink"/>
            <w:rFonts w:ascii="David" w:hAnsi="David"/>
            <w:color w:val="0000FF"/>
            <w:rtl/>
          </w:rPr>
          <w:t>סעיף 40יא'(10)</w:t>
        </w:r>
      </w:hyperlink>
      <w:r w:rsidRPr="00217241">
        <w:rPr>
          <w:rFonts w:ascii="David" w:hAnsi="David"/>
          <w:rtl/>
        </w:rPr>
        <w:t xml:space="preserve"> ל</w:t>
      </w:r>
      <w:hyperlink r:id="rId44" w:history="1">
        <w:r w:rsidR="007C55CD" w:rsidRPr="007C55CD">
          <w:rPr>
            <w:rFonts w:ascii="David" w:hAnsi="David"/>
            <w:color w:val="0000FF"/>
            <w:u w:val="single"/>
            <w:rtl/>
          </w:rPr>
          <w:t>חוק העונשין</w:t>
        </w:r>
      </w:hyperlink>
      <w:r w:rsidRPr="00217241">
        <w:rPr>
          <w:rFonts w:ascii="David" w:hAnsi="David"/>
          <w:rtl/>
        </w:rPr>
        <w:t xml:space="preserve">; </w:t>
      </w:r>
      <w:hyperlink r:id="rId45" w:history="1">
        <w:r w:rsidR="007C55CD" w:rsidRPr="007C55CD">
          <w:rPr>
            <w:rFonts w:ascii="David" w:hAnsi="David"/>
            <w:color w:val="0000FF"/>
            <w:u w:val="single"/>
            <w:rtl/>
          </w:rPr>
          <w:t>רע"פ 1611/16</w:t>
        </w:r>
      </w:hyperlink>
      <w:r w:rsidRPr="00217241">
        <w:rPr>
          <w:rFonts w:ascii="David" w:hAnsi="David"/>
          <w:rtl/>
        </w:rPr>
        <w:t xml:space="preserve"> </w:t>
      </w:r>
      <w:r w:rsidRPr="00217241">
        <w:rPr>
          <w:rFonts w:ascii="David" w:hAnsi="David"/>
          <w:b/>
          <w:bCs/>
          <w:rtl/>
        </w:rPr>
        <w:t>מדינת ישראל נ' יוסף ורדי</w:t>
      </w:r>
      <w:r w:rsidRPr="00217241">
        <w:rPr>
          <w:rFonts w:ascii="David" w:hAnsi="David"/>
          <w:rtl/>
        </w:rPr>
        <w:t xml:space="preserve"> (31.10.2018); פסקה 109 לפסק דינו של המשנה לנשיאה, כב' השופט מלצר) ובפסיקה נקבע ששיהוי משמעותי עשוי להביא במקרים מיוחדים אף להימנעות מהטלת עונש מאסר, מקום בו אפשר והיה מקום להטילו אלמלא השיהוי (</w:t>
      </w:r>
      <w:hyperlink r:id="rId46" w:history="1">
        <w:r w:rsidR="007C55CD" w:rsidRPr="007C55CD">
          <w:rPr>
            <w:rFonts w:ascii="David" w:hAnsi="David"/>
            <w:color w:val="0000FF"/>
            <w:u w:val="single"/>
            <w:rtl/>
          </w:rPr>
          <w:t>ע"פ 8421/12</w:t>
        </w:r>
      </w:hyperlink>
      <w:r w:rsidRPr="00217241">
        <w:rPr>
          <w:rFonts w:ascii="David" w:hAnsi="David"/>
          <w:rtl/>
        </w:rPr>
        <w:t xml:space="preserve"> </w:t>
      </w:r>
      <w:r w:rsidRPr="00217241">
        <w:rPr>
          <w:rFonts w:ascii="David" w:hAnsi="David"/>
          <w:b/>
          <w:bCs/>
          <w:rtl/>
        </w:rPr>
        <w:t>ינון בן חיים נ' מדינת ישראל</w:t>
      </w:r>
      <w:r w:rsidRPr="00217241">
        <w:rPr>
          <w:rFonts w:ascii="David" w:hAnsi="David"/>
          <w:rtl/>
        </w:rPr>
        <w:t xml:space="preserve"> (29.9.2013); </w:t>
      </w:r>
      <w:hyperlink r:id="rId47" w:history="1">
        <w:r w:rsidR="007C55CD" w:rsidRPr="007C55CD">
          <w:rPr>
            <w:rFonts w:ascii="David" w:hAnsi="David"/>
            <w:color w:val="0000FF"/>
            <w:u w:val="single"/>
            <w:rtl/>
          </w:rPr>
          <w:t>ע"פ 5822/08</w:t>
        </w:r>
      </w:hyperlink>
      <w:r w:rsidRPr="00217241">
        <w:rPr>
          <w:rFonts w:ascii="David" w:hAnsi="David"/>
          <w:rtl/>
        </w:rPr>
        <w:t xml:space="preserve"> </w:t>
      </w:r>
      <w:r w:rsidRPr="00217241">
        <w:rPr>
          <w:rFonts w:ascii="David" w:hAnsi="David"/>
          <w:b/>
          <w:bCs/>
          <w:rtl/>
        </w:rPr>
        <w:t>טרייטל נ' מדינת ישראל</w:t>
      </w:r>
      <w:r w:rsidRPr="00217241">
        <w:rPr>
          <w:rFonts w:ascii="David" w:hAnsi="David"/>
          <w:rtl/>
        </w:rPr>
        <w:t xml:space="preserve">, פסקה 37 (12.3.2009)). </w:t>
      </w:r>
      <w:r>
        <w:rPr>
          <w:rFonts w:ascii="David" w:hAnsi="David" w:hint="cs"/>
          <w:rtl/>
        </w:rPr>
        <w:t xml:space="preserve">שיהוי משמעותי זה מתווסף במקרה זה לסיכויי השיקום של הנאשם באופן שהחזרתו כיום למאסר אינה ראויה ויש להעדיף מתווה ענישה שונה. </w:t>
      </w:r>
    </w:p>
    <w:p w14:paraId="3893ACAB" w14:textId="77777777" w:rsidR="00B015AB" w:rsidRPr="00385A55" w:rsidRDefault="00B015AB" w:rsidP="00B015AB">
      <w:pPr>
        <w:pStyle w:val="a9"/>
        <w:rPr>
          <w:rFonts w:ascii="David" w:hAnsi="David"/>
          <w:rtl/>
        </w:rPr>
      </w:pPr>
    </w:p>
    <w:p w14:paraId="1453E627" w14:textId="77777777" w:rsidR="00B015AB" w:rsidRDefault="00B015AB" w:rsidP="00B015AB">
      <w:pPr>
        <w:pStyle w:val="a9"/>
        <w:numPr>
          <w:ilvl w:val="0"/>
          <w:numId w:val="1"/>
        </w:numPr>
        <w:spacing w:line="360" w:lineRule="auto"/>
        <w:jc w:val="both"/>
        <w:rPr>
          <w:rFonts w:ascii="David" w:hAnsi="David"/>
        </w:rPr>
      </w:pPr>
      <w:r>
        <w:rPr>
          <w:rFonts w:ascii="David" w:hAnsi="David" w:hint="cs"/>
          <w:rtl/>
        </w:rPr>
        <w:t>לכך יש להוסיף כי נגד הקטין, שהיה שותף לביצוע עבירות הרכוש באישום הראשון, לא הוגש כתב אישום ולא הובא לידיעתי הליך חלופי שננקט, אם בכלל. אכן, מטבע הדברים לאור העובדה שמדובר בקטין השיקולים להעמדה לדין שונים מאלו של בגיר ואולם המאשימה לא טרחה להסבירם (כך למשל אפשר שמדובר בקטין הנושק לבגירות שעברו מכביד ולכן יש לעובדה שלא הועמד לדין משקל לא מבוטל). חסר זה פועל לחובתה.</w:t>
      </w:r>
    </w:p>
    <w:p w14:paraId="71B12B53" w14:textId="77777777" w:rsidR="00B015AB" w:rsidRPr="00385A55" w:rsidRDefault="00B015AB" w:rsidP="00B015AB">
      <w:pPr>
        <w:pStyle w:val="a9"/>
        <w:rPr>
          <w:rFonts w:ascii="David" w:hAnsi="David"/>
          <w:rtl/>
        </w:rPr>
      </w:pPr>
    </w:p>
    <w:p w14:paraId="34D80218" w14:textId="77777777" w:rsidR="00B015AB" w:rsidRPr="002808EE" w:rsidRDefault="00B015AB" w:rsidP="00B015AB">
      <w:pPr>
        <w:pStyle w:val="a9"/>
        <w:numPr>
          <w:ilvl w:val="0"/>
          <w:numId w:val="1"/>
        </w:numPr>
        <w:spacing w:line="360" w:lineRule="auto"/>
        <w:jc w:val="both"/>
        <w:rPr>
          <w:rFonts w:ascii="David" w:hAnsi="David"/>
        </w:rPr>
      </w:pPr>
      <w:r>
        <w:rPr>
          <w:rFonts w:ascii="David" w:hAnsi="David" w:hint="cs"/>
          <w:rtl/>
        </w:rPr>
        <w:t xml:space="preserve">לסיכום. השינוי שחל בנאשם במסגרת מאסרו האחרון, התרשמות גורמי השיקום ממנו, חלוף הזמן הארוך ובכלל זה השיהוי המשמעותי שבהגשת כתב האישום והעובדה שהקטין לא הועמד לדין, כל אלו תומכים במסקנה לפיה נכון במקרה זה להעדיף את הפן השיקומי. עם זאת, סברתי שלאור חומרת העבירות ראוי להוסיף ענישה מוחשית ולו בדמות צו של"צ. אמנם שירות המבחן ביקש להימנע מכך על מנת שלא לפגוע בסיכויי השיקום ואולם סברתי שהדבר נדרש לצורך המחשת חומרת העבירות ולכך אף הסכים הסנגור. אדגיש שהנאשם אינו מסיים את ההליך ואם לא יקיים את הצווים כנדרש, קל וחומר אם יעבור עבירה נוספת, הוא ישוב ליתן את הדין וניתן יהיה להטיל עליו עונשים נוספים. </w:t>
      </w:r>
    </w:p>
    <w:p w14:paraId="5DD51EC5" w14:textId="77777777" w:rsidR="00B015AB" w:rsidRPr="003F5029" w:rsidRDefault="00B015AB" w:rsidP="00B015AB">
      <w:pPr>
        <w:pStyle w:val="a9"/>
        <w:rPr>
          <w:rFonts w:ascii="David" w:hAnsi="David"/>
          <w:rtl/>
        </w:rPr>
      </w:pPr>
    </w:p>
    <w:p w14:paraId="540A536B" w14:textId="77777777" w:rsidR="00B015AB" w:rsidRDefault="00B015AB" w:rsidP="00B015AB">
      <w:pPr>
        <w:pStyle w:val="a9"/>
        <w:numPr>
          <w:ilvl w:val="0"/>
          <w:numId w:val="1"/>
        </w:numPr>
        <w:spacing w:line="360" w:lineRule="auto"/>
        <w:jc w:val="both"/>
        <w:rPr>
          <w:rFonts w:ascii="David" w:hAnsi="David"/>
        </w:rPr>
      </w:pPr>
      <w:r>
        <w:rPr>
          <w:rFonts w:ascii="David" w:hAnsi="David"/>
          <w:rtl/>
        </w:rPr>
        <w:t>סיכומו של דבר, לאחר שבחנתי את מכלול השיקולים, אני גוזר על הנאשם את העונשים הבאים:</w:t>
      </w:r>
    </w:p>
    <w:p w14:paraId="2B2F0045" w14:textId="77777777" w:rsidR="00B015AB" w:rsidRDefault="00B015AB" w:rsidP="00B015AB">
      <w:pPr>
        <w:pStyle w:val="a9"/>
        <w:ind w:left="0"/>
        <w:jc w:val="both"/>
        <w:rPr>
          <w:rFonts w:ascii="David" w:hAnsi="David"/>
          <w:rtl/>
        </w:rPr>
      </w:pPr>
    </w:p>
    <w:p w14:paraId="452A2D16" w14:textId="77777777" w:rsidR="00B015AB" w:rsidRPr="00647D8E" w:rsidRDefault="00B015AB" w:rsidP="00B015AB">
      <w:pPr>
        <w:pStyle w:val="a9"/>
        <w:numPr>
          <w:ilvl w:val="0"/>
          <w:numId w:val="2"/>
        </w:numPr>
        <w:spacing w:line="360" w:lineRule="auto"/>
        <w:jc w:val="both"/>
        <w:rPr>
          <w:rFonts w:ascii="David" w:hAnsi="David"/>
          <w:b/>
          <w:bCs/>
        </w:rPr>
      </w:pPr>
      <w:r>
        <w:rPr>
          <w:rFonts w:ascii="David" w:hAnsi="David"/>
          <w:rtl/>
        </w:rPr>
        <w:t xml:space="preserve">אני מחייב את הנאשם לבצע </w:t>
      </w:r>
      <w:r>
        <w:rPr>
          <w:rFonts w:ascii="David" w:hAnsi="David" w:hint="cs"/>
          <w:rtl/>
        </w:rPr>
        <w:t>250</w:t>
      </w:r>
      <w:r>
        <w:rPr>
          <w:rFonts w:ascii="David" w:hAnsi="David"/>
          <w:rtl/>
        </w:rPr>
        <w:t xml:space="preserve"> שעות של"צ בהתאם לתכנית שיגיש שירות המבחן בתוך 45 ימים. </w:t>
      </w:r>
    </w:p>
    <w:p w14:paraId="7E106C8C" w14:textId="77777777" w:rsidR="00B015AB" w:rsidRDefault="00B015AB" w:rsidP="00B015AB">
      <w:pPr>
        <w:pStyle w:val="a9"/>
        <w:numPr>
          <w:ilvl w:val="0"/>
          <w:numId w:val="2"/>
        </w:numPr>
        <w:spacing w:line="360" w:lineRule="auto"/>
        <w:jc w:val="both"/>
        <w:rPr>
          <w:rFonts w:ascii="David" w:hAnsi="David"/>
          <w:b/>
          <w:bCs/>
        </w:rPr>
      </w:pPr>
      <w:r w:rsidRPr="00647D8E">
        <w:rPr>
          <w:rFonts w:ascii="David" w:hAnsi="David"/>
          <w:rtl/>
        </w:rPr>
        <w:t xml:space="preserve">אני מעמיד את הנאשם בפיקוח שירות המבחן למשך 12 חודשים. </w:t>
      </w:r>
    </w:p>
    <w:p w14:paraId="5721229B" w14:textId="77777777" w:rsidR="00B015AB" w:rsidRDefault="00B015AB" w:rsidP="00B015AB">
      <w:pPr>
        <w:pStyle w:val="a9"/>
        <w:spacing w:line="360" w:lineRule="auto"/>
        <w:jc w:val="both"/>
        <w:rPr>
          <w:rFonts w:ascii="David" w:hAnsi="David"/>
          <w:b/>
          <w:bCs/>
        </w:rPr>
      </w:pPr>
      <w:r>
        <w:rPr>
          <w:rFonts w:ascii="David" w:hAnsi="David"/>
          <w:b/>
          <w:bCs/>
          <w:rtl/>
        </w:rPr>
        <w:t>הובהר לנאשם, בלשון פשוטה, כי עליו לבצע את שני הצווים בהתאם להוראות שירות המבחן וכי אם לא יעשה כן ניתן יהיה להפקיעם, להרשיעו ולהטיל עליו ענישה נוספת.</w:t>
      </w:r>
    </w:p>
    <w:p w14:paraId="2D3975F1" w14:textId="77777777" w:rsidR="00B015AB" w:rsidRDefault="00B015AB" w:rsidP="00B015AB">
      <w:pPr>
        <w:pStyle w:val="a9"/>
        <w:numPr>
          <w:ilvl w:val="0"/>
          <w:numId w:val="2"/>
        </w:numPr>
        <w:spacing w:line="360" w:lineRule="auto"/>
        <w:jc w:val="both"/>
        <w:rPr>
          <w:rFonts w:ascii="David" w:hAnsi="David"/>
        </w:rPr>
      </w:pPr>
      <w:r w:rsidRPr="00E756BF">
        <w:rPr>
          <w:rFonts w:ascii="David" w:hAnsi="David"/>
          <w:rtl/>
        </w:rPr>
        <w:t xml:space="preserve">מאסר על תנאי למשך </w:t>
      </w:r>
      <w:r>
        <w:rPr>
          <w:rFonts w:ascii="David" w:hAnsi="David" w:hint="cs"/>
          <w:rtl/>
        </w:rPr>
        <w:t>3</w:t>
      </w:r>
      <w:r w:rsidRPr="00E756BF">
        <w:rPr>
          <w:rFonts w:ascii="David" w:hAnsi="David"/>
          <w:rtl/>
        </w:rPr>
        <w:t xml:space="preserve"> חודשים והתנאי הוא שלא יעבור במשך שנתיים כל עבירה על </w:t>
      </w:r>
      <w:hyperlink r:id="rId48" w:history="1">
        <w:r w:rsidR="00265FF9" w:rsidRPr="00265FF9">
          <w:rPr>
            <w:rStyle w:val="Hyperlink"/>
            <w:rFonts w:ascii="David" w:hAnsi="David"/>
            <w:color w:val="0000FF"/>
            <w:rtl/>
          </w:rPr>
          <w:t>סעיף 144</w:t>
        </w:r>
      </w:hyperlink>
      <w:r w:rsidRPr="00E756BF">
        <w:rPr>
          <w:rFonts w:ascii="David" w:hAnsi="David"/>
          <w:rtl/>
        </w:rPr>
        <w:t xml:space="preserve"> ל</w:t>
      </w:r>
      <w:hyperlink r:id="rId49" w:history="1">
        <w:r w:rsidR="007C55CD" w:rsidRPr="007C55CD">
          <w:rPr>
            <w:rFonts w:ascii="David" w:hAnsi="David"/>
            <w:color w:val="0000FF"/>
            <w:u w:val="single"/>
            <w:rtl/>
          </w:rPr>
          <w:t>חוק העונשין</w:t>
        </w:r>
      </w:hyperlink>
      <w:r>
        <w:rPr>
          <w:rFonts w:ascii="David" w:hAnsi="David" w:hint="cs"/>
          <w:rtl/>
        </w:rPr>
        <w:t xml:space="preserve"> או עבירת רכוש שהיא עוון</w:t>
      </w:r>
      <w:r w:rsidRPr="00E756BF">
        <w:rPr>
          <w:rFonts w:ascii="David" w:hAnsi="David"/>
          <w:rtl/>
        </w:rPr>
        <w:t>.</w:t>
      </w:r>
    </w:p>
    <w:p w14:paraId="106E6C08" w14:textId="77777777" w:rsidR="00B015AB" w:rsidRDefault="00B015AB" w:rsidP="00B015AB">
      <w:pPr>
        <w:pStyle w:val="a9"/>
        <w:numPr>
          <w:ilvl w:val="0"/>
          <w:numId w:val="2"/>
        </w:numPr>
        <w:spacing w:line="360" w:lineRule="auto"/>
        <w:jc w:val="both"/>
        <w:rPr>
          <w:rFonts w:ascii="David" w:hAnsi="David"/>
        </w:rPr>
      </w:pPr>
      <w:r>
        <w:rPr>
          <w:rFonts w:ascii="David" w:hAnsi="David"/>
          <w:rtl/>
        </w:rPr>
        <w:t xml:space="preserve">מאסר על תנאי למשך 6 חודשים והתנאי הוא שלא יעבור בתוך שנתיים כל עבירת רכוש שהיא פשע. </w:t>
      </w:r>
    </w:p>
    <w:p w14:paraId="77331B56" w14:textId="77777777" w:rsidR="00B015AB" w:rsidRPr="003F5029" w:rsidRDefault="00B015AB" w:rsidP="00B015AB">
      <w:pPr>
        <w:pStyle w:val="a9"/>
        <w:numPr>
          <w:ilvl w:val="0"/>
          <w:numId w:val="2"/>
        </w:numPr>
        <w:spacing w:line="360" w:lineRule="auto"/>
        <w:jc w:val="both"/>
        <w:rPr>
          <w:rFonts w:ascii="David" w:hAnsi="David"/>
        </w:rPr>
      </w:pPr>
      <w:r w:rsidRPr="003F5029">
        <w:rPr>
          <w:rFonts w:ascii="David" w:hAnsi="David" w:hint="cs"/>
          <w:rtl/>
        </w:rPr>
        <w:t>פיצוי בסך 2,000 ₪ ש</w:t>
      </w:r>
      <w:r>
        <w:rPr>
          <w:rFonts w:ascii="David" w:hAnsi="David" w:hint="cs"/>
          <w:rtl/>
        </w:rPr>
        <w:t>י</w:t>
      </w:r>
      <w:r w:rsidRPr="003F5029">
        <w:rPr>
          <w:rFonts w:ascii="David" w:hAnsi="David" w:hint="cs"/>
          <w:rtl/>
        </w:rPr>
        <w:t>שולם ליורשי המתלוננת</w:t>
      </w:r>
      <w:r>
        <w:rPr>
          <w:rFonts w:ascii="David" w:hAnsi="David" w:hint="cs"/>
          <w:rtl/>
        </w:rPr>
        <w:t xml:space="preserve"> שבאישום 1</w:t>
      </w:r>
      <w:r w:rsidRPr="003F5029">
        <w:rPr>
          <w:rFonts w:ascii="David" w:hAnsi="David" w:hint="cs"/>
          <w:rtl/>
        </w:rPr>
        <w:t xml:space="preserve">. המאשימה תמסור בתוך 30 יום למזכירות את פרטי היורשים אליהם יש להעביר את הסכום. הסכום ישולם בתוך 120 יום. </w:t>
      </w:r>
    </w:p>
    <w:p w14:paraId="7EACA76D" w14:textId="77777777" w:rsidR="00B015AB" w:rsidRPr="00761F29" w:rsidRDefault="00B015AB" w:rsidP="00B015AB">
      <w:pPr>
        <w:pStyle w:val="a9"/>
        <w:spacing w:line="360" w:lineRule="auto"/>
        <w:jc w:val="both"/>
        <w:rPr>
          <w:rFonts w:ascii="David" w:hAnsi="David"/>
          <w:highlight w:val="yellow"/>
        </w:rPr>
      </w:pPr>
    </w:p>
    <w:p w14:paraId="40A00419" w14:textId="77777777" w:rsidR="00B015AB" w:rsidRPr="00E756BF" w:rsidRDefault="00B015AB" w:rsidP="00B015AB">
      <w:pPr>
        <w:spacing w:line="360" w:lineRule="auto"/>
        <w:jc w:val="both"/>
        <w:rPr>
          <w:rFonts w:ascii="David" w:hAnsi="David"/>
          <w:b/>
          <w:bCs/>
          <w:rtl/>
        </w:rPr>
      </w:pPr>
      <w:r w:rsidRPr="00E756BF">
        <w:rPr>
          <w:rFonts w:ascii="David" w:hAnsi="David" w:hint="cs"/>
          <w:b/>
          <w:bCs/>
          <w:rtl/>
        </w:rPr>
        <w:t>מוצגים- תחמושת ורימונים- להשמיד</w:t>
      </w:r>
      <w:r>
        <w:rPr>
          <w:rFonts w:ascii="David" w:hAnsi="David" w:hint="cs"/>
          <w:b/>
          <w:bCs/>
          <w:rtl/>
        </w:rPr>
        <w:t xml:space="preserve"> בחלוף תקופת הערעור.</w:t>
      </w:r>
    </w:p>
    <w:p w14:paraId="55CA0487" w14:textId="77777777" w:rsidR="00B015AB" w:rsidRPr="00E76236" w:rsidRDefault="007C55CD" w:rsidP="00B015AB">
      <w:pPr>
        <w:pStyle w:val="a9"/>
        <w:spacing w:line="360" w:lineRule="auto"/>
        <w:ind w:left="0"/>
        <w:jc w:val="both"/>
        <w:rPr>
          <w:rFonts w:ascii="David" w:hAnsi="David"/>
          <w:b/>
          <w:bCs/>
        </w:rPr>
      </w:pPr>
      <w:r w:rsidRPr="007C55CD">
        <w:rPr>
          <w:rFonts w:ascii="David" w:hAnsi="David"/>
          <w:b/>
          <w:bCs/>
          <w:color w:val="FFFFFF"/>
          <w:sz w:val="2"/>
          <w:szCs w:val="2"/>
          <w:rtl/>
        </w:rPr>
        <w:t>5129371</w:t>
      </w:r>
      <w:r w:rsidR="00B015AB" w:rsidRPr="00E76236">
        <w:rPr>
          <w:rFonts w:ascii="David" w:hAnsi="David" w:hint="cs"/>
          <w:b/>
          <w:bCs/>
          <w:rtl/>
        </w:rPr>
        <w:t>המזכירות תמציא את גזר הדין לשירות המבחן</w:t>
      </w:r>
    </w:p>
    <w:p w14:paraId="421C99E4" w14:textId="77777777" w:rsidR="00B015AB" w:rsidRDefault="007C55CD" w:rsidP="00B015AB">
      <w:pPr>
        <w:spacing w:line="360" w:lineRule="auto"/>
        <w:jc w:val="both"/>
        <w:rPr>
          <w:rFonts w:ascii="David" w:hAnsi="David"/>
        </w:rPr>
      </w:pPr>
      <w:r w:rsidRPr="007C55CD">
        <w:rPr>
          <w:rFonts w:ascii="David" w:hAnsi="David"/>
          <w:b/>
          <w:bCs/>
          <w:color w:val="FFFFFF"/>
          <w:sz w:val="2"/>
          <w:szCs w:val="2"/>
          <w:u w:val="single"/>
          <w:rtl/>
        </w:rPr>
        <w:t>54678313</w:t>
      </w:r>
      <w:r w:rsidR="00B015AB">
        <w:rPr>
          <w:rFonts w:ascii="David" w:hAnsi="David"/>
          <w:b/>
          <w:bCs/>
          <w:color w:val="000000"/>
          <w:u w:val="single"/>
          <w:rtl/>
        </w:rPr>
        <w:t>הודעה זכות ערעור לבית המשפט המחוזי בתוך 45 ימים</w:t>
      </w:r>
      <w:r w:rsidR="00B015AB">
        <w:rPr>
          <w:rFonts w:ascii="David" w:hAnsi="David"/>
          <w:b/>
          <w:bCs/>
          <w:color w:val="000000"/>
          <w:u w:val="single"/>
        </w:rPr>
        <w:t>.</w:t>
      </w:r>
    </w:p>
    <w:p w14:paraId="5E489A6A" w14:textId="77777777" w:rsidR="00B015AB" w:rsidRPr="0075152A" w:rsidRDefault="00B015AB" w:rsidP="00B015AB">
      <w:pPr>
        <w:spacing w:line="360" w:lineRule="auto"/>
        <w:jc w:val="both"/>
        <w:rPr>
          <w:rFonts w:ascii="David" w:hAnsi="David"/>
          <w:rtl/>
        </w:rPr>
      </w:pPr>
    </w:p>
    <w:p w14:paraId="2258C580" w14:textId="77777777" w:rsidR="00B015AB" w:rsidRPr="0075152A" w:rsidRDefault="007C55CD" w:rsidP="00B015AB">
      <w:pPr>
        <w:rPr>
          <w:rFonts w:ascii="David" w:hAnsi="David"/>
          <w:rtl/>
        </w:rPr>
      </w:pPr>
      <w:bookmarkStart w:id="7" w:name="Nitan"/>
      <w:r>
        <w:rPr>
          <w:rFonts w:ascii="David" w:hAnsi="David"/>
          <w:rtl/>
        </w:rPr>
        <w:t xml:space="preserve">ניתן היום,  כ"א טבת תשפ"ה, 21 ינואר 2025, במעמד הצדדים. </w:t>
      </w:r>
      <w:bookmarkEnd w:id="7"/>
    </w:p>
    <w:p w14:paraId="429D960B" w14:textId="77777777" w:rsidR="007C55CD" w:rsidRDefault="007C55CD" w:rsidP="007C55CD">
      <w:pPr>
        <w:rPr>
          <w:rtl/>
        </w:rPr>
      </w:pPr>
    </w:p>
    <w:p w14:paraId="3291F5F8" w14:textId="77777777" w:rsidR="007C55CD" w:rsidRDefault="007C55CD" w:rsidP="007C55CD">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495F9FF" w14:textId="77777777" w:rsidR="00265FF9" w:rsidRPr="00265FF9" w:rsidRDefault="00265FF9" w:rsidP="00265FF9">
      <w:pPr>
        <w:keepNext/>
        <w:rPr>
          <w:rFonts w:ascii="David" w:hAnsi="David"/>
          <w:color w:val="000000"/>
          <w:sz w:val="22"/>
          <w:szCs w:val="22"/>
          <w:rtl/>
        </w:rPr>
      </w:pPr>
    </w:p>
    <w:p w14:paraId="28A46961" w14:textId="77777777" w:rsidR="00265FF9" w:rsidRPr="00265FF9" w:rsidRDefault="00265FF9" w:rsidP="00265FF9">
      <w:pPr>
        <w:keepNext/>
        <w:rPr>
          <w:rFonts w:ascii="David" w:hAnsi="David"/>
          <w:color w:val="000000"/>
          <w:sz w:val="22"/>
          <w:szCs w:val="22"/>
          <w:rtl/>
        </w:rPr>
      </w:pPr>
      <w:r w:rsidRPr="00265FF9">
        <w:rPr>
          <w:rFonts w:ascii="David" w:hAnsi="David"/>
          <w:color w:val="000000"/>
          <w:sz w:val="22"/>
          <w:szCs w:val="22"/>
          <w:rtl/>
        </w:rPr>
        <w:t>יוסי טורס 54678313-/</w:t>
      </w:r>
    </w:p>
    <w:p w14:paraId="466B7B7D" w14:textId="77777777" w:rsidR="007C55CD" w:rsidRPr="007C55CD" w:rsidRDefault="00265FF9" w:rsidP="00265FF9">
      <w:pPr>
        <w:rPr>
          <w:color w:val="0000FF"/>
          <w:u w:val="single"/>
        </w:rPr>
      </w:pPr>
      <w:r w:rsidRPr="00265FF9">
        <w:rPr>
          <w:color w:val="000000"/>
          <w:u w:val="single"/>
          <w:rtl/>
        </w:rPr>
        <w:t>נוסח מסמך זה כפוף לשינויי ניסוח ועריכה</w:t>
      </w:r>
    </w:p>
    <w:sectPr w:rsidR="007C55CD" w:rsidRPr="007C55CD" w:rsidSect="00265FF9">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97866" w14:textId="77777777" w:rsidR="000946EA" w:rsidRDefault="000946EA" w:rsidP="00127DEC">
      <w:r>
        <w:separator/>
      </w:r>
    </w:p>
  </w:endnote>
  <w:endnote w:type="continuationSeparator" w:id="0">
    <w:p w14:paraId="0D063EC1" w14:textId="77777777" w:rsidR="000946EA" w:rsidRDefault="000946EA" w:rsidP="0012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0AF0B" w14:textId="77777777" w:rsidR="00265FF9" w:rsidRDefault="00265FF9" w:rsidP="00265F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FD805E0" w14:textId="77777777" w:rsidR="00FC61C8" w:rsidRPr="00265FF9" w:rsidRDefault="00265FF9" w:rsidP="00265FF9">
    <w:pPr>
      <w:pStyle w:val="a5"/>
      <w:pBdr>
        <w:top w:val="single" w:sz="4" w:space="1" w:color="auto"/>
        <w:between w:val="single" w:sz="4" w:space="0" w:color="auto"/>
      </w:pBdr>
      <w:spacing w:after="60"/>
      <w:jc w:val="center"/>
      <w:rPr>
        <w:rFonts w:ascii="FrankRuehl" w:hAnsi="FrankRuehl" w:cs="FrankRuehl"/>
        <w:color w:val="000000"/>
      </w:rPr>
    </w:pPr>
    <w:r w:rsidRPr="00265F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7C5D1" w14:textId="77777777" w:rsidR="00265FF9" w:rsidRDefault="00265FF9" w:rsidP="00265F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3930">
      <w:rPr>
        <w:rFonts w:ascii="FrankRuehl" w:hAnsi="FrankRuehl" w:cs="FrankRuehl"/>
        <w:noProof/>
        <w:rtl/>
      </w:rPr>
      <w:t>1</w:t>
    </w:r>
    <w:r>
      <w:rPr>
        <w:rFonts w:ascii="FrankRuehl" w:hAnsi="FrankRuehl" w:cs="FrankRuehl"/>
        <w:rtl/>
      </w:rPr>
      <w:fldChar w:fldCharType="end"/>
    </w:r>
  </w:p>
  <w:p w14:paraId="17EC96B4" w14:textId="77777777" w:rsidR="00FC61C8" w:rsidRPr="00265FF9" w:rsidRDefault="00265FF9" w:rsidP="00265FF9">
    <w:pPr>
      <w:pStyle w:val="a5"/>
      <w:pBdr>
        <w:top w:val="single" w:sz="4" w:space="1" w:color="auto"/>
        <w:between w:val="single" w:sz="4" w:space="0" w:color="auto"/>
      </w:pBdr>
      <w:spacing w:after="60"/>
      <w:jc w:val="center"/>
      <w:rPr>
        <w:rFonts w:ascii="FrankRuehl" w:hAnsi="FrankRuehl" w:cs="FrankRuehl"/>
        <w:color w:val="000000"/>
      </w:rPr>
    </w:pPr>
    <w:r w:rsidRPr="00265FF9">
      <w:rPr>
        <w:rFonts w:ascii="FrankRuehl" w:hAnsi="FrankRuehl" w:cs="FrankRuehl"/>
        <w:color w:val="000000"/>
      </w:rPr>
      <w:pict w14:anchorId="7B62E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FAAF3" w14:textId="77777777" w:rsidR="000946EA" w:rsidRDefault="000946EA" w:rsidP="00127DEC">
      <w:r>
        <w:separator/>
      </w:r>
    </w:p>
  </w:footnote>
  <w:footnote w:type="continuationSeparator" w:id="0">
    <w:p w14:paraId="74D11D08" w14:textId="77777777" w:rsidR="000946EA" w:rsidRDefault="000946EA" w:rsidP="00127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5CBF" w14:textId="77777777" w:rsidR="007C55CD" w:rsidRPr="00265FF9" w:rsidRDefault="00265FF9" w:rsidP="00265F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19950-09-23</w:t>
    </w:r>
    <w:r>
      <w:rPr>
        <w:rFonts w:ascii="David" w:hAnsi="David"/>
        <w:color w:val="000000"/>
        <w:sz w:val="22"/>
        <w:szCs w:val="22"/>
        <w:rtl/>
      </w:rPr>
      <w:tab/>
      <w:t xml:space="preserve"> מדינת ישראל נ' קיריל לוקיאנוב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D802" w14:textId="77777777" w:rsidR="007C55CD" w:rsidRPr="00265FF9" w:rsidRDefault="00265FF9" w:rsidP="00265F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19950-09-23</w:t>
    </w:r>
    <w:r>
      <w:rPr>
        <w:rFonts w:ascii="David" w:hAnsi="David"/>
        <w:color w:val="000000"/>
        <w:sz w:val="22"/>
        <w:szCs w:val="22"/>
        <w:rtl/>
      </w:rPr>
      <w:tab/>
      <w:t xml:space="preserve"> מדינת ישראל נ' קיריל לוקיאנוב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272C5"/>
    <w:multiLevelType w:val="hybridMultilevel"/>
    <w:tmpl w:val="726E45C8"/>
    <w:lvl w:ilvl="0" w:tplc="815E5EB6">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A76585"/>
    <w:multiLevelType w:val="hybridMultilevel"/>
    <w:tmpl w:val="F298455E"/>
    <w:lvl w:ilvl="0" w:tplc="51CA169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419554">
    <w:abstractNumId w:val="1"/>
  </w:num>
  <w:num w:numId="2" w16cid:durableId="1222785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15AB"/>
    <w:rsid w:val="000946EA"/>
    <w:rsid w:val="00127DEC"/>
    <w:rsid w:val="001F3930"/>
    <w:rsid w:val="00265FF9"/>
    <w:rsid w:val="005453FF"/>
    <w:rsid w:val="007C55CD"/>
    <w:rsid w:val="00972DBC"/>
    <w:rsid w:val="009F4F71"/>
    <w:rsid w:val="00B015AB"/>
    <w:rsid w:val="00FC61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71E210"/>
  <w15:chartTrackingRefBased/>
  <w15:docId w15:val="{C029F82E-BAE5-49C4-A448-CB47591B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15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015AB"/>
    <w:pPr>
      <w:tabs>
        <w:tab w:val="center" w:pos="4153"/>
        <w:tab w:val="right" w:pos="8306"/>
      </w:tabs>
    </w:pPr>
  </w:style>
  <w:style w:type="character" w:customStyle="1" w:styleId="a4">
    <w:name w:val="כותרת עליונה תו"/>
    <w:link w:val="a3"/>
    <w:rsid w:val="00B015AB"/>
    <w:rPr>
      <w:rFonts w:ascii="Times New Roman" w:eastAsia="Times New Roman" w:hAnsi="Times New Roman" w:cs="David"/>
      <w:sz w:val="24"/>
      <w:szCs w:val="24"/>
    </w:rPr>
  </w:style>
  <w:style w:type="paragraph" w:styleId="a5">
    <w:name w:val="footer"/>
    <w:basedOn w:val="a"/>
    <w:link w:val="a6"/>
    <w:rsid w:val="00B015AB"/>
    <w:pPr>
      <w:tabs>
        <w:tab w:val="center" w:pos="4153"/>
        <w:tab w:val="right" w:pos="8306"/>
      </w:tabs>
    </w:pPr>
  </w:style>
  <w:style w:type="character" w:customStyle="1" w:styleId="a6">
    <w:name w:val="כותרת תחתונה תו"/>
    <w:link w:val="a5"/>
    <w:rsid w:val="00B015AB"/>
    <w:rPr>
      <w:rFonts w:ascii="Times New Roman" w:eastAsia="Times New Roman" w:hAnsi="Times New Roman" w:cs="David"/>
      <w:sz w:val="24"/>
      <w:szCs w:val="24"/>
    </w:rPr>
  </w:style>
  <w:style w:type="table" w:styleId="a7">
    <w:name w:val="Table Grid"/>
    <w:basedOn w:val="a1"/>
    <w:rsid w:val="00B015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15AB"/>
  </w:style>
  <w:style w:type="paragraph" w:styleId="a9">
    <w:name w:val="List Paragraph"/>
    <w:basedOn w:val="a"/>
    <w:link w:val="aa"/>
    <w:qFormat/>
    <w:rsid w:val="00B015AB"/>
    <w:pPr>
      <w:ind w:left="720"/>
      <w:contextualSpacing/>
    </w:pPr>
  </w:style>
  <w:style w:type="character" w:customStyle="1" w:styleId="aa">
    <w:name w:val="פיסקת רשימה תו"/>
    <w:link w:val="a9"/>
    <w:locked/>
    <w:rsid w:val="00B015AB"/>
    <w:rPr>
      <w:rFonts w:ascii="Times New Roman" w:eastAsia="Times New Roman" w:hAnsi="Times New Roman" w:cs="David"/>
      <w:sz w:val="24"/>
      <w:szCs w:val="24"/>
    </w:rPr>
  </w:style>
  <w:style w:type="character" w:styleId="Hyperlink">
    <w:name w:val="Hyperlink"/>
    <w:rsid w:val="007C55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b"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28268880" TargetMode="External"/><Relationship Id="rId39" Type="http://schemas.openxmlformats.org/officeDocument/2006/relationships/hyperlink" Target="http://www.nevo.co.il/case/10459128"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27648787" TargetMode="External"/><Relationship Id="rId42" Type="http://schemas.openxmlformats.org/officeDocument/2006/relationships/hyperlink" Target="http://www.nevo.co.il/case/28032796" TargetMode="External"/><Relationship Id="rId47" Type="http://schemas.openxmlformats.org/officeDocument/2006/relationships/hyperlink" Target="http://www.nevo.co.il/case/6034646"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9913006"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8243273" TargetMode="External"/><Relationship Id="rId32" Type="http://schemas.openxmlformats.org/officeDocument/2006/relationships/hyperlink" Target="http://www.nevo.co.il/case/27513376" TargetMode="External"/><Relationship Id="rId37" Type="http://schemas.openxmlformats.org/officeDocument/2006/relationships/hyperlink" Target="http://www.nevo.co.il/case/22644926" TargetMode="External"/><Relationship Id="rId40" Type="http://schemas.openxmlformats.org/officeDocument/2006/relationships/hyperlink" Target="http://www.nevo.co.il/case/28180190" TargetMode="External"/><Relationship Id="rId45" Type="http://schemas.openxmlformats.org/officeDocument/2006/relationships/hyperlink" Target="http://www.nevo.co.il/case/2102446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244"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9867910"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0ja.10" TargetMode="External"/><Relationship Id="rId22" Type="http://schemas.openxmlformats.org/officeDocument/2006/relationships/hyperlink" Target="http://www.nevo.co.il/case/5701236" TargetMode="External"/><Relationship Id="rId27" Type="http://schemas.openxmlformats.org/officeDocument/2006/relationships/hyperlink" Target="http://www.nevo.co.il/case/29494397" TargetMode="External"/><Relationship Id="rId30" Type="http://schemas.openxmlformats.org/officeDocument/2006/relationships/hyperlink" Target="http://www.nevo.co.il/case/30541931" TargetMode="External"/><Relationship Id="rId35" Type="http://schemas.openxmlformats.org/officeDocument/2006/relationships/hyperlink" Target="http://www.nevo.co.il/case/29372283" TargetMode="External"/><Relationship Id="rId43" Type="http://schemas.openxmlformats.org/officeDocument/2006/relationships/hyperlink" Target="http://www.nevo.co.il/law/70301/40ja.10" TargetMode="External"/><Relationship Id="rId48" Type="http://schemas.openxmlformats.org/officeDocument/2006/relationships/hyperlink" Target="http://www.nevo.co.il/law/70301/144" TargetMode="External"/><Relationship Id="rId56" Type="http://schemas.openxmlformats.org/officeDocument/2006/relationships/theme" Target="theme/theme1.xml"/><Relationship Id="rId8" Type="http://schemas.openxmlformats.org/officeDocument/2006/relationships/hyperlink" Target="http://www.nevo.co.il/law/70301/144"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70301/384" TargetMode="External"/><Relationship Id="rId25" Type="http://schemas.openxmlformats.org/officeDocument/2006/relationships/hyperlink" Target="http://www.nevo.co.il/case/29372283" TargetMode="External"/><Relationship Id="rId33" Type="http://schemas.openxmlformats.org/officeDocument/2006/relationships/hyperlink" Target="http://www.nevo.co.il/case/27734980" TargetMode="External"/><Relationship Id="rId38" Type="http://schemas.openxmlformats.org/officeDocument/2006/relationships/hyperlink" Target="http://www.nevo.co.il/case/22938500" TargetMode="External"/><Relationship Id="rId46" Type="http://schemas.openxmlformats.org/officeDocument/2006/relationships/hyperlink" Target="http://www.nevo.co.il/case/5607845"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8452957"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6.b" TargetMode="External"/><Relationship Id="rId23" Type="http://schemas.openxmlformats.org/officeDocument/2006/relationships/hyperlink" Target="http://www.nevo.co.il/case/28774341" TargetMode="External"/><Relationship Id="rId28" Type="http://schemas.openxmlformats.org/officeDocument/2006/relationships/hyperlink" Target="http://www.nevo.co.il/case/28774341" TargetMode="External"/><Relationship Id="rId36" Type="http://schemas.openxmlformats.org/officeDocument/2006/relationships/hyperlink" Target="http://www.nevo.co.il/case/26309644" TargetMode="External"/><Relationship Id="rId4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3353</Words>
  <Characters>16766</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20079</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6357092</vt:i4>
      </vt:variant>
      <vt:variant>
        <vt:i4>123</vt:i4>
      </vt:variant>
      <vt:variant>
        <vt:i4>0</vt:i4>
      </vt:variant>
      <vt:variant>
        <vt:i4>5</vt:i4>
      </vt:variant>
      <vt:variant>
        <vt:lpwstr>http://www.nevo.co.il/law/70301/144</vt:lpwstr>
      </vt:variant>
      <vt:variant>
        <vt:lpwstr/>
      </vt:variant>
      <vt:variant>
        <vt:i4>3473524</vt:i4>
      </vt:variant>
      <vt:variant>
        <vt:i4>120</vt:i4>
      </vt:variant>
      <vt:variant>
        <vt:i4>0</vt:i4>
      </vt:variant>
      <vt:variant>
        <vt:i4>5</vt:i4>
      </vt:variant>
      <vt:variant>
        <vt:lpwstr>http://www.nevo.co.il/case/6034646</vt:lpwstr>
      </vt:variant>
      <vt:variant>
        <vt:lpwstr/>
      </vt:variant>
      <vt:variant>
        <vt:i4>3670129</vt:i4>
      </vt:variant>
      <vt:variant>
        <vt:i4>117</vt:i4>
      </vt:variant>
      <vt:variant>
        <vt:i4>0</vt:i4>
      </vt:variant>
      <vt:variant>
        <vt:i4>5</vt:i4>
      </vt:variant>
      <vt:variant>
        <vt:lpwstr>http://www.nevo.co.il/case/5607845</vt:lpwstr>
      </vt:variant>
      <vt:variant>
        <vt:lpwstr/>
      </vt:variant>
      <vt:variant>
        <vt:i4>3145843</vt:i4>
      </vt:variant>
      <vt:variant>
        <vt:i4>114</vt:i4>
      </vt:variant>
      <vt:variant>
        <vt:i4>0</vt:i4>
      </vt:variant>
      <vt:variant>
        <vt:i4>5</vt:i4>
      </vt:variant>
      <vt:variant>
        <vt:lpwstr>http://www.nevo.co.il/case/21024461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3473445</vt:i4>
      </vt:variant>
      <vt:variant>
        <vt:i4>108</vt:i4>
      </vt:variant>
      <vt:variant>
        <vt:i4>0</vt:i4>
      </vt:variant>
      <vt:variant>
        <vt:i4>5</vt:i4>
      </vt:variant>
      <vt:variant>
        <vt:lpwstr>http://www.nevo.co.il/law/70301/40ja.10</vt:lpwstr>
      </vt:variant>
      <vt:variant>
        <vt:lpwstr/>
      </vt:variant>
      <vt:variant>
        <vt:i4>3735672</vt:i4>
      </vt:variant>
      <vt:variant>
        <vt:i4>105</vt:i4>
      </vt:variant>
      <vt:variant>
        <vt:i4>0</vt:i4>
      </vt:variant>
      <vt:variant>
        <vt:i4>5</vt:i4>
      </vt:variant>
      <vt:variant>
        <vt:lpwstr>http://www.nevo.co.il/case/28032796</vt:lpwstr>
      </vt:variant>
      <vt:variant>
        <vt:lpwstr/>
      </vt:variant>
      <vt:variant>
        <vt:i4>3211376</vt:i4>
      </vt:variant>
      <vt:variant>
        <vt:i4>102</vt:i4>
      </vt:variant>
      <vt:variant>
        <vt:i4>0</vt:i4>
      </vt:variant>
      <vt:variant>
        <vt:i4>5</vt:i4>
      </vt:variant>
      <vt:variant>
        <vt:lpwstr>http://www.nevo.co.il/case/28452957</vt:lpwstr>
      </vt:variant>
      <vt:variant>
        <vt:lpwstr/>
      </vt:variant>
      <vt:variant>
        <vt:i4>3801205</vt:i4>
      </vt:variant>
      <vt:variant>
        <vt:i4>99</vt:i4>
      </vt:variant>
      <vt:variant>
        <vt:i4>0</vt:i4>
      </vt:variant>
      <vt:variant>
        <vt:i4>5</vt:i4>
      </vt:variant>
      <vt:variant>
        <vt:lpwstr>http://www.nevo.co.il/case/28180190</vt:lpwstr>
      </vt:variant>
      <vt:variant>
        <vt:lpwstr/>
      </vt:variant>
      <vt:variant>
        <vt:i4>4063344</vt:i4>
      </vt:variant>
      <vt:variant>
        <vt:i4>96</vt:i4>
      </vt:variant>
      <vt:variant>
        <vt:i4>0</vt:i4>
      </vt:variant>
      <vt:variant>
        <vt:i4>5</vt:i4>
      </vt:variant>
      <vt:variant>
        <vt:lpwstr>http://www.nevo.co.il/case/10459128</vt:lpwstr>
      </vt:variant>
      <vt:variant>
        <vt:lpwstr/>
      </vt:variant>
      <vt:variant>
        <vt:i4>3342448</vt:i4>
      </vt:variant>
      <vt:variant>
        <vt:i4>93</vt:i4>
      </vt:variant>
      <vt:variant>
        <vt:i4>0</vt:i4>
      </vt:variant>
      <vt:variant>
        <vt:i4>5</vt:i4>
      </vt:variant>
      <vt:variant>
        <vt:lpwstr>http://www.nevo.co.il/case/22938500</vt:lpwstr>
      </vt:variant>
      <vt:variant>
        <vt:lpwstr/>
      </vt:variant>
      <vt:variant>
        <vt:i4>3276923</vt:i4>
      </vt:variant>
      <vt:variant>
        <vt:i4>90</vt:i4>
      </vt:variant>
      <vt:variant>
        <vt:i4>0</vt:i4>
      </vt:variant>
      <vt:variant>
        <vt:i4>5</vt:i4>
      </vt:variant>
      <vt:variant>
        <vt:lpwstr>http://www.nevo.co.il/case/22644926</vt:lpwstr>
      </vt:variant>
      <vt:variant>
        <vt:lpwstr/>
      </vt:variant>
      <vt:variant>
        <vt:i4>3932276</vt:i4>
      </vt:variant>
      <vt:variant>
        <vt:i4>87</vt:i4>
      </vt:variant>
      <vt:variant>
        <vt:i4>0</vt:i4>
      </vt:variant>
      <vt:variant>
        <vt:i4>5</vt:i4>
      </vt:variant>
      <vt:variant>
        <vt:lpwstr>http://www.nevo.co.il/case/26309644</vt:lpwstr>
      </vt:variant>
      <vt:variant>
        <vt:lpwstr/>
      </vt:variant>
      <vt:variant>
        <vt:i4>3866744</vt:i4>
      </vt:variant>
      <vt:variant>
        <vt:i4>84</vt:i4>
      </vt:variant>
      <vt:variant>
        <vt:i4>0</vt:i4>
      </vt:variant>
      <vt:variant>
        <vt:i4>5</vt:i4>
      </vt:variant>
      <vt:variant>
        <vt:lpwstr>http://www.nevo.co.il/case/29372283</vt:lpwstr>
      </vt:variant>
      <vt:variant>
        <vt:lpwstr/>
      </vt:variant>
      <vt:variant>
        <vt:i4>3407984</vt:i4>
      </vt:variant>
      <vt:variant>
        <vt:i4>81</vt:i4>
      </vt:variant>
      <vt:variant>
        <vt:i4>0</vt:i4>
      </vt:variant>
      <vt:variant>
        <vt:i4>5</vt:i4>
      </vt:variant>
      <vt:variant>
        <vt:lpwstr>http://www.nevo.co.il/case/27648787</vt:lpwstr>
      </vt:variant>
      <vt:variant>
        <vt:lpwstr/>
      </vt:variant>
      <vt:variant>
        <vt:i4>3735673</vt:i4>
      </vt:variant>
      <vt:variant>
        <vt:i4>78</vt:i4>
      </vt:variant>
      <vt:variant>
        <vt:i4>0</vt:i4>
      </vt:variant>
      <vt:variant>
        <vt:i4>5</vt:i4>
      </vt:variant>
      <vt:variant>
        <vt:lpwstr>http://www.nevo.co.il/case/27734980</vt:lpwstr>
      </vt:variant>
      <vt:variant>
        <vt:lpwstr/>
      </vt:variant>
      <vt:variant>
        <vt:i4>3342449</vt:i4>
      </vt:variant>
      <vt:variant>
        <vt:i4>75</vt:i4>
      </vt:variant>
      <vt:variant>
        <vt:i4>0</vt:i4>
      </vt:variant>
      <vt:variant>
        <vt:i4>5</vt:i4>
      </vt:variant>
      <vt:variant>
        <vt:lpwstr>http://www.nevo.co.il/case/27513376</vt:lpwstr>
      </vt:variant>
      <vt:variant>
        <vt:lpwstr/>
      </vt:variant>
      <vt:variant>
        <vt:i4>3932274</vt:i4>
      </vt:variant>
      <vt:variant>
        <vt:i4>72</vt:i4>
      </vt:variant>
      <vt:variant>
        <vt:i4>0</vt:i4>
      </vt:variant>
      <vt:variant>
        <vt:i4>5</vt:i4>
      </vt:variant>
      <vt:variant>
        <vt:lpwstr>http://www.nevo.co.il/case/29867910</vt:lpwstr>
      </vt:variant>
      <vt:variant>
        <vt:lpwstr/>
      </vt:variant>
      <vt:variant>
        <vt:i4>3407993</vt:i4>
      </vt:variant>
      <vt:variant>
        <vt:i4>69</vt:i4>
      </vt:variant>
      <vt:variant>
        <vt:i4>0</vt:i4>
      </vt:variant>
      <vt:variant>
        <vt:i4>5</vt:i4>
      </vt:variant>
      <vt:variant>
        <vt:lpwstr>http://www.nevo.co.il/case/30541931</vt:lpwstr>
      </vt:variant>
      <vt:variant>
        <vt:lpwstr/>
      </vt:variant>
      <vt:variant>
        <vt:i4>3670140</vt:i4>
      </vt:variant>
      <vt:variant>
        <vt:i4>66</vt:i4>
      </vt:variant>
      <vt:variant>
        <vt:i4>0</vt:i4>
      </vt:variant>
      <vt:variant>
        <vt:i4>5</vt:i4>
      </vt:variant>
      <vt:variant>
        <vt:lpwstr>http://www.nevo.co.il/case/29913006</vt:lpwstr>
      </vt:variant>
      <vt:variant>
        <vt:lpwstr/>
      </vt:variant>
      <vt:variant>
        <vt:i4>3473528</vt:i4>
      </vt:variant>
      <vt:variant>
        <vt:i4>63</vt:i4>
      </vt:variant>
      <vt:variant>
        <vt:i4>0</vt:i4>
      </vt:variant>
      <vt:variant>
        <vt:i4>5</vt:i4>
      </vt:variant>
      <vt:variant>
        <vt:lpwstr>http://www.nevo.co.il/case/28774341</vt:lpwstr>
      </vt:variant>
      <vt:variant>
        <vt:lpwstr/>
      </vt:variant>
      <vt:variant>
        <vt:i4>3866743</vt:i4>
      </vt:variant>
      <vt:variant>
        <vt:i4>60</vt:i4>
      </vt:variant>
      <vt:variant>
        <vt:i4>0</vt:i4>
      </vt:variant>
      <vt:variant>
        <vt:i4>5</vt:i4>
      </vt:variant>
      <vt:variant>
        <vt:lpwstr>http://www.nevo.co.il/case/29494397</vt:lpwstr>
      </vt:variant>
      <vt:variant>
        <vt:lpwstr/>
      </vt:variant>
      <vt:variant>
        <vt:i4>3145842</vt:i4>
      </vt:variant>
      <vt:variant>
        <vt:i4>57</vt:i4>
      </vt:variant>
      <vt:variant>
        <vt:i4>0</vt:i4>
      </vt:variant>
      <vt:variant>
        <vt:i4>5</vt:i4>
      </vt:variant>
      <vt:variant>
        <vt:lpwstr>http://www.nevo.co.il/case/28268880</vt:lpwstr>
      </vt:variant>
      <vt:variant>
        <vt:lpwstr/>
      </vt:variant>
      <vt:variant>
        <vt:i4>3866744</vt:i4>
      </vt:variant>
      <vt:variant>
        <vt:i4>54</vt:i4>
      </vt:variant>
      <vt:variant>
        <vt:i4>0</vt:i4>
      </vt:variant>
      <vt:variant>
        <vt:i4>5</vt:i4>
      </vt:variant>
      <vt:variant>
        <vt:lpwstr>http://www.nevo.co.il/case/29372283</vt:lpwstr>
      </vt:variant>
      <vt:variant>
        <vt:lpwstr/>
      </vt:variant>
      <vt:variant>
        <vt:i4>3407994</vt:i4>
      </vt:variant>
      <vt:variant>
        <vt:i4>51</vt:i4>
      </vt:variant>
      <vt:variant>
        <vt:i4>0</vt:i4>
      </vt:variant>
      <vt:variant>
        <vt:i4>5</vt:i4>
      </vt:variant>
      <vt:variant>
        <vt:lpwstr>http://www.nevo.co.il/case/28243273</vt:lpwstr>
      </vt:variant>
      <vt:variant>
        <vt:lpwstr/>
      </vt:variant>
      <vt:variant>
        <vt:i4>3473528</vt:i4>
      </vt:variant>
      <vt:variant>
        <vt:i4>48</vt:i4>
      </vt:variant>
      <vt:variant>
        <vt:i4>0</vt:i4>
      </vt:variant>
      <vt:variant>
        <vt:i4>5</vt:i4>
      </vt:variant>
      <vt:variant>
        <vt:lpwstr>http://www.nevo.co.il/case/28774341</vt:lpwstr>
      </vt:variant>
      <vt:variant>
        <vt:lpwstr/>
      </vt:variant>
      <vt:variant>
        <vt:i4>3211377</vt:i4>
      </vt:variant>
      <vt:variant>
        <vt:i4>45</vt:i4>
      </vt:variant>
      <vt:variant>
        <vt:i4>0</vt:i4>
      </vt:variant>
      <vt:variant>
        <vt:i4>5</vt:i4>
      </vt:variant>
      <vt:variant>
        <vt:lpwstr>http://www.nevo.co.il/case/5701236</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4915287</vt:i4>
      </vt:variant>
      <vt:variant>
        <vt:i4>24</vt:i4>
      </vt:variant>
      <vt:variant>
        <vt:i4>0</vt:i4>
      </vt:variant>
      <vt:variant>
        <vt:i4>5</vt:i4>
      </vt:variant>
      <vt:variant>
        <vt:lpwstr>http://www.nevo.co.il/law/70301/406.b</vt:lpwstr>
      </vt:variant>
      <vt:variant>
        <vt:lpwstr/>
      </vt:variant>
      <vt:variant>
        <vt:i4>3473445</vt:i4>
      </vt:variant>
      <vt:variant>
        <vt:i4>21</vt:i4>
      </vt:variant>
      <vt:variant>
        <vt:i4>0</vt:i4>
      </vt:variant>
      <vt:variant>
        <vt:i4>5</vt:i4>
      </vt:variant>
      <vt:variant>
        <vt:lpwstr>http://www.nevo.co.il/law/70301/40ja.10</vt:lpwstr>
      </vt:variant>
      <vt:variant>
        <vt:lpwstr/>
      </vt:variant>
      <vt:variant>
        <vt:i4>4915287</vt:i4>
      </vt:variant>
      <vt:variant>
        <vt:i4>18</vt:i4>
      </vt:variant>
      <vt:variant>
        <vt:i4>0</vt:i4>
      </vt:variant>
      <vt:variant>
        <vt:i4>5</vt:i4>
      </vt:variant>
      <vt:variant>
        <vt:lpwstr>http://www.nevo.co.il/law/70301/406.b</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19950</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קיריל לוקיאנוב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20250121</vt:lpwstr>
  </property>
  <property fmtid="{D5CDD505-2E9C-101B-9397-08002B2CF9AE}" pid="13" name="TYPE_N_DATE">
    <vt:lpwstr>38020250121</vt:lpwstr>
  </property>
  <property fmtid="{D5CDD505-2E9C-101B-9397-08002B2CF9AE}" pid="14" name="CASESLISTTMP1">
    <vt:lpwstr>5701236;28774341:2;28243273;29372283:2;28268880;29494397;29913006;30541931;29867910;27513376;27734980;27648787;26309644;22644926;22938500;10459128;28180190;28452957;28032796;21024461;5607845;6034646</vt:lpwstr>
  </property>
  <property fmtid="{D5CDD505-2E9C-101B-9397-08002B2CF9AE}" pid="15" name="CASENOTES1">
    <vt:lpwstr>ProcID=213&amp;PartA=23&amp;PartC=25</vt:lpwstr>
  </property>
  <property fmtid="{D5CDD505-2E9C-101B-9397-08002B2CF9AE}" pid="16" name="CASENOTES2">
    <vt:lpwstr>ProcID=179&amp;PartA=8&amp;PartC=23</vt:lpwstr>
  </property>
  <property fmtid="{D5CDD505-2E9C-101B-9397-08002B2CF9AE}" pid="17" name="WORDNUMPAGES">
    <vt:lpwstr>9</vt:lpwstr>
  </property>
  <property fmtid="{D5CDD505-2E9C-101B-9397-08002B2CF9AE}" pid="18" name="TYPE_ABS_DATE">
    <vt:lpwstr>380020250121</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70301/406.b;384;244;144.a;275;40ja.10;144</vt:lpwstr>
  </property>
  <property fmtid="{D5CDD505-2E9C-101B-9397-08002B2CF9AE}" pid="38" name="ISABSTRACT">
    <vt:lpwstr>Y</vt:lpwstr>
  </property>
</Properties>
</file>