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DE2500" w:rsidRPr="00CB4BAA" w14:paraId="0765EF20" w14:textId="77777777" w:rsidTr="0017299D">
        <w:trPr>
          <w:gridAfter w:val="1"/>
          <w:wAfter w:w="99" w:type="dxa"/>
          <w:trHeight w:hRule="exact" w:val="418"/>
          <w:jc w:val="center"/>
        </w:trPr>
        <w:tc>
          <w:tcPr>
            <w:tcW w:w="8721" w:type="dxa"/>
            <w:gridSpan w:val="4"/>
          </w:tcPr>
          <w:p w14:paraId="16CE6784" w14:textId="77777777" w:rsidR="00DE2500" w:rsidRPr="00CB4BAA" w:rsidRDefault="00DE2500" w:rsidP="00816429">
            <w:pPr>
              <w:pStyle w:val="a3"/>
              <w:jc w:val="center"/>
              <w:rPr>
                <w:rFonts w:ascii="Tahoma" w:hAnsi="Tahoma" w:cs="Tahoma"/>
                <w:color w:val="000080"/>
                <w:rtl/>
              </w:rPr>
            </w:pPr>
            <w:bookmarkStart w:id="0" w:name="LastJudge"/>
            <w:r w:rsidRPr="00CB4BAA">
              <w:rPr>
                <w:rFonts w:ascii="Tahoma" w:hAnsi="Tahoma" w:cs="Tahoma"/>
                <w:b/>
                <w:bCs/>
                <w:color w:val="000080"/>
                <w:rtl/>
              </w:rPr>
              <w:t>בית משפט השלום בחיפה</w:t>
            </w:r>
          </w:p>
        </w:tc>
      </w:tr>
      <w:tr w:rsidR="00DE2500" w:rsidRPr="00CB4BAA" w14:paraId="7FE0272C" w14:textId="77777777" w:rsidTr="0017299D">
        <w:trPr>
          <w:gridAfter w:val="1"/>
          <w:wAfter w:w="99" w:type="dxa"/>
          <w:trHeight w:val="337"/>
          <w:jc w:val="center"/>
        </w:trPr>
        <w:tc>
          <w:tcPr>
            <w:tcW w:w="5058" w:type="dxa"/>
            <w:gridSpan w:val="3"/>
          </w:tcPr>
          <w:p w14:paraId="6C934CA1" w14:textId="77777777" w:rsidR="00DE2500" w:rsidRPr="00CB4BAA" w:rsidRDefault="00DE2500" w:rsidP="00816429">
            <w:pPr>
              <w:rPr>
                <w:rFonts w:cs="FrankRuehl"/>
                <w:sz w:val="28"/>
                <w:szCs w:val="28"/>
                <w:rtl/>
              </w:rPr>
            </w:pPr>
            <w:r w:rsidRPr="00CB4BAA">
              <w:rPr>
                <w:rFonts w:cs="FrankRuehl"/>
                <w:sz w:val="28"/>
                <w:szCs w:val="28"/>
                <w:rtl/>
              </w:rPr>
              <w:t>ת"פ</w:t>
            </w:r>
            <w:r w:rsidRPr="00CB4BAA">
              <w:rPr>
                <w:rFonts w:cs="FrankRuehl" w:hint="cs"/>
                <w:sz w:val="28"/>
                <w:szCs w:val="28"/>
                <w:rtl/>
              </w:rPr>
              <w:t xml:space="preserve"> </w:t>
            </w:r>
            <w:r w:rsidRPr="00CB4BAA">
              <w:rPr>
                <w:rFonts w:cs="FrankRuehl"/>
                <w:sz w:val="28"/>
                <w:szCs w:val="28"/>
                <w:rtl/>
              </w:rPr>
              <w:t>59614-09-23</w:t>
            </w:r>
            <w:r w:rsidRPr="00CB4BAA">
              <w:rPr>
                <w:rFonts w:cs="FrankRuehl" w:hint="cs"/>
                <w:sz w:val="28"/>
                <w:szCs w:val="28"/>
                <w:rtl/>
              </w:rPr>
              <w:t xml:space="preserve"> </w:t>
            </w:r>
            <w:r w:rsidRPr="00CB4BAA">
              <w:rPr>
                <w:rFonts w:cs="FrankRuehl"/>
                <w:sz w:val="28"/>
                <w:szCs w:val="28"/>
                <w:rtl/>
              </w:rPr>
              <w:t>מדינת ישראל נ' נסר אלדין(עציר)</w:t>
            </w:r>
          </w:p>
          <w:p w14:paraId="69EFAA8E" w14:textId="77777777" w:rsidR="00DE2500" w:rsidRPr="00CB4BAA" w:rsidRDefault="00DE2500" w:rsidP="00816429">
            <w:pPr>
              <w:pStyle w:val="a3"/>
              <w:rPr>
                <w:rFonts w:cs="FrankRuehl"/>
                <w:sz w:val="28"/>
                <w:szCs w:val="28"/>
                <w:rtl/>
              </w:rPr>
            </w:pPr>
          </w:p>
        </w:tc>
        <w:tc>
          <w:tcPr>
            <w:tcW w:w="3663" w:type="dxa"/>
          </w:tcPr>
          <w:p w14:paraId="2A6F0359" w14:textId="77777777" w:rsidR="00DE2500" w:rsidRPr="00CB4BAA" w:rsidRDefault="00DE2500" w:rsidP="00816429">
            <w:pPr>
              <w:pStyle w:val="a3"/>
              <w:jc w:val="right"/>
              <w:rPr>
                <w:rFonts w:cs="FrankRuehl"/>
                <w:sz w:val="28"/>
                <w:szCs w:val="28"/>
                <w:rtl/>
              </w:rPr>
            </w:pPr>
          </w:p>
        </w:tc>
      </w:tr>
      <w:tr w:rsidR="00DE2500" w:rsidRPr="00CB4BAA" w14:paraId="40E4DFE4" w14:textId="77777777" w:rsidTr="001729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54BCBE1" w14:textId="77777777" w:rsidR="00DE2500" w:rsidRPr="00CB4BAA" w:rsidRDefault="00DE2500" w:rsidP="00DE2500">
            <w:pPr>
              <w:jc w:val="both"/>
              <w:rPr>
                <w:rFonts w:ascii="David" w:hAnsi="David"/>
                <w:sz w:val="26"/>
                <w:szCs w:val="26"/>
              </w:rPr>
            </w:pPr>
            <w:r w:rsidRPr="00CB4BAA">
              <w:rPr>
                <w:rFonts w:hint="cs"/>
                <w:rtl/>
              </w:rPr>
              <w:t xml:space="preserve"> </w:t>
            </w:r>
            <w:r w:rsidRPr="00CB4BAA">
              <w:rPr>
                <w:rFonts w:ascii="David" w:hAnsi="David"/>
                <w:sz w:val="26"/>
                <w:szCs w:val="26"/>
                <w:rtl/>
              </w:rPr>
              <w:t xml:space="preserve">לפני </w:t>
            </w:r>
          </w:p>
        </w:tc>
        <w:tc>
          <w:tcPr>
            <w:tcW w:w="7897" w:type="dxa"/>
            <w:gridSpan w:val="4"/>
            <w:tcBorders>
              <w:top w:val="nil"/>
              <w:left w:val="nil"/>
              <w:bottom w:val="nil"/>
              <w:right w:val="nil"/>
            </w:tcBorders>
            <w:shd w:val="clear" w:color="auto" w:fill="auto"/>
          </w:tcPr>
          <w:p w14:paraId="57D94B2E" w14:textId="77777777" w:rsidR="00DE2500" w:rsidRPr="00CB4BAA" w:rsidRDefault="00DE2500" w:rsidP="00816429">
            <w:pPr>
              <w:rPr>
                <w:rFonts w:ascii="David" w:hAnsi="David"/>
                <w:b/>
                <w:bCs/>
                <w:sz w:val="26"/>
                <w:szCs w:val="26"/>
                <w:rtl/>
              </w:rPr>
            </w:pPr>
            <w:r w:rsidRPr="00CB4BAA">
              <w:rPr>
                <w:rFonts w:ascii="David" w:hAnsi="David"/>
                <w:b/>
                <w:bCs/>
                <w:sz w:val="26"/>
                <w:szCs w:val="26"/>
                <w:rtl/>
              </w:rPr>
              <w:t>כבוד השופטת  מריה פיקוס בוגדאנוב</w:t>
            </w:r>
          </w:p>
          <w:p w14:paraId="462618C0" w14:textId="77777777" w:rsidR="00DE2500" w:rsidRPr="00CB4BAA" w:rsidRDefault="00DE2500" w:rsidP="00816429">
            <w:pPr>
              <w:rPr>
                <w:rFonts w:ascii="David" w:hAnsi="David"/>
                <w:sz w:val="26"/>
                <w:szCs w:val="26"/>
                <w:rtl/>
              </w:rPr>
            </w:pPr>
          </w:p>
          <w:p w14:paraId="3E904CF3" w14:textId="77777777" w:rsidR="00DE2500" w:rsidRPr="00CB4BAA" w:rsidRDefault="00DE2500" w:rsidP="00DE2500">
            <w:pPr>
              <w:jc w:val="both"/>
              <w:rPr>
                <w:rFonts w:ascii="David" w:hAnsi="David"/>
                <w:sz w:val="26"/>
                <w:szCs w:val="26"/>
              </w:rPr>
            </w:pPr>
          </w:p>
        </w:tc>
      </w:tr>
      <w:tr w:rsidR="00DE2500" w:rsidRPr="00CB4BAA" w14:paraId="5E9D1636" w14:textId="77777777" w:rsidTr="001729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6E10F6" w14:textId="77777777" w:rsidR="00DE2500" w:rsidRPr="00CB4BAA" w:rsidRDefault="00DE2500" w:rsidP="00DE2500">
            <w:pPr>
              <w:jc w:val="both"/>
              <w:rPr>
                <w:rFonts w:ascii="David" w:hAnsi="David"/>
                <w:sz w:val="26"/>
                <w:szCs w:val="26"/>
              </w:rPr>
            </w:pPr>
            <w:bookmarkStart w:id="1" w:name="FirstAppellant"/>
            <w:r w:rsidRPr="00CB4BAA">
              <w:rPr>
                <w:rFonts w:ascii="David" w:hAnsi="David"/>
                <w:sz w:val="26"/>
                <w:szCs w:val="26"/>
                <w:rtl/>
              </w:rPr>
              <w:t>בעניין:</w:t>
            </w:r>
          </w:p>
        </w:tc>
        <w:tc>
          <w:tcPr>
            <w:tcW w:w="3219" w:type="dxa"/>
            <w:tcBorders>
              <w:top w:val="nil"/>
              <w:left w:val="nil"/>
              <w:bottom w:val="nil"/>
              <w:right w:val="nil"/>
            </w:tcBorders>
            <w:shd w:val="clear" w:color="auto" w:fill="auto"/>
          </w:tcPr>
          <w:p w14:paraId="448D6CC2" w14:textId="77777777" w:rsidR="00DE2500" w:rsidRPr="00CB4BAA" w:rsidRDefault="00DE2500" w:rsidP="00DE2500">
            <w:pPr>
              <w:suppressLineNumbers/>
              <w:rPr>
                <w:rFonts w:ascii="David" w:hAnsi="David"/>
              </w:rPr>
            </w:pPr>
            <w:r w:rsidRPr="00CB4BAA">
              <w:rPr>
                <w:rFonts w:ascii="David" w:hAnsi="David"/>
                <w:b/>
                <w:bCs/>
                <w:sz w:val="26"/>
                <w:szCs w:val="26"/>
                <w:rtl/>
              </w:rPr>
              <w:t>המאשימה</w:t>
            </w:r>
          </w:p>
          <w:p w14:paraId="00921B95" w14:textId="77777777" w:rsidR="00DE2500" w:rsidRPr="00CB4BAA" w:rsidRDefault="00DE2500" w:rsidP="0081642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038D316" w14:textId="77777777" w:rsidR="00DE2500" w:rsidRPr="00CB4BAA" w:rsidRDefault="00DE2500" w:rsidP="00DE2500">
            <w:pPr>
              <w:suppressLineNumbers/>
              <w:rPr>
                <w:rFonts w:ascii="David" w:hAnsi="David"/>
              </w:rPr>
            </w:pPr>
            <w:r w:rsidRPr="00CB4BAA">
              <w:rPr>
                <w:rFonts w:ascii="David" w:hAnsi="David"/>
                <w:b/>
                <w:bCs/>
                <w:sz w:val="26"/>
                <w:szCs w:val="26"/>
                <w:rtl/>
              </w:rPr>
              <w:t xml:space="preserve">מדינת ישראל </w:t>
            </w:r>
          </w:p>
          <w:p w14:paraId="1F06B010" w14:textId="77777777" w:rsidR="00DE2500" w:rsidRPr="00CB4BAA" w:rsidRDefault="00DE2500" w:rsidP="00816429">
            <w:pPr>
              <w:rPr>
                <w:rFonts w:ascii="David" w:hAnsi="David"/>
                <w:sz w:val="26"/>
                <w:szCs w:val="26"/>
              </w:rPr>
            </w:pPr>
          </w:p>
        </w:tc>
      </w:tr>
      <w:bookmarkEnd w:id="1"/>
      <w:tr w:rsidR="00DE2500" w:rsidRPr="00CB4BAA" w14:paraId="3712194D" w14:textId="77777777" w:rsidTr="001729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69F321" w14:textId="77777777" w:rsidR="00DE2500" w:rsidRPr="00CB4BAA" w:rsidRDefault="00DE2500" w:rsidP="00DE250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AA106D7" w14:textId="77777777" w:rsidR="00DE2500" w:rsidRPr="00CB4BAA" w:rsidRDefault="00DE2500" w:rsidP="00DE2500">
            <w:pPr>
              <w:jc w:val="center"/>
              <w:rPr>
                <w:rFonts w:ascii="David" w:hAnsi="David"/>
                <w:b/>
                <w:bCs/>
                <w:sz w:val="26"/>
                <w:szCs w:val="26"/>
                <w:rtl/>
              </w:rPr>
            </w:pPr>
          </w:p>
          <w:p w14:paraId="4E903561" w14:textId="77777777" w:rsidR="00DE2500" w:rsidRPr="00CB4BAA" w:rsidRDefault="00DE2500" w:rsidP="00DE2500">
            <w:pPr>
              <w:jc w:val="center"/>
              <w:rPr>
                <w:rFonts w:ascii="David" w:hAnsi="David"/>
                <w:b/>
                <w:bCs/>
                <w:sz w:val="26"/>
                <w:szCs w:val="26"/>
                <w:rtl/>
              </w:rPr>
            </w:pPr>
            <w:r w:rsidRPr="00CB4BAA">
              <w:rPr>
                <w:rFonts w:ascii="David" w:hAnsi="David"/>
                <w:b/>
                <w:bCs/>
                <w:sz w:val="26"/>
                <w:szCs w:val="26"/>
                <w:rtl/>
              </w:rPr>
              <w:t>נגד</w:t>
            </w:r>
          </w:p>
          <w:p w14:paraId="0D5CAAD3" w14:textId="77777777" w:rsidR="00DE2500" w:rsidRPr="00CB4BAA" w:rsidRDefault="00DE2500" w:rsidP="00DE2500">
            <w:pPr>
              <w:jc w:val="both"/>
              <w:rPr>
                <w:rFonts w:ascii="David" w:hAnsi="David"/>
                <w:sz w:val="26"/>
                <w:szCs w:val="26"/>
              </w:rPr>
            </w:pPr>
          </w:p>
        </w:tc>
      </w:tr>
      <w:tr w:rsidR="00DE2500" w:rsidRPr="00CB4BAA" w14:paraId="32DEDC1A" w14:textId="77777777" w:rsidTr="001729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615EBC" w14:textId="77777777" w:rsidR="00DE2500" w:rsidRPr="00CB4BAA" w:rsidRDefault="00DE2500" w:rsidP="00816429">
            <w:pPr>
              <w:rPr>
                <w:rFonts w:ascii="David" w:hAnsi="David"/>
                <w:sz w:val="26"/>
                <w:szCs w:val="26"/>
                <w:rtl/>
              </w:rPr>
            </w:pPr>
          </w:p>
        </w:tc>
        <w:tc>
          <w:tcPr>
            <w:tcW w:w="3219" w:type="dxa"/>
            <w:tcBorders>
              <w:top w:val="nil"/>
              <w:left w:val="nil"/>
              <w:bottom w:val="nil"/>
              <w:right w:val="nil"/>
            </w:tcBorders>
            <w:shd w:val="clear" w:color="auto" w:fill="auto"/>
          </w:tcPr>
          <w:p w14:paraId="4E7C423D" w14:textId="77777777" w:rsidR="00DE2500" w:rsidRPr="00CB4BAA" w:rsidRDefault="00DE2500" w:rsidP="00816429">
            <w:pPr>
              <w:rPr>
                <w:rFonts w:ascii="David" w:hAnsi="David"/>
                <w:b/>
                <w:bCs/>
                <w:sz w:val="26"/>
                <w:szCs w:val="26"/>
                <w:rtl/>
              </w:rPr>
            </w:pPr>
            <w:r w:rsidRPr="00CB4BAA">
              <w:rPr>
                <w:rFonts w:ascii="David" w:hAnsi="David"/>
                <w:b/>
                <w:bCs/>
                <w:sz w:val="26"/>
                <w:szCs w:val="26"/>
                <w:rtl/>
              </w:rPr>
              <w:t>הנאשם</w:t>
            </w:r>
          </w:p>
        </w:tc>
        <w:tc>
          <w:tcPr>
            <w:tcW w:w="4678" w:type="dxa"/>
            <w:gridSpan w:val="3"/>
            <w:tcBorders>
              <w:top w:val="nil"/>
              <w:left w:val="nil"/>
              <w:bottom w:val="nil"/>
              <w:right w:val="nil"/>
            </w:tcBorders>
            <w:shd w:val="clear" w:color="auto" w:fill="auto"/>
            <w:vAlign w:val="center"/>
          </w:tcPr>
          <w:p w14:paraId="1006063D" w14:textId="77777777" w:rsidR="00DE2500" w:rsidRPr="00CB4BAA" w:rsidRDefault="00DE2500" w:rsidP="00DE2500">
            <w:pPr>
              <w:suppressLineNumbers/>
              <w:rPr>
                <w:rFonts w:ascii="David" w:hAnsi="David"/>
              </w:rPr>
            </w:pPr>
            <w:r w:rsidRPr="00CB4BAA">
              <w:rPr>
                <w:rFonts w:ascii="David" w:hAnsi="David"/>
                <w:b/>
                <w:bCs/>
                <w:sz w:val="26"/>
                <w:szCs w:val="26"/>
                <w:rtl/>
              </w:rPr>
              <w:t xml:space="preserve">ראזי נסר אלדין (עציר)  </w:t>
            </w:r>
          </w:p>
          <w:p w14:paraId="522A1119" w14:textId="77777777" w:rsidR="00DE2500" w:rsidRPr="00CB4BAA" w:rsidRDefault="00DE2500" w:rsidP="00816429">
            <w:pPr>
              <w:rPr>
                <w:rFonts w:ascii="David" w:hAnsi="David"/>
                <w:sz w:val="26"/>
                <w:szCs w:val="26"/>
              </w:rPr>
            </w:pPr>
          </w:p>
        </w:tc>
      </w:tr>
    </w:tbl>
    <w:p w14:paraId="2AAE9A21" w14:textId="77777777" w:rsidR="00CB4BAA" w:rsidRPr="00CB4BAA" w:rsidRDefault="00CB4BAA" w:rsidP="00CB4BAA">
      <w:pPr>
        <w:spacing w:before="120" w:after="120" w:line="240" w:lineRule="exact"/>
        <w:ind w:left="283" w:hanging="283"/>
        <w:jc w:val="both"/>
        <w:rPr>
          <w:rFonts w:ascii="FrankRuehl" w:hAnsi="FrankRuehl" w:cs="FrankRuehl"/>
          <w:rtl/>
        </w:rPr>
      </w:pPr>
    </w:p>
    <w:p w14:paraId="075B9ED0" w14:textId="77777777" w:rsidR="00CB4BAA" w:rsidRPr="00CB4BAA" w:rsidRDefault="00CB4BAA" w:rsidP="00CB4BAA">
      <w:pPr>
        <w:rPr>
          <w:rtl/>
        </w:rPr>
      </w:pPr>
    </w:p>
    <w:p w14:paraId="60E8353A" w14:textId="77777777" w:rsidR="0017299D" w:rsidRPr="0017299D" w:rsidRDefault="0017299D" w:rsidP="0017299D">
      <w:pPr>
        <w:spacing w:before="120" w:after="120" w:line="240" w:lineRule="exact"/>
        <w:ind w:left="283" w:hanging="283"/>
        <w:jc w:val="both"/>
        <w:rPr>
          <w:rFonts w:ascii="FrankRuehl" w:hAnsi="FrankRuehl" w:cs="FrankRuehl"/>
          <w:rtl/>
        </w:rPr>
      </w:pPr>
    </w:p>
    <w:p w14:paraId="474EDD98" w14:textId="77777777" w:rsidR="00711355" w:rsidRPr="00711355" w:rsidRDefault="00711355" w:rsidP="00711355">
      <w:pPr>
        <w:spacing w:before="120" w:after="120" w:line="240" w:lineRule="exact"/>
        <w:ind w:left="283" w:hanging="283"/>
        <w:jc w:val="both"/>
        <w:rPr>
          <w:rFonts w:ascii="FrankRuehl" w:hAnsi="FrankRuehl" w:cs="FrankRuehl"/>
          <w:rtl/>
        </w:rPr>
      </w:pPr>
    </w:p>
    <w:p w14:paraId="3797DCCC" w14:textId="77777777" w:rsidR="00F543AA" w:rsidRDefault="00F543AA" w:rsidP="00F543AA">
      <w:pPr>
        <w:rPr>
          <w:rtl/>
        </w:rPr>
      </w:pPr>
      <w:bookmarkStart w:id="2" w:name="LawTable"/>
      <w:bookmarkEnd w:id="2"/>
    </w:p>
    <w:p w14:paraId="57FE4A03" w14:textId="77777777" w:rsidR="00F543AA" w:rsidRPr="00F543AA" w:rsidRDefault="00F543AA" w:rsidP="00F543AA">
      <w:pPr>
        <w:spacing w:before="120" w:after="120" w:line="240" w:lineRule="exact"/>
        <w:ind w:left="283" w:hanging="283"/>
        <w:jc w:val="both"/>
        <w:rPr>
          <w:rFonts w:ascii="FrankRuehl" w:hAnsi="FrankRuehl" w:cs="FrankRuehl"/>
          <w:rtl/>
        </w:rPr>
      </w:pPr>
    </w:p>
    <w:p w14:paraId="516A2F01" w14:textId="77777777" w:rsidR="00F543AA" w:rsidRPr="00F543AA" w:rsidRDefault="00F543AA" w:rsidP="00F543AA">
      <w:pPr>
        <w:spacing w:before="120" w:after="120" w:line="240" w:lineRule="exact"/>
        <w:ind w:left="283" w:hanging="283"/>
        <w:jc w:val="both"/>
        <w:rPr>
          <w:rFonts w:ascii="FrankRuehl" w:hAnsi="FrankRuehl" w:cs="FrankRuehl"/>
          <w:rtl/>
        </w:rPr>
      </w:pPr>
    </w:p>
    <w:p w14:paraId="719A1200" w14:textId="77777777" w:rsidR="00F543AA" w:rsidRPr="00F543AA" w:rsidRDefault="00F543AA" w:rsidP="00F543AA">
      <w:pPr>
        <w:spacing w:before="120" w:after="120" w:line="240" w:lineRule="exact"/>
        <w:ind w:left="283" w:hanging="283"/>
        <w:jc w:val="both"/>
        <w:rPr>
          <w:rFonts w:ascii="FrankRuehl" w:hAnsi="FrankRuehl" w:cs="FrankRuehl"/>
          <w:rtl/>
        </w:rPr>
      </w:pPr>
      <w:r w:rsidRPr="00F543AA">
        <w:rPr>
          <w:rFonts w:ascii="FrankRuehl" w:hAnsi="FrankRuehl" w:cs="FrankRuehl"/>
          <w:rtl/>
        </w:rPr>
        <w:t xml:space="preserve">חקיקה שאוזכרה: </w:t>
      </w:r>
    </w:p>
    <w:p w14:paraId="3EB185A2" w14:textId="77777777" w:rsidR="00F543AA" w:rsidRPr="00F543AA" w:rsidRDefault="00F543AA" w:rsidP="00F543AA">
      <w:pPr>
        <w:spacing w:before="120" w:after="120" w:line="240" w:lineRule="exact"/>
        <w:ind w:left="283" w:hanging="283"/>
        <w:jc w:val="both"/>
        <w:rPr>
          <w:rFonts w:ascii="FrankRuehl" w:hAnsi="FrankRuehl" w:cs="FrankRuehl"/>
          <w:rtl/>
        </w:rPr>
      </w:pPr>
      <w:hyperlink r:id="rId7" w:history="1">
        <w:r w:rsidRPr="00F543AA">
          <w:rPr>
            <w:rFonts w:ascii="FrankRuehl" w:hAnsi="FrankRuehl" w:cs="FrankRuehl"/>
            <w:color w:val="0000FF"/>
            <w:rtl/>
          </w:rPr>
          <w:t>חוק העונשין, תשל"ז-1977</w:t>
        </w:r>
      </w:hyperlink>
      <w:r w:rsidRPr="00F543AA">
        <w:rPr>
          <w:rFonts w:ascii="FrankRuehl" w:hAnsi="FrankRuehl" w:cs="FrankRuehl"/>
          <w:rtl/>
        </w:rPr>
        <w:t xml:space="preserve">: סע'  </w:t>
      </w:r>
      <w:hyperlink r:id="rId8" w:history="1">
        <w:r w:rsidRPr="00F543AA">
          <w:rPr>
            <w:rFonts w:ascii="FrankRuehl" w:hAnsi="FrankRuehl" w:cs="FrankRuehl"/>
            <w:color w:val="0000FF"/>
            <w:rtl/>
          </w:rPr>
          <w:t>29</w:t>
        </w:r>
      </w:hyperlink>
      <w:r w:rsidRPr="00F543AA">
        <w:rPr>
          <w:rFonts w:ascii="FrankRuehl" w:hAnsi="FrankRuehl" w:cs="FrankRuehl"/>
          <w:rtl/>
        </w:rPr>
        <w:t xml:space="preserve">, </w:t>
      </w:r>
      <w:hyperlink r:id="rId9" w:history="1">
        <w:r w:rsidRPr="00F543AA">
          <w:rPr>
            <w:rFonts w:ascii="FrankRuehl" w:hAnsi="FrankRuehl" w:cs="FrankRuehl"/>
            <w:color w:val="0000FF"/>
            <w:rtl/>
          </w:rPr>
          <w:t>40ג(א)</w:t>
        </w:r>
      </w:hyperlink>
      <w:r w:rsidRPr="00F543AA">
        <w:rPr>
          <w:rFonts w:ascii="FrankRuehl" w:hAnsi="FrankRuehl" w:cs="FrankRuehl"/>
          <w:rtl/>
        </w:rPr>
        <w:t xml:space="preserve">, </w:t>
      </w:r>
      <w:hyperlink r:id="rId10" w:history="1">
        <w:r w:rsidRPr="00F543AA">
          <w:rPr>
            <w:rFonts w:ascii="FrankRuehl" w:hAnsi="FrankRuehl" w:cs="FrankRuehl"/>
            <w:color w:val="0000FF"/>
            <w:rtl/>
          </w:rPr>
          <w:t>144(א)</w:t>
        </w:r>
      </w:hyperlink>
      <w:r w:rsidRPr="00F543AA">
        <w:rPr>
          <w:rFonts w:ascii="FrankRuehl" w:hAnsi="FrankRuehl" w:cs="FrankRuehl"/>
          <w:rtl/>
        </w:rPr>
        <w:t xml:space="preserve">, </w:t>
      </w:r>
      <w:hyperlink r:id="rId11" w:history="1">
        <w:r w:rsidRPr="00F543AA">
          <w:rPr>
            <w:rFonts w:ascii="FrankRuehl" w:hAnsi="FrankRuehl" w:cs="FrankRuehl"/>
            <w:color w:val="0000FF"/>
            <w:rtl/>
          </w:rPr>
          <w:t>144.ג.2.</w:t>
        </w:r>
      </w:hyperlink>
      <w:r w:rsidRPr="00F543AA">
        <w:rPr>
          <w:rFonts w:ascii="FrankRuehl" w:hAnsi="FrankRuehl" w:cs="FrankRuehl"/>
          <w:rtl/>
        </w:rPr>
        <w:t xml:space="preserve">, </w:t>
      </w:r>
      <w:hyperlink r:id="rId12" w:history="1">
        <w:r w:rsidRPr="00F543AA">
          <w:rPr>
            <w:rFonts w:ascii="FrankRuehl" w:hAnsi="FrankRuehl" w:cs="FrankRuehl"/>
            <w:color w:val="0000FF"/>
            <w:rtl/>
          </w:rPr>
          <w:t>144.ג.3</w:t>
        </w:r>
      </w:hyperlink>
      <w:r w:rsidRPr="00F543AA">
        <w:rPr>
          <w:rFonts w:ascii="FrankRuehl" w:hAnsi="FrankRuehl" w:cs="FrankRuehl"/>
          <w:rtl/>
        </w:rPr>
        <w:t xml:space="preserve">, </w:t>
      </w:r>
      <w:hyperlink r:id="rId13" w:history="1">
        <w:r w:rsidRPr="00F543AA">
          <w:rPr>
            <w:rFonts w:ascii="FrankRuehl" w:hAnsi="FrankRuehl" w:cs="FrankRuehl"/>
            <w:color w:val="0000FF"/>
            <w:rtl/>
          </w:rPr>
          <w:t>144(ז)</w:t>
        </w:r>
      </w:hyperlink>
    </w:p>
    <w:p w14:paraId="3B60669A" w14:textId="77777777" w:rsidR="00F543AA" w:rsidRPr="00F543AA" w:rsidRDefault="00F543AA" w:rsidP="00F543AA">
      <w:pPr>
        <w:rPr>
          <w:rtl/>
        </w:rPr>
      </w:pPr>
      <w:bookmarkStart w:id="3" w:name="LawTable_End"/>
      <w:bookmarkEnd w:id="3"/>
    </w:p>
    <w:p w14:paraId="7C4CF81C" w14:textId="77777777" w:rsidR="00CB4BAA" w:rsidRPr="00711355" w:rsidRDefault="00CB4BAA" w:rsidP="00711355"/>
    <w:p w14:paraId="2FD74608" w14:textId="77777777" w:rsidR="0017299D" w:rsidRPr="00CB4BAA" w:rsidRDefault="0017299D" w:rsidP="00CB4BAA">
      <w:pPr>
        <w:spacing w:before="240" w:after="240"/>
        <w:jc w:val="center"/>
        <w:rPr>
          <w:rFonts w:ascii="David" w:hAnsi="David"/>
          <w:b/>
          <w:bCs/>
          <w:sz w:val="32"/>
          <w:szCs w:val="32"/>
          <w:u w:val="single"/>
          <w:rtl/>
        </w:rPr>
      </w:pPr>
      <w:bookmarkStart w:id="4" w:name="PsakDin" w:colFirst="0" w:colLast="0"/>
      <w:bookmarkEnd w:id="0"/>
      <w:r w:rsidRPr="00CB4BAA">
        <w:rPr>
          <w:rFonts w:ascii="David" w:hAnsi="David"/>
          <w:b/>
          <w:bCs/>
          <w:sz w:val="32"/>
          <w:szCs w:val="32"/>
          <w:u w:val="single"/>
          <w:rtl/>
        </w:rPr>
        <w:t>גזר דין</w:t>
      </w:r>
    </w:p>
    <w:p w14:paraId="70A65E1F" w14:textId="77777777" w:rsidR="0017299D" w:rsidRPr="00CB4BAA" w:rsidRDefault="0017299D" w:rsidP="00CB4BAA">
      <w:pPr>
        <w:spacing w:before="240" w:after="240"/>
        <w:jc w:val="center"/>
        <w:rPr>
          <w:rFonts w:ascii="David" w:hAnsi="David"/>
          <w:bCs/>
          <w:sz w:val="32"/>
          <w:szCs w:val="32"/>
          <w:u w:val="single"/>
          <w:rtl/>
        </w:rPr>
      </w:pPr>
    </w:p>
    <w:p w14:paraId="3975B476" w14:textId="77777777" w:rsidR="00DE2500" w:rsidRDefault="00DE2500" w:rsidP="00DE2500">
      <w:pPr>
        <w:spacing w:before="240" w:after="240" w:line="360" w:lineRule="auto"/>
        <w:jc w:val="both"/>
        <w:rPr>
          <w:rFonts w:ascii="David" w:hAnsi="David"/>
          <w:rtl/>
        </w:rPr>
      </w:pPr>
      <w:bookmarkStart w:id="5" w:name="ABSTRACT_START"/>
      <w:bookmarkEnd w:id="4"/>
      <w:bookmarkEnd w:id="5"/>
    </w:p>
    <w:p w14:paraId="7398ED9A"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הנאשם הורשע על סמך הודאתו בעבירה של החזקת נשק בניגוד </w:t>
      </w:r>
      <w:hyperlink r:id="rId14" w:history="1">
        <w:r w:rsidR="0017299D" w:rsidRPr="0017299D">
          <w:rPr>
            <w:rStyle w:val="Hyperlink"/>
            <w:rFonts w:ascii="David" w:hAnsi="David"/>
            <w:rtl/>
          </w:rPr>
          <w:t>לסעיף 144(א)</w:t>
        </w:r>
      </w:hyperlink>
      <w:r w:rsidRPr="00AD4CE5">
        <w:rPr>
          <w:rFonts w:ascii="David" w:hAnsi="David"/>
          <w:rtl/>
        </w:rPr>
        <w:t xml:space="preserve"> (רישא + סיפא) ל</w:t>
      </w:r>
      <w:hyperlink r:id="rId15" w:history="1">
        <w:r w:rsidR="00CB4BAA" w:rsidRPr="00CB4BAA">
          <w:rPr>
            <w:rFonts w:ascii="David" w:hAnsi="David"/>
            <w:color w:val="0000FF"/>
            <w:u w:val="single"/>
            <w:rtl/>
          </w:rPr>
          <w:t>חוק העונשין</w:t>
        </w:r>
      </w:hyperlink>
      <w:r w:rsidRPr="00AD4CE5">
        <w:rPr>
          <w:rFonts w:ascii="David" w:hAnsi="David"/>
          <w:rtl/>
        </w:rPr>
        <w:t>, תשל"ז – 1977 (להלן: "</w:t>
      </w:r>
      <w:r w:rsidRPr="00AD4CE5">
        <w:rPr>
          <w:rFonts w:ascii="David" w:hAnsi="David"/>
          <w:b/>
          <w:bCs/>
          <w:rtl/>
        </w:rPr>
        <w:t>חוק העונשין</w:t>
      </w:r>
      <w:r w:rsidRPr="00AD4CE5">
        <w:rPr>
          <w:rFonts w:ascii="David" w:hAnsi="David"/>
          <w:rtl/>
        </w:rPr>
        <w:t xml:space="preserve">"). </w:t>
      </w:r>
    </w:p>
    <w:p w14:paraId="4CE02BE0"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על פי עובדות כתב האישום, במועדים הרלוונטיים לכתב האישום, הנאשם התגורר בבית פרטי בדלית אל כרמל (להלן: "</w:t>
      </w:r>
      <w:r w:rsidRPr="00AD4CE5">
        <w:rPr>
          <w:rFonts w:ascii="David" w:hAnsi="David"/>
          <w:b/>
          <w:bCs/>
          <w:rtl/>
        </w:rPr>
        <w:t>הבית</w:t>
      </w:r>
      <w:r w:rsidRPr="00AD4CE5">
        <w:rPr>
          <w:rFonts w:ascii="David" w:hAnsi="David"/>
          <w:rtl/>
        </w:rPr>
        <w:t xml:space="preserve">"). </w:t>
      </w:r>
    </w:p>
    <w:p w14:paraId="4EFFFED3" w14:textId="77777777" w:rsidR="00DE2500" w:rsidRPr="00AD4CE5" w:rsidRDefault="00DE2500" w:rsidP="00DE2500">
      <w:pPr>
        <w:spacing w:before="240" w:line="360" w:lineRule="auto"/>
        <w:jc w:val="both"/>
        <w:rPr>
          <w:rFonts w:ascii="David" w:hAnsi="David"/>
          <w:rtl/>
        </w:rPr>
      </w:pPr>
      <w:bookmarkStart w:id="6" w:name="ABSTRACT_END"/>
      <w:bookmarkEnd w:id="6"/>
      <w:r w:rsidRPr="00AD4CE5">
        <w:rPr>
          <w:rFonts w:ascii="David" w:hAnsi="David"/>
          <w:rtl/>
        </w:rPr>
        <w:t xml:space="preserve">בתאריך 10.9.23 סמוך לשעה 7:20, החזיק הנאשם בחדרו בבית, בתוך ארון פלסטיק נעול כלי נשק שונים וכן תחמושת ואביזרים לכלי נשק כאמור, כל זאת בלא רשות על פי דין להחזקתם, כפי שיפורט להלן: </w:t>
      </w:r>
    </w:p>
    <w:p w14:paraId="4DDFC54F"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tl/>
        </w:rPr>
      </w:pPr>
      <w:r w:rsidRPr="00AD4CE5">
        <w:rPr>
          <w:rFonts w:ascii="David" w:hAnsi="David"/>
          <w:rtl/>
        </w:rPr>
        <w:lastRenderedPageBreak/>
        <w:t xml:space="preserve">רובה מסוג </w:t>
      </w:r>
      <w:r w:rsidRPr="00AD4CE5">
        <w:rPr>
          <w:rFonts w:ascii="David" w:hAnsi="David"/>
        </w:rPr>
        <w:t>"Remington"</w:t>
      </w:r>
      <w:r w:rsidRPr="00AD4CE5">
        <w:rPr>
          <w:rFonts w:ascii="David" w:hAnsi="David"/>
          <w:rtl/>
        </w:rPr>
        <w:t xml:space="preserve">, שסוגל לירות כדור שבכוחו להמית אדם, עליו מוטבע המספר "475" בתוך שקית שחורה. </w:t>
      </w:r>
    </w:p>
    <w:p w14:paraId="1CA14DAE"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 xml:space="preserve">אקדח, שסוגל לירות כדור בכוחו להמית אדם, עליו מוטבע המספר "014382" בתוך קופסת פלסטיק בתוך שקית. </w:t>
      </w:r>
    </w:p>
    <w:p w14:paraId="732DC7DA"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 xml:space="preserve">רובה סער 16 – </w:t>
      </w:r>
      <w:r w:rsidRPr="00AD4CE5">
        <w:rPr>
          <w:rFonts w:ascii="David" w:hAnsi="David"/>
        </w:rPr>
        <w:t>M</w:t>
      </w:r>
      <w:r w:rsidRPr="00AD4CE5">
        <w:rPr>
          <w:rFonts w:ascii="David" w:hAnsi="David"/>
          <w:rtl/>
        </w:rPr>
        <w:t xml:space="preserve">, שסוגל לירות כדור שבכוחו להמית אדם, עטוף בחולצה. </w:t>
      </w:r>
    </w:p>
    <w:p w14:paraId="3E58E683"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 xml:space="preserve">רימון גז מסוג מדוכה מספר 400 סדרה 01-13, שביכולתו להזיק לאדם. </w:t>
      </w:r>
    </w:p>
    <w:p w14:paraId="73901437"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343 כדורי תחמושת בקליבר 45</w:t>
      </w:r>
      <w:r w:rsidRPr="00AD4CE5">
        <w:rPr>
          <w:rFonts w:ascii="David" w:hAnsi="David"/>
        </w:rPr>
        <w:t>X</w:t>
      </w:r>
      <w:r w:rsidRPr="00AD4CE5">
        <w:rPr>
          <w:rFonts w:ascii="David" w:hAnsi="David"/>
          <w:rtl/>
        </w:rPr>
        <w:t xml:space="preserve">5.56, המהווה תחמושת לנשק. </w:t>
      </w:r>
    </w:p>
    <w:p w14:paraId="79648002"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7 מחסניות של 16</w:t>
      </w:r>
      <w:r w:rsidRPr="00AD4CE5">
        <w:rPr>
          <w:rFonts w:ascii="David" w:hAnsi="David"/>
        </w:rPr>
        <w:t>M</w:t>
      </w:r>
      <w:r w:rsidRPr="00AD4CE5">
        <w:rPr>
          <w:rFonts w:ascii="David" w:hAnsi="David"/>
          <w:rtl/>
        </w:rPr>
        <w:t xml:space="preserve"> , המהוות אביזר לנשק. </w:t>
      </w:r>
    </w:p>
    <w:p w14:paraId="1F8FBAA6"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48 כדורי צייד, המהווה תחמושת לנשק</w:t>
      </w:r>
    </w:p>
    <w:p w14:paraId="67F837C3"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152 כדורים בקליבר 45</w:t>
      </w:r>
      <w:r w:rsidRPr="00AD4CE5">
        <w:rPr>
          <w:rFonts w:ascii="David" w:hAnsi="David"/>
        </w:rPr>
        <w:t>X</w:t>
      </w:r>
      <w:r w:rsidRPr="00AD4CE5">
        <w:rPr>
          <w:rFonts w:ascii="David" w:hAnsi="David"/>
          <w:rtl/>
        </w:rPr>
        <w:t xml:space="preserve">5.56 בשני שרשרים, המהווים תחמושת לנשק. </w:t>
      </w:r>
    </w:p>
    <w:p w14:paraId="38801C4A"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 xml:space="preserve">546 כדורים בקליבר 0.22, המהווה תחמושת לנשק. </w:t>
      </w:r>
    </w:p>
    <w:p w14:paraId="25CA24AB"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7 כדורים בקליבר 51</w:t>
      </w:r>
      <w:r w:rsidRPr="00AD4CE5">
        <w:rPr>
          <w:rFonts w:ascii="David" w:hAnsi="David"/>
        </w:rPr>
        <w:t>X</w:t>
      </w:r>
      <w:r w:rsidRPr="00AD4CE5">
        <w:rPr>
          <w:rFonts w:ascii="David" w:hAnsi="David"/>
          <w:rtl/>
        </w:rPr>
        <w:t xml:space="preserve">7.62, המהווים תחמושת לנשק. </w:t>
      </w:r>
    </w:p>
    <w:p w14:paraId="56ED692B" w14:textId="77777777" w:rsidR="00DE2500" w:rsidRPr="00AD4CE5" w:rsidRDefault="00DE2500" w:rsidP="00DE2500">
      <w:pPr>
        <w:pStyle w:val="a9"/>
        <w:numPr>
          <w:ilvl w:val="0"/>
          <w:numId w:val="1"/>
        </w:numPr>
        <w:spacing w:line="360" w:lineRule="auto"/>
        <w:ind w:left="714" w:hanging="357"/>
        <w:contextualSpacing w:val="0"/>
        <w:jc w:val="both"/>
        <w:rPr>
          <w:rFonts w:ascii="David" w:hAnsi="David"/>
        </w:rPr>
      </w:pPr>
      <w:r w:rsidRPr="00AD4CE5">
        <w:rPr>
          <w:rFonts w:ascii="David" w:hAnsi="David"/>
          <w:rtl/>
        </w:rPr>
        <w:t xml:space="preserve">שני כדורים בקליבר 0.5, המהווים תחמושת לנשק. </w:t>
      </w:r>
    </w:p>
    <w:p w14:paraId="6CE88789"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עוד באותו מעמד החזיק הנאשם בתוך החדר מתחת למיטתו, רובה צייד שסוגל לירות כדור שבכוחו להמית אדם, עליו מוטבע המספר "466334" עטוף בבד בצבע כתום, בלא רשות על פי דין להחזקתו. </w:t>
      </w:r>
    </w:p>
    <w:p w14:paraId="2FA488B5" w14:textId="77777777" w:rsidR="00DE2500" w:rsidRPr="00AD4CE5" w:rsidRDefault="00DE2500" w:rsidP="00DE2500">
      <w:pPr>
        <w:spacing w:before="240" w:after="240" w:line="360" w:lineRule="auto"/>
        <w:jc w:val="both"/>
        <w:rPr>
          <w:rFonts w:ascii="David" w:hAnsi="David"/>
          <w:b/>
          <w:bCs/>
          <w:rtl/>
        </w:rPr>
      </w:pPr>
      <w:r w:rsidRPr="00AD4CE5">
        <w:rPr>
          <w:rFonts w:ascii="David" w:hAnsi="David"/>
          <w:b/>
          <w:bCs/>
          <w:rtl/>
        </w:rPr>
        <w:t xml:space="preserve">תסקיר שירות המבחן: </w:t>
      </w:r>
    </w:p>
    <w:p w14:paraId="561D5DFF"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על פי תסקיר שירות המבחן מיום 25.2.24 הנאשם רווק, בן 26, עבד טרם מעצרו בתחום העפר, גדל במשפחה נורמטיבית ומתפקדת. </w:t>
      </w:r>
    </w:p>
    <w:p w14:paraId="3FABDC19"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הנאשם שלל קשרים עם חברה שולית, ואין לחובתו עבר פלילי. </w:t>
      </w:r>
    </w:p>
    <w:p w14:paraId="3F278A77"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הנאשם נטל אחריות על ביצוע העבירות, שלטענתו נעשו בתמימות, אולם התקשה לפרט על מניעיו והסביר את מעשיו באופן מעורפל ומצומצם. לדבריו, החל לחוש תחושת חוסר ביטחון במרחב האישי שלו על רק האלימות בחברה הערבית, אך שלל אירוע ספציפי בחייו אשר הביא לתחושותיו. עוד מסר הנאשם כי החל להשתלב במטווחים כתחביב ופיתח חיבה לעולם הנשק, אסף נשקים ותחמושת וזאת מבלי לשים לב לכמות שנאגרה. הנאשם התקשה להתייחס למקור הנשק וביטא רצון שלא להעמיק את השיח על העבירות.</w:t>
      </w:r>
    </w:p>
    <w:p w14:paraId="6AF7D9D5"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שירות המבחן התרשם מצעיר מופנם ללא דפוסי התנהגות עבריינים או אנטי סוציאליים מושרשים. יחד עם זאת, ההתרשמות היא כי הנאשם הקפיד להציג חלקים מתפקדים באישיותו ונטה להפחית מחומרת מעשיו. עוד התרשם שירות המבחן מחוסר בשלות רגשית של הנאשם וכי הוא נטה להדחיק את רגשותיו וקשייו.</w:t>
      </w:r>
    </w:p>
    <w:p w14:paraId="416CC214" w14:textId="77777777" w:rsidR="00DE2500" w:rsidRPr="00AD4CE5" w:rsidRDefault="00DE2500" w:rsidP="00DE2500">
      <w:pPr>
        <w:spacing w:before="240" w:after="240" w:line="360" w:lineRule="auto"/>
        <w:jc w:val="both"/>
        <w:rPr>
          <w:rFonts w:ascii="David" w:hAnsi="David"/>
          <w:rtl/>
        </w:rPr>
      </w:pPr>
      <w:r w:rsidRPr="00AD4CE5">
        <w:rPr>
          <w:rFonts w:ascii="David" w:hAnsi="David"/>
          <w:rtl/>
        </w:rPr>
        <w:lastRenderedPageBreak/>
        <w:t>הנאשם אמנם ביטא נכונות מילולית להשתלב בטיפול, אך התרשמות שירות המבחן הייתה כי הנאשם מתקשה לפתח אמון בגורמי הטיפול ונוטה להסתרה, גם בנוגע לרקע ביצוע העבירה. משכך, שירות המבחן העריך כי הנאשם יתקשה להיתרם מהליך טיפול.</w:t>
      </w:r>
    </w:p>
    <w:p w14:paraId="045E634B"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בנוסף, שירות המבחן העריך כי קיים סיכון להישנות עבירות דומות בעתיד. לאור האמור, שירות המבחן לא בא בהמלצה טיפולית אלא המליץ להטיל על הנאשם ענישה מוחשית ומציבה גבולות. </w:t>
      </w:r>
    </w:p>
    <w:p w14:paraId="3413E88C" w14:textId="77777777" w:rsidR="00DE2500" w:rsidRDefault="00DE2500" w:rsidP="00DE2500">
      <w:pPr>
        <w:spacing w:before="240" w:after="240" w:line="360" w:lineRule="auto"/>
        <w:jc w:val="both"/>
        <w:rPr>
          <w:rFonts w:ascii="David" w:hAnsi="David"/>
          <w:b/>
          <w:bCs/>
          <w:rtl/>
        </w:rPr>
      </w:pPr>
    </w:p>
    <w:p w14:paraId="7ACD1474" w14:textId="77777777" w:rsidR="00DE2500" w:rsidRDefault="00DE2500" w:rsidP="00DE2500">
      <w:pPr>
        <w:spacing w:before="240" w:after="240" w:line="360" w:lineRule="auto"/>
        <w:jc w:val="both"/>
        <w:rPr>
          <w:rFonts w:ascii="David" w:hAnsi="David"/>
          <w:b/>
          <w:bCs/>
          <w:rtl/>
        </w:rPr>
      </w:pPr>
    </w:p>
    <w:p w14:paraId="28969EED" w14:textId="77777777" w:rsidR="00DE2500" w:rsidRDefault="00DE2500" w:rsidP="00DE2500">
      <w:pPr>
        <w:spacing w:before="240" w:after="240" w:line="360" w:lineRule="auto"/>
        <w:jc w:val="both"/>
        <w:rPr>
          <w:rFonts w:ascii="David" w:hAnsi="David"/>
          <w:b/>
          <w:bCs/>
          <w:rtl/>
        </w:rPr>
      </w:pPr>
    </w:p>
    <w:p w14:paraId="355BBC72" w14:textId="77777777" w:rsidR="00DE2500" w:rsidRPr="00AD4CE5" w:rsidRDefault="00DE2500" w:rsidP="00DE2500">
      <w:pPr>
        <w:spacing w:before="240" w:after="240" w:line="360" w:lineRule="auto"/>
        <w:jc w:val="both"/>
        <w:rPr>
          <w:rFonts w:ascii="David" w:hAnsi="David"/>
          <w:b/>
          <w:bCs/>
          <w:rtl/>
        </w:rPr>
      </w:pPr>
      <w:r w:rsidRPr="00AD4CE5">
        <w:rPr>
          <w:rFonts w:ascii="David" w:hAnsi="David"/>
          <w:b/>
          <w:bCs/>
          <w:rtl/>
        </w:rPr>
        <w:t xml:space="preserve">טיעוני הצדדים לעונש: </w:t>
      </w:r>
    </w:p>
    <w:p w14:paraId="1B592CCB" w14:textId="77777777" w:rsidR="00DE2500" w:rsidRPr="00AD4CE5" w:rsidRDefault="00DE2500" w:rsidP="00DE2500">
      <w:pPr>
        <w:spacing w:before="240" w:after="240" w:line="360" w:lineRule="auto"/>
        <w:jc w:val="both"/>
        <w:rPr>
          <w:rFonts w:ascii="David" w:hAnsi="David"/>
          <w:b/>
          <w:bCs/>
          <w:rtl/>
        </w:rPr>
      </w:pPr>
      <w:r w:rsidRPr="00AD4CE5">
        <w:rPr>
          <w:rFonts w:ascii="David" w:hAnsi="David"/>
          <w:b/>
          <w:bCs/>
          <w:rtl/>
        </w:rPr>
        <w:t>טיעוני ב"כ המאשימה:</w:t>
      </w:r>
    </w:p>
    <w:p w14:paraId="4718373F" w14:textId="77777777" w:rsidR="00DE2500" w:rsidRPr="00AD4CE5" w:rsidRDefault="00DE2500" w:rsidP="00DE2500">
      <w:pPr>
        <w:spacing w:before="240" w:after="240" w:line="360" w:lineRule="auto"/>
        <w:jc w:val="both"/>
        <w:rPr>
          <w:rFonts w:ascii="David" w:hAnsi="David"/>
          <w:rtl/>
        </w:rPr>
      </w:pPr>
      <w:r w:rsidRPr="00AD4CE5">
        <w:rPr>
          <w:rFonts w:ascii="David" w:hAnsi="David"/>
          <w:b/>
          <w:bCs/>
          <w:rtl/>
        </w:rPr>
        <w:t>ב"כ המאשימה</w:t>
      </w:r>
      <w:r w:rsidRPr="00AD4CE5">
        <w:rPr>
          <w:rFonts w:ascii="David" w:hAnsi="David"/>
          <w:rtl/>
        </w:rPr>
        <w:t xml:space="preserve"> טענה בטיעוניה בכתב (טע/1) ובעל פה, כי הערכים החברתיים המוגנים אשר נפגעו ממעשי הנאשם הם שמירה על שלום הציבור ובטחונו, וכן שמירה על חיי אדם מפני המשתמשים בנשק באופן לא חוקי. </w:t>
      </w:r>
    </w:p>
    <w:p w14:paraId="070C3B04"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באשר לנסיבות הקשורות בביצוע העבירה, נטען כי הנאשם החזיק בשלושה רובים, אחד מסוג של </w:t>
      </w:r>
      <w:r w:rsidRPr="00AD4CE5">
        <w:rPr>
          <w:rFonts w:ascii="David" w:hAnsi="David"/>
        </w:rPr>
        <w:t>M-16</w:t>
      </w:r>
      <w:r w:rsidRPr="00AD4CE5">
        <w:rPr>
          <w:rFonts w:ascii="David" w:hAnsi="David"/>
          <w:rtl/>
        </w:rPr>
        <w:t>, אחד מסוג "רמינגטון" ואחד רובה צייד שכל אחד מהם הוא כלי שסוגל לירות כדור שיש בכוחו להמית אדם. ב"כ המאשימה טענה כי מדובר בכלי נשק שיש בהם פוטנציאל לשמש למטרות לחימה והחזקתם על ידי אזרח שאינו מורשה לכך, מהווה מעשה חמור ביותר המשקף פוטנציאל פגיעה בשלמות הגוף וחיי אדם. בנוסף החזיק הנאשם אקדח, רימון גז ותחמושת בכמות עצומה.</w:t>
      </w:r>
    </w:p>
    <w:p w14:paraId="7B40B4BC"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ב"כ המאשימה טענה כי חלקו של הנאשם בביצוע העבירה היה מלא ובלעדי, והמיקום בו הוחזק הנשק בחדרו מלמד על הנגישות והכוננות לשימוש בנשק בכל רגע נתון. </w:t>
      </w:r>
    </w:p>
    <w:p w14:paraId="7C62778B"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עוד נטען, כי אמנם לא נעשה שימוש בנשק אך הנזק שצפוי היה להיגרם מהשימוש בו הוא בלתי הפיך ויכול היה להביא לפגיעה בגוף ואף בנפש. </w:t>
      </w:r>
    </w:p>
    <w:p w14:paraId="68911B63"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לטענת ב"כ המאשימה, אמנם הנאשם לא החזיק בנשק טעון אך הוא החזיק בנשקים ובתחמושת התואמת את הנשקים דבר המלמד על כוונה לעשות שימוש בנשק. עוד נטען, כי יש לשקול לחומרא גם את ריבוי כלי הנשק, המגוון וכמות התחמושת. </w:t>
      </w:r>
    </w:p>
    <w:p w14:paraId="21D4839A"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ב"כ המאשימה הפנתה לפסיקה (טע/2), וביקשה ללמוד ממנה כי מתחם העונש ההולם נע בין 5 ל-7 שנות מאסר. יצוין כי הפסיקה אליה הפנתה המאשימה עניינה בסוגי נשקים שונים, וכמות שונה, והיא אינה תומכת במתחם העונש לו עתרה. </w:t>
      </w:r>
    </w:p>
    <w:p w14:paraId="70C96E3A"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באשר לנסיבות שאינן קשורות בביצוע העבירה, נטען, כי הנאשם ללא עבר פלילי, הודה ונטל אחריות על מעשיו וכן חסך מזמנו השיפוטי של בית המשפט. </w:t>
      </w:r>
    </w:p>
    <w:p w14:paraId="7A96AB9D"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יחד עם זאת, נטען, כי מתסקיר שירות המבחן עלה כי קיים סיכון שהנאשם יחזור על מעשיו, ולא הומלץ על אפיק טיפולי אלא על ענישה מוחשית. </w:t>
      </w:r>
    </w:p>
    <w:p w14:paraId="0142B2AE"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לאור האמור, ביקשה ב"כ המאשימה להשית על הנאשם עונש מעל לרף התחתון של המתחם לו עתרה בצירוף מאסר על תנאי וקנס.   </w:t>
      </w:r>
    </w:p>
    <w:p w14:paraId="76CD6E70" w14:textId="77777777" w:rsidR="00DE2500" w:rsidRDefault="00DE2500" w:rsidP="00DE2500">
      <w:pPr>
        <w:spacing w:before="240" w:after="240" w:line="360" w:lineRule="auto"/>
        <w:jc w:val="both"/>
        <w:rPr>
          <w:rFonts w:ascii="David" w:hAnsi="David"/>
          <w:b/>
          <w:bCs/>
          <w:rtl/>
        </w:rPr>
      </w:pPr>
    </w:p>
    <w:p w14:paraId="4212A57E" w14:textId="77777777" w:rsidR="00DE2500" w:rsidRPr="00AD4CE5" w:rsidRDefault="00DE2500" w:rsidP="00DE2500">
      <w:pPr>
        <w:spacing w:before="240" w:after="240" w:line="360" w:lineRule="auto"/>
        <w:jc w:val="both"/>
        <w:rPr>
          <w:rFonts w:ascii="David" w:hAnsi="David"/>
          <w:rtl/>
        </w:rPr>
      </w:pPr>
      <w:r w:rsidRPr="00AD4CE5">
        <w:rPr>
          <w:rFonts w:ascii="David" w:hAnsi="David"/>
          <w:b/>
          <w:bCs/>
          <w:rtl/>
        </w:rPr>
        <w:t>טיעוני ב"כ הנאשם:</w:t>
      </w:r>
      <w:r w:rsidRPr="00AD4CE5">
        <w:rPr>
          <w:rFonts w:ascii="David" w:hAnsi="David"/>
          <w:rtl/>
        </w:rPr>
        <w:t xml:space="preserve"> </w:t>
      </w:r>
    </w:p>
    <w:p w14:paraId="606399E1"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ב"כ הנאשם הדגיש כי המאשימה בחרה לייחס לנאשם עבירה אחת בגין החזקת כלי נשק והפנה לפסיקה בה נידונו מקרים בגין ריבוי כלי נשק שהוחזקו, ובתי המשפט הטילו עונש נמוך בהרבה מהמתחם אשר התבקש על ידי המאשימה. עוד נטען, כי המאשימה לא הצליחה להפנות לאף פסק דין שבו אושר מתחם אשר התבקש על ידה. על כן ביקש  ב"כ הנאשם לקבוע כי מתחם העונש ההולם נע בין 18 ל-36 חודשי מאסר בפועל. </w:t>
      </w:r>
    </w:p>
    <w:p w14:paraId="68133509"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באשר לעונשו של הנאשם בתוך מתחם העונש ההולם, ביקש ב"כ הנאשם להטיל עונש ברף הנמוך של המתחם. בהקשר זה נטען כי הנאשם כבן 26, ללא עבר פלילי, שהגיע ממשפחה נורמטיבית וזהו מעורבותו הראשונה בפלילים. עוד נטען כי הנאשם הוא אדם דתי, אשר עוזר ותורם לחברה. עוד הדגיש ב"כ הנאשם את הודאתו המידית של הנאשם, עוד בחקירותיו במשטרה, הבעת החרטה והחיסכון בזמן שיפוטי.</w:t>
      </w:r>
    </w:p>
    <w:p w14:paraId="43E6947A"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בהתייחס לתסקיר שירות המבחן, נטען, כי לא ברור מדוע שירות המבחן התרשם כי "רב הנסתר על הגלוי" בהתנהלות הנאשם, וכי מדובר בספקולציה שאינה מבוססת על העובדות. </w:t>
      </w:r>
    </w:p>
    <w:p w14:paraId="7FDAEFF9" w14:textId="77777777" w:rsidR="00DE2500" w:rsidRPr="00AD4CE5" w:rsidRDefault="00DE2500" w:rsidP="00DE2500">
      <w:pPr>
        <w:spacing w:before="240" w:after="240" w:line="360" w:lineRule="auto"/>
        <w:jc w:val="both"/>
        <w:rPr>
          <w:rFonts w:ascii="David" w:hAnsi="David"/>
          <w:b/>
          <w:bCs/>
          <w:rtl/>
        </w:rPr>
      </w:pPr>
      <w:r w:rsidRPr="00AD4CE5">
        <w:rPr>
          <w:rFonts w:ascii="David" w:hAnsi="David"/>
          <w:b/>
          <w:bCs/>
          <w:rtl/>
        </w:rPr>
        <w:t xml:space="preserve">דברי הנאשם: </w:t>
      </w:r>
    </w:p>
    <w:p w14:paraId="0D3513A1"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הנאשם הביע צער על מעשיו ושלל קשר לעולם העברייני. בנוסף, הביע הנאשם צער על הסבל שמשפחתו עוברת בשל ההליך המשפטי. </w:t>
      </w:r>
    </w:p>
    <w:p w14:paraId="483EB7D1"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הנאשם ביקש להתחשב בו בעת גזירת עונשו.</w:t>
      </w:r>
    </w:p>
    <w:p w14:paraId="291EACD6" w14:textId="77777777" w:rsidR="00DE2500" w:rsidRPr="00AD4CE5" w:rsidRDefault="00DE2500" w:rsidP="00DE2500">
      <w:pPr>
        <w:spacing w:before="240" w:after="240" w:line="360" w:lineRule="auto"/>
        <w:jc w:val="both"/>
        <w:rPr>
          <w:rFonts w:ascii="David" w:hAnsi="David"/>
          <w:b/>
          <w:bCs/>
          <w:rtl/>
        </w:rPr>
      </w:pPr>
      <w:r w:rsidRPr="00AD4CE5">
        <w:rPr>
          <w:rFonts w:ascii="David" w:hAnsi="David"/>
          <w:b/>
          <w:bCs/>
          <w:rtl/>
        </w:rPr>
        <w:t xml:space="preserve">דיון והכרעה: </w:t>
      </w:r>
    </w:p>
    <w:p w14:paraId="18D95467" w14:textId="77777777" w:rsidR="00DE2500" w:rsidRPr="00AD4CE5" w:rsidRDefault="00DE2500" w:rsidP="00DE2500">
      <w:pPr>
        <w:spacing w:before="240" w:after="240" w:line="360" w:lineRule="auto"/>
        <w:jc w:val="both"/>
        <w:rPr>
          <w:rFonts w:ascii="David" w:hAnsi="David"/>
        </w:rPr>
      </w:pPr>
      <w:r w:rsidRPr="00AD4CE5">
        <w:rPr>
          <w:rFonts w:ascii="David" w:hAnsi="David"/>
          <w:rtl/>
        </w:rPr>
        <w:t>מתחם העונש ההולם ייקבע בהתאם לעיקרון ההלימה, שביישומו על בית המשפט להתחשב בערך החברתי שנפגע מביצוע העבירה, במדיניות הענישה הנהוגה ובנסיבות הקשורות בביצוע העבירה (</w:t>
      </w:r>
      <w:hyperlink r:id="rId16" w:history="1">
        <w:r w:rsidR="00CB4BAA" w:rsidRPr="00CB4BAA">
          <w:rPr>
            <w:rFonts w:ascii="David" w:hAnsi="David"/>
            <w:color w:val="0000FF"/>
            <w:u w:val="single"/>
            <w:rtl/>
          </w:rPr>
          <w:t>ע"פ 8641/12</w:t>
        </w:r>
      </w:hyperlink>
      <w:r w:rsidRPr="00AD4CE5">
        <w:rPr>
          <w:rFonts w:ascii="David" w:hAnsi="David"/>
          <w:rtl/>
        </w:rPr>
        <w:t xml:space="preserve"> </w:t>
      </w:r>
      <w:r w:rsidRPr="00AD4CE5">
        <w:rPr>
          <w:rFonts w:ascii="David" w:hAnsi="David"/>
          <w:b/>
          <w:bCs/>
          <w:rtl/>
        </w:rPr>
        <w:t>מוחמד סעד נ' מ"י</w:t>
      </w:r>
      <w:r w:rsidRPr="00AD4CE5">
        <w:rPr>
          <w:rFonts w:ascii="David" w:hAnsi="David"/>
          <w:rtl/>
        </w:rPr>
        <w:t xml:space="preserve"> (5.8.13)). </w:t>
      </w:r>
    </w:p>
    <w:p w14:paraId="6487B1E8" w14:textId="77777777" w:rsidR="00DE2500" w:rsidRPr="00AD4CE5" w:rsidRDefault="00DE2500" w:rsidP="00DE2500">
      <w:pPr>
        <w:spacing w:before="240" w:after="240" w:line="360" w:lineRule="auto"/>
        <w:jc w:val="both"/>
        <w:rPr>
          <w:rFonts w:ascii="David" w:hAnsi="David"/>
          <w:rtl/>
        </w:rPr>
      </w:pPr>
      <w:r w:rsidRPr="00AD4CE5">
        <w:rPr>
          <w:rFonts w:ascii="David" w:hAnsi="David"/>
          <w:b/>
          <w:bCs/>
          <w:rtl/>
        </w:rPr>
        <w:t>הערך החברתי המוגן</w:t>
      </w:r>
      <w:r w:rsidRPr="00AD4CE5">
        <w:rPr>
          <w:rFonts w:ascii="David" w:hAnsi="David"/>
          <w:rtl/>
        </w:rPr>
        <w:t xml:space="preserve"> שנפגע ממעשי הנאשם הוא הערך של הגנה על חיי אדם והגנה על תחושת הביטחון של הציבור. </w:t>
      </w:r>
    </w:p>
    <w:p w14:paraId="44C0FDDA" w14:textId="77777777" w:rsidR="00DE2500" w:rsidRPr="00AD4CE5" w:rsidRDefault="00DE2500" w:rsidP="00DE2500">
      <w:pPr>
        <w:spacing w:before="240" w:after="240" w:line="360" w:lineRule="auto"/>
        <w:jc w:val="both"/>
        <w:rPr>
          <w:rFonts w:ascii="David" w:hAnsi="David"/>
          <w:b/>
          <w:bCs/>
          <w:rtl/>
        </w:rPr>
      </w:pPr>
      <w:r w:rsidRPr="00AD4CE5">
        <w:rPr>
          <w:rFonts w:ascii="David" w:hAnsi="David"/>
          <w:rtl/>
        </w:rPr>
        <w:t>באשר לחומרה היתרה שיש לראות בביצוע עבירות בנשק, קבע בית המשפט העליון ב</w:t>
      </w:r>
      <w:hyperlink r:id="rId17" w:history="1">
        <w:r w:rsidR="00CB4BAA" w:rsidRPr="00CB4BAA">
          <w:rPr>
            <w:rFonts w:ascii="David" w:hAnsi="David"/>
            <w:color w:val="0000FF"/>
            <w:u w:val="single"/>
            <w:rtl/>
          </w:rPr>
          <w:t>ע"פ 1945/13</w:t>
        </w:r>
      </w:hyperlink>
      <w:r w:rsidRPr="00AD4CE5">
        <w:rPr>
          <w:rFonts w:ascii="David" w:hAnsi="David"/>
          <w:rtl/>
        </w:rPr>
        <w:t xml:space="preserve"> </w:t>
      </w:r>
      <w:r w:rsidRPr="00AD4CE5">
        <w:rPr>
          <w:rFonts w:ascii="David" w:hAnsi="David"/>
          <w:b/>
          <w:bCs/>
          <w:rtl/>
        </w:rPr>
        <w:t xml:space="preserve">מדינת ישראל נ' עבד אל כרים סלימאן, </w:t>
      </w:r>
      <w:r w:rsidRPr="00AD4CE5">
        <w:rPr>
          <w:rFonts w:ascii="David" w:hAnsi="David"/>
          <w:rtl/>
        </w:rPr>
        <w:t>(19.1.14) מדיניות ברורה:</w:t>
      </w:r>
    </w:p>
    <w:p w14:paraId="3AD7759A" w14:textId="77777777" w:rsidR="00DE2500" w:rsidRPr="00AD4CE5" w:rsidRDefault="00DE2500" w:rsidP="00DE2500">
      <w:pPr>
        <w:spacing w:before="240" w:after="240" w:line="360" w:lineRule="auto"/>
        <w:ind w:left="850"/>
        <w:jc w:val="both"/>
        <w:rPr>
          <w:rFonts w:ascii="David" w:hAnsi="David"/>
          <w:b/>
          <w:bCs/>
        </w:rPr>
      </w:pPr>
      <w:r w:rsidRPr="00AD4CE5">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p>
    <w:p w14:paraId="76C773E0"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לאחרונה תוקן החוק, באופן שקבע כי העונש שיושת על מבצע העבירה יתחיל מרבע העונש המרבי שנקבע לעבירה, אלא אם החליט בית המשפט מטעמים מיוחדים להקל בעונש, והעונש לא יהיה כולו על תנאי (</w:t>
      </w:r>
      <w:hyperlink r:id="rId18" w:history="1">
        <w:r w:rsidR="0017299D" w:rsidRPr="0017299D">
          <w:rPr>
            <w:rStyle w:val="Hyperlink"/>
            <w:rFonts w:ascii="David" w:hAnsi="David"/>
            <w:rtl/>
          </w:rPr>
          <w:t>סעיף 144(ז)</w:t>
        </w:r>
      </w:hyperlink>
      <w:r w:rsidRPr="00AD4CE5">
        <w:rPr>
          <w:rFonts w:ascii="David" w:hAnsi="David"/>
          <w:rtl/>
        </w:rPr>
        <w:t xml:space="preserve"> ל</w:t>
      </w:r>
      <w:hyperlink r:id="rId19" w:history="1">
        <w:r w:rsidR="00CB4BAA" w:rsidRPr="00CB4BAA">
          <w:rPr>
            <w:rFonts w:ascii="David" w:hAnsi="David"/>
            <w:color w:val="0000FF"/>
            <w:u w:val="single"/>
            <w:rtl/>
          </w:rPr>
          <w:t>חוק העונשין</w:t>
        </w:r>
      </w:hyperlink>
      <w:r w:rsidRPr="00AD4CE5">
        <w:rPr>
          <w:rFonts w:ascii="David" w:hAnsi="David"/>
          <w:rtl/>
        </w:rPr>
        <w:t xml:space="preserve">, וראו חוק העונשין (תיקון מס' 140 - הוראת שעה), התשפ"ב-2021).  </w:t>
      </w:r>
    </w:p>
    <w:p w14:paraId="5CB55DE5"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בפסיקה נקבע כי החזקתו</w:t>
      </w:r>
      <w:r w:rsidRPr="00AD4CE5">
        <w:rPr>
          <w:rFonts w:ascii="David" w:hAnsi="David"/>
        </w:rPr>
        <w:t xml:space="preserve"> </w:t>
      </w:r>
      <w:r w:rsidRPr="00AD4CE5">
        <w:rPr>
          <w:rFonts w:ascii="David" w:hAnsi="David"/>
          <w:rtl/>
        </w:rPr>
        <w:t>של</w:t>
      </w:r>
      <w:r w:rsidRPr="00AD4CE5">
        <w:rPr>
          <w:rFonts w:ascii="David" w:hAnsi="David"/>
        </w:rPr>
        <w:t xml:space="preserve"> </w:t>
      </w:r>
      <w:r w:rsidRPr="00AD4CE5">
        <w:rPr>
          <w:rFonts w:ascii="David" w:hAnsi="David"/>
          <w:rtl/>
        </w:rPr>
        <w:t>נשק</w:t>
      </w:r>
      <w:r w:rsidRPr="00AD4CE5">
        <w:rPr>
          <w:rFonts w:ascii="David" w:hAnsi="David"/>
        </w:rPr>
        <w:t xml:space="preserve"> </w:t>
      </w:r>
      <w:r w:rsidRPr="00AD4CE5">
        <w:rPr>
          <w:rFonts w:ascii="David" w:hAnsi="David"/>
          <w:rtl/>
        </w:rPr>
        <w:t>חם</w:t>
      </w:r>
      <w:r w:rsidRPr="00AD4CE5">
        <w:rPr>
          <w:rFonts w:ascii="David" w:hAnsi="David"/>
        </w:rPr>
        <w:t xml:space="preserve"> </w:t>
      </w:r>
      <w:r w:rsidRPr="00AD4CE5">
        <w:rPr>
          <w:rFonts w:ascii="David" w:hAnsi="David"/>
          <w:rtl/>
        </w:rPr>
        <w:t>ורב</w:t>
      </w:r>
      <w:r w:rsidRPr="00AD4CE5">
        <w:rPr>
          <w:rFonts w:ascii="David" w:hAnsi="David"/>
        </w:rPr>
        <w:t xml:space="preserve"> </w:t>
      </w:r>
      <w:r w:rsidRPr="00AD4CE5">
        <w:rPr>
          <w:rFonts w:ascii="David" w:hAnsi="David"/>
          <w:rtl/>
        </w:rPr>
        <w:t>עוצמה</w:t>
      </w:r>
      <w:r w:rsidRPr="00AD4CE5">
        <w:rPr>
          <w:rFonts w:ascii="David" w:hAnsi="David"/>
        </w:rPr>
        <w:t xml:space="preserve"> </w:t>
      </w:r>
      <w:r w:rsidRPr="00AD4CE5">
        <w:rPr>
          <w:rFonts w:ascii="David" w:hAnsi="David"/>
          <w:rtl/>
        </w:rPr>
        <w:t>באופן</w:t>
      </w:r>
      <w:r w:rsidRPr="00AD4CE5">
        <w:rPr>
          <w:rFonts w:ascii="David" w:hAnsi="David"/>
        </w:rPr>
        <w:t xml:space="preserve"> </w:t>
      </w:r>
      <w:r w:rsidRPr="00AD4CE5">
        <w:rPr>
          <w:rFonts w:ascii="David" w:hAnsi="David"/>
          <w:rtl/>
        </w:rPr>
        <w:t>בלתי</w:t>
      </w:r>
      <w:r w:rsidRPr="00AD4CE5">
        <w:rPr>
          <w:rFonts w:ascii="David" w:hAnsi="David"/>
        </w:rPr>
        <w:t xml:space="preserve"> </w:t>
      </w:r>
      <w:r w:rsidRPr="00AD4CE5">
        <w:rPr>
          <w:rFonts w:ascii="David" w:hAnsi="David"/>
          <w:rtl/>
        </w:rPr>
        <w:t>חוקי,</w:t>
      </w:r>
      <w:r w:rsidRPr="00AD4CE5">
        <w:rPr>
          <w:rFonts w:ascii="David" w:hAnsi="David"/>
        </w:rPr>
        <w:t xml:space="preserve"> </w:t>
      </w:r>
      <w:r w:rsidRPr="00AD4CE5">
        <w:rPr>
          <w:rFonts w:ascii="David" w:hAnsi="David"/>
          <w:rtl/>
        </w:rPr>
        <w:t>עלול להוביל</w:t>
      </w:r>
      <w:r w:rsidRPr="00AD4CE5">
        <w:rPr>
          <w:rFonts w:ascii="David" w:hAnsi="David"/>
        </w:rPr>
        <w:t xml:space="preserve"> </w:t>
      </w:r>
      <w:r w:rsidRPr="00AD4CE5">
        <w:rPr>
          <w:rFonts w:ascii="David" w:hAnsi="David"/>
          <w:rtl/>
        </w:rPr>
        <w:t>לאלימות</w:t>
      </w:r>
      <w:r w:rsidRPr="00AD4CE5">
        <w:rPr>
          <w:rFonts w:ascii="David" w:hAnsi="David"/>
        </w:rPr>
        <w:t xml:space="preserve"> </w:t>
      </w:r>
      <w:r w:rsidRPr="00AD4CE5">
        <w:rPr>
          <w:rFonts w:ascii="David" w:hAnsi="David"/>
          <w:rtl/>
        </w:rPr>
        <w:t>קשה</w:t>
      </w:r>
      <w:r w:rsidRPr="00AD4CE5">
        <w:rPr>
          <w:rFonts w:ascii="David" w:hAnsi="David"/>
        </w:rPr>
        <w:t xml:space="preserve"> </w:t>
      </w:r>
      <w:r w:rsidRPr="00AD4CE5">
        <w:rPr>
          <w:rFonts w:ascii="David" w:hAnsi="David"/>
          <w:rtl/>
        </w:rPr>
        <w:t>עד</w:t>
      </w:r>
      <w:r w:rsidRPr="00AD4CE5">
        <w:rPr>
          <w:rFonts w:ascii="David" w:hAnsi="David"/>
        </w:rPr>
        <w:t xml:space="preserve"> </w:t>
      </w:r>
      <w:r w:rsidRPr="00AD4CE5">
        <w:rPr>
          <w:rFonts w:ascii="David" w:hAnsi="David"/>
          <w:rtl/>
        </w:rPr>
        <w:t>קטלנית. זמינות כלי</w:t>
      </w:r>
      <w:r w:rsidRPr="00AD4CE5">
        <w:rPr>
          <w:rFonts w:ascii="David" w:hAnsi="David"/>
        </w:rPr>
        <w:t xml:space="preserve"> </w:t>
      </w:r>
      <w:r w:rsidRPr="00AD4CE5">
        <w:rPr>
          <w:rFonts w:ascii="David" w:hAnsi="David"/>
          <w:rtl/>
        </w:rPr>
        <w:t>הנשק</w:t>
      </w:r>
      <w:r w:rsidRPr="00AD4CE5">
        <w:rPr>
          <w:rFonts w:ascii="David" w:hAnsi="David"/>
        </w:rPr>
        <w:t xml:space="preserve"> </w:t>
      </w:r>
      <w:r w:rsidRPr="00AD4CE5">
        <w:rPr>
          <w:rFonts w:ascii="David" w:hAnsi="David"/>
          <w:rtl/>
        </w:rPr>
        <w:t>העוברים</w:t>
      </w:r>
      <w:r w:rsidRPr="00AD4CE5">
        <w:rPr>
          <w:rFonts w:ascii="David" w:hAnsi="David"/>
        </w:rPr>
        <w:t xml:space="preserve"> </w:t>
      </w:r>
      <w:r w:rsidRPr="00AD4CE5">
        <w:rPr>
          <w:rFonts w:ascii="David" w:hAnsi="David"/>
          <w:rtl/>
        </w:rPr>
        <w:t>מיד</w:t>
      </w:r>
      <w:r w:rsidRPr="00AD4CE5">
        <w:rPr>
          <w:rFonts w:ascii="David" w:hAnsi="David"/>
        </w:rPr>
        <w:t xml:space="preserve"> </w:t>
      </w:r>
      <w:r w:rsidRPr="00AD4CE5">
        <w:rPr>
          <w:rFonts w:ascii="David" w:hAnsi="David"/>
          <w:rtl/>
        </w:rPr>
        <w:t>ליד, אם</w:t>
      </w:r>
      <w:r w:rsidRPr="00AD4CE5">
        <w:rPr>
          <w:rFonts w:ascii="David" w:hAnsi="David"/>
        </w:rPr>
        <w:t xml:space="preserve"> </w:t>
      </w:r>
      <w:r w:rsidRPr="00AD4CE5">
        <w:rPr>
          <w:rFonts w:ascii="David" w:hAnsi="David"/>
          <w:rtl/>
        </w:rPr>
        <w:t>לידיים</w:t>
      </w:r>
      <w:r w:rsidRPr="00AD4CE5">
        <w:rPr>
          <w:rFonts w:ascii="David" w:hAnsi="David"/>
        </w:rPr>
        <w:t xml:space="preserve"> </w:t>
      </w:r>
      <w:r w:rsidRPr="00AD4CE5">
        <w:rPr>
          <w:rFonts w:ascii="David" w:hAnsi="David"/>
          <w:rtl/>
        </w:rPr>
        <w:t>עוינות ואם לידיים פליליות, תורמים</w:t>
      </w:r>
      <w:r w:rsidRPr="00AD4CE5">
        <w:rPr>
          <w:rFonts w:ascii="David" w:hAnsi="David"/>
        </w:rPr>
        <w:t xml:space="preserve"> </w:t>
      </w:r>
      <w:r w:rsidRPr="00AD4CE5">
        <w:rPr>
          <w:rFonts w:ascii="David" w:hAnsi="David"/>
          <w:rtl/>
        </w:rPr>
        <w:t>להגדלת</w:t>
      </w:r>
      <w:r w:rsidRPr="00AD4CE5">
        <w:rPr>
          <w:rFonts w:ascii="David" w:hAnsi="David"/>
        </w:rPr>
        <w:t xml:space="preserve"> </w:t>
      </w:r>
      <w:r w:rsidRPr="00AD4CE5">
        <w:rPr>
          <w:rFonts w:ascii="David" w:hAnsi="David"/>
          <w:rtl/>
        </w:rPr>
        <w:t>מעגל</w:t>
      </w:r>
      <w:r w:rsidRPr="00AD4CE5">
        <w:rPr>
          <w:rFonts w:ascii="David" w:hAnsi="David"/>
        </w:rPr>
        <w:t xml:space="preserve"> </w:t>
      </w:r>
      <w:r w:rsidRPr="00AD4CE5">
        <w:rPr>
          <w:rFonts w:ascii="David" w:hAnsi="David"/>
          <w:rtl/>
        </w:rPr>
        <w:t>האלימות</w:t>
      </w:r>
      <w:r w:rsidRPr="00AD4CE5">
        <w:rPr>
          <w:rFonts w:ascii="David" w:hAnsi="David"/>
        </w:rPr>
        <w:t xml:space="preserve"> </w:t>
      </w:r>
      <w:r w:rsidRPr="00AD4CE5">
        <w:rPr>
          <w:rFonts w:ascii="David" w:hAnsi="David"/>
          <w:rtl/>
        </w:rPr>
        <w:t>ולתוצאות</w:t>
      </w:r>
      <w:r w:rsidRPr="00AD4CE5">
        <w:rPr>
          <w:rFonts w:ascii="David" w:hAnsi="David"/>
        </w:rPr>
        <w:t xml:space="preserve"> </w:t>
      </w:r>
      <w:r w:rsidRPr="00AD4CE5">
        <w:rPr>
          <w:rFonts w:ascii="David" w:hAnsi="David"/>
          <w:rtl/>
        </w:rPr>
        <w:t>הקשות</w:t>
      </w:r>
      <w:r w:rsidRPr="00AD4CE5">
        <w:rPr>
          <w:rFonts w:ascii="David" w:hAnsi="David"/>
        </w:rPr>
        <w:t xml:space="preserve"> </w:t>
      </w:r>
      <w:r w:rsidRPr="00AD4CE5">
        <w:rPr>
          <w:rFonts w:ascii="David" w:hAnsi="David"/>
          <w:rtl/>
        </w:rPr>
        <w:t>הנובעות</w:t>
      </w:r>
      <w:r w:rsidRPr="00AD4CE5">
        <w:rPr>
          <w:rFonts w:ascii="David" w:hAnsi="David"/>
        </w:rPr>
        <w:t xml:space="preserve"> </w:t>
      </w:r>
      <w:r w:rsidRPr="00AD4CE5">
        <w:rPr>
          <w:rFonts w:ascii="David" w:hAnsi="David"/>
          <w:rtl/>
        </w:rPr>
        <w:t xml:space="preserve">מכך. בשנים האחרונות אנו עדים לגל אלימות קשה תוך שימוש בנשק חם הגובה חיי אדם. </w:t>
      </w:r>
    </w:p>
    <w:p w14:paraId="34E00E68"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לעניין זה ראה ע"פ </w:t>
      </w:r>
      <w:hyperlink r:id="rId20" w:history="1">
        <w:r w:rsidR="00711355" w:rsidRPr="00711355">
          <w:rPr>
            <w:rFonts w:ascii="David" w:hAnsi="David"/>
            <w:color w:val="0000FF"/>
            <w:u w:val="single"/>
            <w:rtl/>
          </w:rPr>
          <w:t xml:space="preserve">1332/04 </w:t>
        </w:r>
      </w:hyperlink>
      <w:r w:rsidRPr="00AD4CE5">
        <w:rPr>
          <w:rFonts w:ascii="David" w:hAnsi="David"/>
          <w:rtl/>
        </w:rPr>
        <w:t xml:space="preserve"> </w:t>
      </w:r>
      <w:r w:rsidRPr="00AD4CE5">
        <w:rPr>
          <w:rFonts w:ascii="David" w:hAnsi="David"/>
          <w:b/>
          <w:bCs/>
          <w:rtl/>
        </w:rPr>
        <w:t>מדינת ישראל נ' פס</w:t>
      </w:r>
      <w:r w:rsidRPr="00AD4CE5">
        <w:rPr>
          <w:rFonts w:ascii="David" w:hAnsi="David"/>
          <w:rtl/>
        </w:rPr>
        <w:t>, פ"ד נח (5), 541 בעמ' 545:</w:t>
      </w:r>
    </w:p>
    <w:p w14:paraId="12957B0F" w14:textId="77777777" w:rsidR="00DE2500" w:rsidRPr="00AD4CE5" w:rsidRDefault="00DE2500" w:rsidP="00DE2500">
      <w:pPr>
        <w:spacing w:before="240" w:after="240" w:line="360" w:lineRule="auto"/>
        <w:ind w:left="850"/>
        <w:jc w:val="both"/>
        <w:rPr>
          <w:rFonts w:ascii="David" w:hAnsi="David"/>
          <w:rtl/>
        </w:rPr>
      </w:pPr>
      <w:r w:rsidRPr="00AD4CE5">
        <w:rPr>
          <w:rFonts w:ascii="David" w:hAnsi="David"/>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p>
    <w:p w14:paraId="0B9EA8AC" w14:textId="77777777" w:rsidR="00DE2500" w:rsidRPr="00AD4CE5" w:rsidRDefault="00DE2500" w:rsidP="00DE2500">
      <w:pPr>
        <w:spacing w:before="240" w:after="240" w:line="360" w:lineRule="auto"/>
        <w:jc w:val="both"/>
        <w:rPr>
          <w:rFonts w:ascii="David" w:hAnsi="David"/>
          <w:rtl/>
        </w:rPr>
      </w:pPr>
      <w:r w:rsidRPr="00AD4CE5">
        <w:rPr>
          <w:rFonts w:ascii="David" w:hAnsi="David"/>
          <w:b/>
          <w:bCs/>
          <w:rtl/>
        </w:rPr>
        <w:t xml:space="preserve">באשר לנסיבות הקשורות בביצוע העבירה: </w:t>
      </w:r>
    </w:p>
    <w:p w14:paraId="60B98721" w14:textId="77777777" w:rsidR="00DE2500" w:rsidRPr="00AD4CE5" w:rsidRDefault="00DE2500" w:rsidP="00DE2500">
      <w:pPr>
        <w:spacing w:before="240" w:after="240" w:line="360" w:lineRule="auto"/>
        <w:jc w:val="both"/>
        <w:rPr>
          <w:rFonts w:ascii="David" w:hAnsi="David"/>
          <w:color w:val="000000"/>
          <w:rtl/>
        </w:rPr>
      </w:pPr>
      <w:r w:rsidRPr="00AD4CE5">
        <w:rPr>
          <w:rFonts w:ascii="David" w:hAnsi="David"/>
          <w:b/>
          <w:bCs/>
          <w:rtl/>
        </w:rPr>
        <w:t>התכנון שקדם לביצוע העבירות</w:t>
      </w:r>
      <w:r w:rsidRPr="00AD4CE5">
        <w:rPr>
          <w:rFonts w:ascii="David" w:hAnsi="David"/>
          <w:rtl/>
        </w:rPr>
        <w:t xml:space="preserve">: הנאשם החזיק כלי נשק רבים בביתו, כשהם מוסתרים בארון ומתחת למיטתו, לצד תחמושת רבה ומכאן כי מדובר בעבירה מתוכננת היטב מראש. </w:t>
      </w:r>
    </w:p>
    <w:p w14:paraId="4881E31E" w14:textId="77777777" w:rsidR="00DE2500" w:rsidRPr="00AD4CE5" w:rsidRDefault="00DE2500" w:rsidP="00DE2500">
      <w:pPr>
        <w:spacing w:before="240" w:after="240" w:line="360" w:lineRule="auto"/>
        <w:jc w:val="both"/>
        <w:rPr>
          <w:rFonts w:ascii="David" w:hAnsi="David"/>
          <w:color w:val="000000"/>
          <w:rtl/>
        </w:rPr>
      </w:pPr>
      <w:r w:rsidRPr="00AD4CE5">
        <w:rPr>
          <w:rFonts w:ascii="David" w:hAnsi="David"/>
          <w:b/>
          <w:bCs/>
          <w:color w:val="000000"/>
          <w:rtl/>
        </w:rPr>
        <w:t xml:space="preserve">חלקו של הנאשם בביצוע העבירה: </w:t>
      </w:r>
      <w:r w:rsidRPr="00AD4CE5">
        <w:rPr>
          <w:rFonts w:ascii="David" w:hAnsi="David"/>
          <w:color w:val="000000"/>
          <w:rtl/>
        </w:rPr>
        <w:t xml:space="preserve"> חלקו של הנאשם בביצוע העבירה היה בלעדי, כאשר מיקום כלי הנשק בחדרו של הנאשם כשבסמיכות נמצאת תחמושת תואמת, מלמדת על הזמינות והמוכנות לעשות בו שימוש. </w:t>
      </w:r>
    </w:p>
    <w:p w14:paraId="39F2BF7B" w14:textId="77777777" w:rsidR="00DE2500" w:rsidRPr="00AD4CE5" w:rsidRDefault="00DE2500" w:rsidP="00DE2500">
      <w:pPr>
        <w:spacing w:before="240" w:after="240" w:line="360" w:lineRule="auto"/>
        <w:jc w:val="both"/>
        <w:rPr>
          <w:rFonts w:ascii="David" w:hAnsi="David"/>
          <w:color w:val="000000"/>
          <w:rtl/>
        </w:rPr>
      </w:pPr>
      <w:r w:rsidRPr="00AD4CE5">
        <w:rPr>
          <w:rFonts w:ascii="David" w:hAnsi="David"/>
          <w:color w:val="000000"/>
          <w:rtl/>
        </w:rPr>
        <w:t xml:space="preserve">בהקשר זה יש לציין, כי הנאשם לא היה מוכן להסגיר את מקור הנשק, ועל כן הטענה כי אינו קשור לעולם העברייני, כאשר מטיב העבירה ברור כי הנשקים יכלו להגיע לידי הנאשם רק אם יש לו קשרים בעולם זה, אינה מקובלת עלי. </w:t>
      </w:r>
    </w:p>
    <w:p w14:paraId="30A89366" w14:textId="77777777" w:rsidR="00DE2500" w:rsidRPr="00AD4CE5" w:rsidRDefault="00DE2500" w:rsidP="00DE2500">
      <w:pPr>
        <w:spacing w:before="240" w:after="240" w:line="360" w:lineRule="auto"/>
        <w:jc w:val="both"/>
        <w:rPr>
          <w:rFonts w:ascii="David" w:hAnsi="David"/>
          <w:rtl/>
        </w:rPr>
      </w:pPr>
      <w:r w:rsidRPr="00AD4CE5">
        <w:rPr>
          <w:rFonts w:ascii="David" w:hAnsi="David"/>
          <w:b/>
          <w:bCs/>
          <w:rtl/>
        </w:rPr>
        <w:t>הנזק שעלול היה להיגרם מביצוע העבירות:</w:t>
      </w:r>
      <w:r w:rsidRPr="00AD4CE5">
        <w:rPr>
          <w:rFonts w:ascii="David" w:hAnsi="David"/>
          <w:rtl/>
        </w:rPr>
        <w:t xml:space="preserve"> הנאשם החזיק בחדרו 3 רובים, אקדח רימון גז ותחמושת בכמות עצומה שתואמת לכלי נשק. מכאן, שגם אם לא נגרם נזק בפועל הרי פוטנציאל הנזק הוא עצום והרסני אשר עלול לקפח חיי אדם. </w:t>
      </w:r>
    </w:p>
    <w:p w14:paraId="4E2B6EFE" w14:textId="77777777" w:rsidR="00DE2500" w:rsidRPr="00AD4CE5" w:rsidRDefault="00DE2500" w:rsidP="00DE2500">
      <w:pPr>
        <w:spacing w:before="240" w:after="240" w:line="360" w:lineRule="auto"/>
        <w:jc w:val="both"/>
        <w:rPr>
          <w:rFonts w:ascii="David" w:hAnsi="David"/>
          <w:rtl/>
        </w:rPr>
      </w:pPr>
      <w:r w:rsidRPr="00AD4CE5">
        <w:rPr>
          <w:rFonts w:ascii="David" w:hAnsi="David"/>
          <w:b/>
          <w:bCs/>
          <w:rtl/>
        </w:rPr>
        <w:t>מידת הפגיעה בערכים המוגנים</w:t>
      </w:r>
      <w:r w:rsidRPr="00AD4CE5">
        <w:rPr>
          <w:rFonts w:ascii="David" w:hAnsi="David"/>
          <w:rtl/>
        </w:rPr>
        <w:t xml:space="preserve">: בשים לב לריבוי וסוג כלי נשק שהחזיק הנאשם בביתו, התחמושת הרבה התואמת שהוחזקה בצמוד להם והנזק הפוטנציאלי הרב שעלול היה להיגרם, אני קובעת כי מידת הפגיעה בערכים המוגנים היא גבוהה. </w:t>
      </w:r>
    </w:p>
    <w:p w14:paraId="734DF64A" w14:textId="77777777" w:rsidR="00DE2500" w:rsidRPr="00AD4CE5" w:rsidRDefault="00DE2500" w:rsidP="00DE2500">
      <w:pPr>
        <w:spacing w:before="240" w:after="240" w:line="360" w:lineRule="auto"/>
        <w:jc w:val="both"/>
        <w:rPr>
          <w:rFonts w:ascii="David" w:hAnsi="David"/>
          <w:b/>
          <w:bCs/>
          <w:rtl/>
        </w:rPr>
      </w:pPr>
      <w:r w:rsidRPr="00AD4CE5">
        <w:rPr>
          <w:rFonts w:ascii="David" w:hAnsi="David"/>
          <w:b/>
          <w:bCs/>
          <w:rtl/>
        </w:rPr>
        <w:t>באשר למדיניות הענישה הנהוגה:</w:t>
      </w:r>
    </w:p>
    <w:p w14:paraId="10EE63EE"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המאשימה לא הצליחה להביא פסיקה שתואמת את נסיבות תיק זה, ועל כן הפנתה לפסקי דין בהם דובר על החזקת נשק אחד או שני כלי נשק וביקשה למעשה לקבוע מתחם המבוסס על חישוב אריתמטי הנגזר מאותם פסקי דין. קביעת המתחם הוא לעולם אינו חישוב אריתמטי גרידא, אך ניתן להקיש מהפסיקה שניתנה בגין החזקת כלי נשק אחד או שני כלי נשק גם לענייננו.</w:t>
      </w:r>
    </w:p>
    <w:p w14:paraId="247C5C6E" w14:textId="77777777" w:rsidR="00DE2500" w:rsidRDefault="00DE2500" w:rsidP="00DE2500">
      <w:pPr>
        <w:pStyle w:val="a9"/>
        <w:numPr>
          <w:ilvl w:val="0"/>
          <w:numId w:val="2"/>
        </w:numPr>
        <w:spacing w:before="240" w:after="240" w:line="360" w:lineRule="auto"/>
        <w:ind w:left="0"/>
        <w:jc w:val="both"/>
        <w:rPr>
          <w:rFonts w:ascii="David" w:hAnsi="David"/>
        </w:rPr>
      </w:pPr>
      <w:r w:rsidRPr="00AD4CE5">
        <w:rPr>
          <w:rFonts w:ascii="David" w:hAnsi="David"/>
          <w:rtl/>
        </w:rPr>
        <w:t>ב</w:t>
      </w:r>
      <w:hyperlink r:id="rId21" w:history="1">
        <w:r w:rsidR="00CB4BAA" w:rsidRPr="00CB4BAA">
          <w:rPr>
            <w:rFonts w:ascii="David" w:hAnsi="David"/>
            <w:color w:val="0000FF"/>
            <w:u w:val="single"/>
            <w:rtl/>
          </w:rPr>
          <w:t>רע"פ 3355/22</w:t>
        </w:r>
      </w:hyperlink>
      <w:r w:rsidRPr="00AD4CE5">
        <w:rPr>
          <w:rFonts w:ascii="David" w:hAnsi="David"/>
          <w:rtl/>
        </w:rPr>
        <w:t xml:space="preserve"> </w:t>
      </w:r>
      <w:r w:rsidRPr="00AD4CE5">
        <w:rPr>
          <w:rFonts w:ascii="David" w:hAnsi="David"/>
          <w:b/>
          <w:bCs/>
          <w:rtl/>
        </w:rPr>
        <w:t>עלאא סלאמה נ' מדינת ישראל</w:t>
      </w:r>
      <w:r w:rsidRPr="00AD4CE5">
        <w:rPr>
          <w:rFonts w:ascii="David" w:hAnsi="David"/>
          <w:rtl/>
        </w:rPr>
        <w:t xml:space="preserve"> (26.5.22), אליו הפנתה ב"כ המאשימה, המבקש הורשע לאחר הודאתו בביצוע עבירות של החזקת נשק שלא כדין ותקיפת שוטר. המבקש החזיק שלא כדין בחצר ביתו שני תתי מקלע מאולתרים, מחסנית ריקה תואמת ותרמיל 9 מ"מ פאראבלום. במהלך חיפוש משטרתי נתפס תת מקלע אחד בבור בחצר ותת מקלע נוסף עם המחסנית והתרמיל עטופים בשקית, אותה החביאה אמו בבגדיה. במהלך עריכת החיפוש תקף המשיב את השוטר כשהוא קופץ עליו ובועט ברגלו השמאלית. בית משפט השלום קבע כי מתחם העונש ההולם נע בין 12 ל-36 חודשי מאסר בפועל. על המשיב הוטלו 15 חודשי מאסר בפועל וענישה נלווית. ערעור שהוגש על ידי המאשימה לבית המשפט המחוזי התקבל ונקבע כי </w:t>
      </w:r>
      <w:r w:rsidRPr="00AD4CE5">
        <w:rPr>
          <w:rFonts w:ascii="David" w:hAnsi="David"/>
          <w:b/>
          <w:bCs/>
          <w:rtl/>
        </w:rPr>
        <w:t>מתחם הענישה הראוי נע בין 24 ל-50 חודשי מאסר בפועל.</w:t>
      </w:r>
      <w:r w:rsidRPr="00AD4CE5">
        <w:rPr>
          <w:rFonts w:ascii="David" w:hAnsi="David"/>
          <w:rtl/>
        </w:rPr>
        <w:t xml:space="preserve"> מאחר וערכאת הערעור אינה ממצה את הדין הוטלו על המבקש 28 חודשי מאסר בפועל, כאשר יתר רכיבי הענישה נותרו על כנם. בקשת רשות ערעור שהגיש המבקש לבית המשפט העליון נדחתה. </w:t>
      </w:r>
    </w:p>
    <w:p w14:paraId="51F2BFED" w14:textId="77777777" w:rsidR="00DE2500" w:rsidRPr="00AF52AA" w:rsidRDefault="00DE2500" w:rsidP="00DE2500">
      <w:pPr>
        <w:pStyle w:val="a9"/>
        <w:numPr>
          <w:ilvl w:val="0"/>
          <w:numId w:val="2"/>
        </w:numPr>
        <w:spacing w:before="240" w:after="240" w:line="360" w:lineRule="auto"/>
        <w:ind w:left="0"/>
        <w:jc w:val="both"/>
        <w:rPr>
          <w:rFonts w:ascii="David" w:hAnsi="David"/>
        </w:rPr>
      </w:pPr>
      <w:r w:rsidRPr="00AF52AA">
        <w:rPr>
          <w:rFonts w:ascii="David" w:hAnsi="David"/>
          <w:rtl/>
        </w:rPr>
        <w:t>ב</w:t>
      </w:r>
      <w:hyperlink r:id="rId22" w:history="1">
        <w:r w:rsidR="00CB4BAA" w:rsidRPr="00CB4BAA">
          <w:rPr>
            <w:rFonts w:ascii="David" w:hAnsi="David"/>
            <w:color w:val="0000FF"/>
            <w:u w:val="single"/>
            <w:rtl/>
          </w:rPr>
          <w:t>עפ"ג  23083-03-19</w:t>
        </w:r>
      </w:hyperlink>
      <w:r w:rsidRPr="00AF52AA">
        <w:rPr>
          <w:rFonts w:ascii="David" w:hAnsi="David"/>
          <w:rtl/>
        </w:rPr>
        <w:t xml:space="preserve">  </w:t>
      </w:r>
      <w:r w:rsidRPr="00AF52AA">
        <w:rPr>
          <w:rFonts w:ascii="David" w:hAnsi="David"/>
          <w:b/>
          <w:bCs/>
          <w:rtl/>
        </w:rPr>
        <w:t>אבו מדע'ם נ' מדינת ישראל</w:t>
      </w:r>
      <w:r w:rsidRPr="00AF52AA">
        <w:rPr>
          <w:rFonts w:ascii="David" w:hAnsi="David"/>
          <w:rtl/>
        </w:rPr>
        <w:t xml:space="preserve">  (14.2.19), אליו הפנתה ב"כ המאשימה, הנאשמים הורשעו בביצוע עבירות של אחזקת נשק ותחמושת שלא כדין, בניגוד</w:t>
      </w:r>
      <w:r w:rsidR="00CB4BAA">
        <w:rPr>
          <w:rFonts w:ascii="David" w:hAnsi="David"/>
          <w:rtl/>
        </w:rPr>
        <w:t xml:space="preserve"> </w:t>
      </w:r>
      <w:hyperlink r:id="rId23" w:history="1">
        <w:r w:rsidR="0017299D" w:rsidRPr="0017299D">
          <w:rPr>
            <w:rStyle w:val="Hyperlink"/>
            <w:rFonts w:ascii="David" w:hAnsi="David"/>
            <w:rtl/>
          </w:rPr>
          <w:t>לסעיף 144(א)</w:t>
        </w:r>
      </w:hyperlink>
      <w:r w:rsidR="00CB4BAA">
        <w:rPr>
          <w:rFonts w:ascii="David" w:hAnsi="David"/>
          <w:rtl/>
        </w:rPr>
        <w:t xml:space="preserve"> </w:t>
      </w:r>
      <w:r w:rsidRPr="00AF52AA">
        <w:rPr>
          <w:rFonts w:ascii="David" w:hAnsi="David"/>
          <w:rtl/>
        </w:rPr>
        <w:t>רישא וסיפא ל</w:t>
      </w:r>
      <w:hyperlink r:id="rId24" w:history="1">
        <w:r w:rsidR="00CB4BAA" w:rsidRPr="00CB4BAA">
          <w:rPr>
            <w:rFonts w:ascii="David" w:hAnsi="David"/>
            <w:color w:val="0000FF"/>
            <w:u w:val="single"/>
            <w:rtl/>
          </w:rPr>
          <w:t>חוק העונשין</w:t>
        </w:r>
      </w:hyperlink>
      <w:r w:rsidRPr="00AF52AA">
        <w:rPr>
          <w:rFonts w:ascii="David" w:hAnsi="David"/>
          <w:rtl/>
        </w:rPr>
        <w:t>. הנאשמים החזיקו בכלי נשק חם בלתי חוקיים ובתחמושת, כדלקמן: הנאשם 1, נתפס מחזיק בביתו באקדח חצי אוטומטי, 9 מ"מ, תוצרת</w:t>
      </w:r>
      <w:r w:rsidR="00CB4BAA">
        <w:rPr>
          <w:rFonts w:ascii="David" w:hAnsi="David"/>
          <w:rtl/>
        </w:rPr>
        <w:t xml:space="preserve"> </w:t>
      </w:r>
      <w:r w:rsidRPr="00AF52AA">
        <w:rPr>
          <w:rFonts w:ascii="David" w:hAnsi="David"/>
        </w:rPr>
        <w:t>FN</w:t>
      </w:r>
      <w:r w:rsidRPr="00AF52AA">
        <w:rPr>
          <w:rFonts w:ascii="David" w:hAnsi="David"/>
          <w:rtl/>
        </w:rPr>
        <w:t>, וכן החזיק בנוסף ב – 55 כדורים בקוטר 9 מ"מ ובשלוש מחסניות טעונות. הנאשם 2, החזיק בביתו באקדח חצי אוטומטי 9 מ"מ תוצרת "טנפגוליו", אשר אינו תקין אולם ניתן לירות ולהמית אדם באמצעותו; תת מקלע מאולתר, שלא ניתן לבצע ירי באמצעותו מכיוון שחסר פין אחורי, אולם לאחר הרכבת בורג חלף הפין, היה בידיו לבצע ירי, אשר</w:t>
      </w:r>
      <w:r w:rsidR="00CB4BAA">
        <w:rPr>
          <w:rFonts w:ascii="David" w:hAnsi="David"/>
        </w:rPr>
        <w:t xml:space="preserve"> </w:t>
      </w:r>
      <w:r w:rsidRPr="00AF52AA">
        <w:rPr>
          <w:rFonts w:ascii="David" w:hAnsi="David"/>
          <w:rtl/>
        </w:rPr>
        <w:t>בכוחו להמית אדם; אקדח תקני מסוג תופי 9 מ"מ תוצרת "וובלי סקוט"  – לגביו, נטען, כי אינו תקין משום שמנגנון התוף אינו ננעל וקיימת סכנה בטיחותית בירי. כמו כן,</w:t>
      </w:r>
      <w:r w:rsidR="00CB4BAA">
        <w:rPr>
          <w:rFonts w:ascii="David" w:hAnsi="David"/>
          <w:rtl/>
        </w:rPr>
        <w:t xml:space="preserve">  </w:t>
      </w:r>
      <w:r w:rsidRPr="00AF52AA">
        <w:rPr>
          <w:rFonts w:ascii="David" w:hAnsi="David"/>
          <w:rtl/>
        </w:rPr>
        <w:t xml:space="preserve">החזיק הנאשם 2 במחסנית טעונה בתחמושת 9 מ"מ. האקדחים אותם החזיק הנאשם 2 נתפסו בחדר הילדים, בעוד תת המקלע נתפס בחדר השינה של הנאשם 2. בית משפט השלום קבע </w:t>
      </w:r>
      <w:r w:rsidRPr="00AF52AA">
        <w:rPr>
          <w:rFonts w:ascii="David" w:hAnsi="David"/>
          <w:b/>
          <w:bCs/>
          <w:rtl/>
        </w:rPr>
        <w:t>כי מתחם העונש ההולם בעניינו של נאשם 1 נע בין 15 ועד 24 חדשי מאסר בפועל ובעניינו של נאשם 2 – בין 27 ועד 54 חודשי מאסר בפועל</w:t>
      </w:r>
      <w:r w:rsidRPr="00AF52AA">
        <w:rPr>
          <w:rFonts w:ascii="David" w:hAnsi="David"/>
          <w:rtl/>
        </w:rPr>
        <w:t xml:space="preserve">. על הנאשם 1 הושתו 18 חודשי מאסר בפועל וענישה נלווית, ועל נאשם 2 הושתו 30 חודשי מאסר בפועל וענישה נלווית. ערעור שהוגש לבית המשפט המחוזי נדחה.  </w:t>
      </w:r>
    </w:p>
    <w:p w14:paraId="68B9CA60" w14:textId="77777777" w:rsidR="00DE2500" w:rsidRPr="00AD4CE5" w:rsidRDefault="00DE2500" w:rsidP="00DE2500">
      <w:pPr>
        <w:pStyle w:val="a9"/>
        <w:numPr>
          <w:ilvl w:val="0"/>
          <w:numId w:val="2"/>
        </w:numPr>
        <w:spacing w:before="240" w:after="240" w:line="360" w:lineRule="auto"/>
        <w:ind w:left="0"/>
        <w:jc w:val="both"/>
        <w:rPr>
          <w:rFonts w:ascii="David" w:hAnsi="David"/>
        </w:rPr>
      </w:pPr>
      <w:r w:rsidRPr="00AD4CE5">
        <w:rPr>
          <w:rFonts w:ascii="David" w:hAnsi="David"/>
          <w:rtl/>
        </w:rPr>
        <w:t>ב</w:t>
      </w:r>
      <w:hyperlink r:id="rId25" w:history="1">
        <w:r w:rsidR="00CB4BAA" w:rsidRPr="00CB4BAA">
          <w:rPr>
            <w:rFonts w:ascii="David" w:hAnsi="David"/>
            <w:color w:val="0000FF"/>
            <w:u w:val="single"/>
            <w:rtl/>
          </w:rPr>
          <w:t>ת"פ 24328-11-22</w:t>
        </w:r>
      </w:hyperlink>
      <w:r w:rsidRPr="00AD4CE5">
        <w:rPr>
          <w:rFonts w:ascii="David" w:hAnsi="David"/>
          <w:rtl/>
        </w:rPr>
        <w:t xml:space="preserve"> </w:t>
      </w:r>
      <w:r w:rsidRPr="00AD4CE5">
        <w:rPr>
          <w:rFonts w:ascii="David" w:hAnsi="David"/>
          <w:b/>
          <w:bCs/>
          <w:rtl/>
        </w:rPr>
        <w:t>מדינת ישראל נ' עבדאללה מחאמיד</w:t>
      </w:r>
      <w:r w:rsidRPr="00AD4CE5">
        <w:rPr>
          <w:rFonts w:ascii="David" w:hAnsi="David"/>
          <w:rtl/>
        </w:rPr>
        <w:t xml:space="preserve"> (16.3.23), אליו הפנתה ב"כ המאשימה, הנאשם הורשע בעבירות החזקת נשק, לאחר שהחזיק בשקית בתוך ארון במקלחת הבית, נשק מסוג תת מקלע מאולתר בצבע שחור, אשר סוגל לירות ובכוחו להמית אדם, ונשק מסוג תת מקלע בצבע אפור, אשר סוגל לירות ובכוחו להמית אדם, ומחסנית ריקה מכדורים המתאימים לתת מקלע עוזי, שהוסבה לשימוש עם חפץ דמוי תת מקלע מאולתר. נקבע כי </w:t>
      </w:r>
      <w:r w:rsidRPr="00AD4CE5">
        <w:rPr>
          <w:rFonts w:ascii="David" w:hAnsi="David"/>
          <w:b/>
          <w:bCs/>
          <w:rtl/>
        </w:rPr>
        <w:t>מתחם העונש ההולם נע בין 24 ל-50 חודשי מאסר בפועל</w:t>
      </w:r>
      <w:r w:rsidRPr="00AD4CE5">
        <w:rPr>
          <w:rFonts w:ascii="David" w:hAnsi="David"/>
          <w:rtl/>
        </w:rPr>
        <w:t>. על הנאשם הוטלו 30 חודשי מאסר בפועל וענישה נלווית.</w:t>
      </w:r>
    </w:p>
    <w:p w14:paraId="3A95B891" w14:textId="77777777" w:rsidR="00DE2500" w:rsidRPr="00AF52AA" w:rsidRDefault="00DE2500" w:rsidP="00DE2500">
      <w:pPr>
        <w:pStyle w:val="a9"/>
        <w:numPr>
          <w:ilvl w:val="0"/>
          <w:numId w:val="2"/>
        </w:numPr>
        <w:spacing w:before="240" w:after="240" w:line="360" w:lineRule="auto"/>
        <w:ind w:left="0"/>
        <w:jc w:val="both"/>
        <w:rPr>
          <w:rFonts w:ascii="David" w:hAnsi="David"/>
        </w:rPr>
      </w:pPr>
      <w:r w:rsidRPr="00AF52AA">
        <w:rPr>
          <w:rFonts w:ascii="David" w:hAnsi="David"/>
          <w:rtl/>
        </w:rPr>
        <w:t>ב</w:t>
      </w:r>
      <w:hyperlink r:id="rId26" w:history="1">
        <w:r w:rsidR="00CB4BAA" w:rsidRPr="00CB4BAA">
          <w:rPr>
            <w:rFonts w:ascii="David" w:hAnsi="David"/>
            <w:color w:val="0000FF"/>
            <w:u w:val="single"/>
            <w:rtl/>
          </w:rPr>
          <w:t>עפ"ג 68620-02-20</w:t>
        </w:r>
      </w:hyperlink>
      <w:r w:rsidRPr="00AF52AA">
        <w:rPr>
          <w:rFonts w:ascii="David" w:hAnsi="David"/>
          <w:rtl/>
        </w:rPr>
        <w:t xml:space="preserve"> </w:t>
      </w:r>
      <w:r w:rsidRPr="00AF52AA">
        <w:rPr>
          <w:rFonts w:ascii="David" w:hAnsi="David"/>
          <w:b/>
          <w:bCs/>
          <w:rtl/>
        </w:rPr>
        <w:t>שיאבנה ואח' נ' מדינת ישראל</w:t>
      </w:r>
      <w:r w:rsidRPr="00AF52AA">
        <w:rPr>
          <w:rFonts w:ascii="David" w:hAnsi="David"/>
          <w:rtl/>
        </w:rPr>
        <w:t xml:space="preserve"> (27.5.20) הנאשמים הורשעו על פי הודאתם, בעבירה של החזקת נשק ותחמושת בניגוד </w:t>
      </w:r>
      <w:hyperlink r:id="rId27" w:history="1">
        <w:r w:rsidR="0017299D" w:rsidRPr="0017299D">
          <w:rPr>
            <w:rStyle w:val="Hyperlink"/>
            <w:rFonts w:ascii="David" w:hAnsi="David"/>
            <w:rtl/>
          </w:rPr>
          <w:t>לסעיפים 144(א)</w:t>
        </w:r>
      </w:hyperlink>
      <w:r w:rsidR="00CB4BAA">
        <w:rPr>
          <w:rFonts w:ascii="David" w:hAnsi="David"/>
          <w:rtl/>
        </w:rPr>
        <w:t xml:space="preserve"> </w:t>
      </w:r>
      <w:r w:rsidRPr="00AF52AA">
        <w:rPr>
          <w:rFonts w:ascii="David" w:hAnsi="David"/>
          <w:rtl/>
        </w:rPr>
        <w:t>+</w:t>
      </w:r>
      <w:r w:rsidR="00CB4BAA">
        <w:rPr>
          <w:rFonts w:ascii="David" w:hAnsi="David"/>
        </w:rPr>
        <w:t xml:space="preserve"> </w:t>
      </w:r>
      <w:hyperlink r:id="rId28" w:history="1">
        <w:r w:rsidR="0017299D" w:rsidRPr="0017299D">
          <w:rPr>
            <w:rStyle w:val="Hyperlink"/>
            <w:rFonts w:ascii="David" w:hAnsi="David"/>
            <w:rtl/>
          </w:rPr>
          <w:t>29</w:t>
        </w:r>
      </w:hyperlink>
      <w:r w:rsidR="00CB4BAA">
        <w:rPr>
          <w:rFonts w:ascii="David" w:hAnsi="David"/>
          <w:rtl/>
        </w:rPr>
        <w:t xml:space="preserve"> </w:t>
      </w:r>
      <w:r w:rsidRPr="00AF52AA">
        <w:rPr>
          <w:rFonts w:ascii="David" w:hAnsi="David"/>
          <w:rtl/>
        </w:rPr>
        <w:t>ל</w:t>
      </w:r>
      <w:hyperlink r:id="rId29" w:history="1">
        <w:r w:rsidR="00CB4BAA" w:rsidRPr="00CB4BAA">
          <w:rPr>
            <w:rFonts w:ascii="David" w:hAnsi="David"/>
            <w:color w:val="0000FF"/>
            <w:u w:val="single"/>
            <w:rtl/>
          </w:rPr>
          <w:t>חוק העונשין</w:t>
        </w:r>
      </w:hyperlink>
      <w:r w:rsidRPr="00AF52AA">
        <w:rPr>
          <w:rFonts w:ascii="David" w:hAnsi="David"/>
          <w:rtl/>
        </w:rPr>
        <w:t xml:space="preserve">, ועבירה של החזקת נשק ותחמושת בניגוד </w:t>
      </w:r>
      <w:hyperlink r:id="rId30" w:history="1">
        <w:r w:rsidR="0017299D" w:rsidRPr="0017299D">
          <w:rPr>
            <w:rStyle w:val="Hyperlink"/>
            <w:rFonts w:ascii="David" w:hAnsi="David"/>
            <w:rtl/>
          </w:rPr>
          <w:t>לסעיף 144(א)</w:t>
        </w:r>
      </w:hyperlink>
      <w:r w:rsidR="00CB4BAA">
        <w:rPr>
          <w:rFonts w:ascii="David" w:hAnsi="David"/>
          <w:rtl/>
        </w:rPr>
        <w:t xml:space="preserve"> </w:t>
      </w:r>
      <w:r w:rsidRPr="00AF52AA">
        <w:rPr>
          <w:rFonts w:ascii="David" w:hAnsi="David"/>
          <w:rtl/>
        </w:rPr>
        <w:t xml:space="preserve">רישא לחוק העונשין (לנאשם 2 בלבד).הנאשם 2 החזיק בחדר ילדים בביתו של נאשם 1, אקדח פאראבלום, ושתי מחסניות מתאימות, שהכילו 14 כדורים, כל אחת מהן, וזאת בלא רשות על פי דין להחזיקם. באותו מועד, החזיקו שני הנאשמים, בצוותא חדא, בבית הנאשם 1, במגירה התחתונה, באחד מארונות המטבח, אקדח "ברטה" ושתי מחסניות מתאימות, אשר הכילו 25 כדורים, וזאת בלא רשות על פי דין להחזקתם. בית משפט השלום קבע כי </w:t>
      </w:r>
      <w:r w:rsidRPr="00AF52AA">
        <w:rPr>
          <w:rFonts w:ascii="David" w:hAnsi="David"/>
          <w:b/>
          <w:bCs/>
          <w:rtl/>
        </w:rPr>
        <w:t>מתחם העונש ההולם לנאשם 1 נע בין 9 חודשי מאסר בפועל, ל-24 חודשי מאסר בפועל, ולנאשם 2 נע בין 15 חודשי מאסר בפועל, ל-30 חודשי מאסר בפועל</w:t>
      </w:r>
      <w:r w:rsidRPr="00AF52AA">
        <w:rPr>
          <w:rFonts w:ascii="David" w:hAnsi="David"/>
          <w:rtl/>
        </w:rPr>
        <w:t xml:space="preserve">. על נאשם 1 הושתו 9 חודשי מאסר בפועל שירוצו בעבודות שירות וענישה נלווית, ועל נאשם 2 הוטלו 15 חודשי מאסר בפועל וענישה נלווית. ערעור שהוגש לבית המשפט המחוזי התקבל חלקית כך שבעניינו של נאשם 2 הערעור נדחה ובעניינו של נאשם 1 בוטל פסק הדין של בית משפט קמא, הוא הורשע בעבירה של סיוע להחזקת נשק ותחמושת, והוטלו עליו 4 חודשי מאסר בעבודות שירות וענישה נלווית. </w:t>
      </w:r>
    </w:p>
    <w:p w14:paraId="1CD6578A" w14:textId="77777777" w:rsidR="00DE2500" w:rsidRPr="00AD4CE5" w:rsidRDefault="00DE2500" w:rsidP="00DE2500">
      <w:pPr>
        <w:pStyle w:val="a9"/>
        <w:numPr>
          <w:ilvl w:val="0"/>
          <w:numId w:val="2"/>
        </w:numPr>
        <w:spacing w:before="240" w:after="240" w:line="360" w:lineRule="auto"/>
        <w:ind w:left="0"/>
        <w:jc w:val="both"/>
        <w:rPr>
          <w:rFonts w:ascii="David" w:hAnsi="David"/>
        </w:rPr>
      </w:pPr>
      <w:r w:rsidRPr="00AD4CE5">
        <w:rPr>
          <w:rFonts w:ascii="David" w:hAnsi="David"/>
          <w:rtl/>
        </w:rPr>
        <w:t xml:space="preserve">בעפ"ג </w:t>
      </w:r>
      <w:hyperlink r:id="rId31" w:history="1">
        <w:r w:rsidR="00711355" w:rsidRPr="00711355">
          <w:rPr>
            <w:rFonts w:ascii="David" w:hAnsi="David"/>
            <w:color w:val="0000FF"/>
            <w:u w:val="single"/>
            <w:rtl/>
          </w:rPr>
          <w:t xml:space="preserve">46916-07-22 </w:t>
        </w:r>
      </w:hyperlink>
      <w:r w:rsidRPr="00AD4CE5">
        <w:rPr>
          <w:rFonts w:ascii="David" w:hAnsi="David"/>
          <w:rtl/>
        </w:rPr>
        <w:t xml:space="preserve"> </w:t>
      </w:r>
      <w:r w:rsidRPr="00AD4CE5">
        <w:rPr>
          <w:rFonts w:ascii="David" w:hAnsi="David"/>
          <w:b/>
          <w:bCs/>
          <w:rtl/>
        </w:rPr>
        <w:t>מדינת ישראל נ' כנעאני</w:t>
      </w:r>
      <w:r w:rsidRPr="00AD4CE5">
        <w:rPr>
          <w:rFonts w:ascii="David" w:hAnsi="David"/>
          <w:rtl/>
        </w:rPr>
        <w:t xml:space="preserve"> (21.6.23), אליו הפנה ב"כ הנאשם, הנאשם הורשע בעבירות בנשק (החזקה), עבירה לפי</w:t>
      </w:r>
      <w:r w:rsidR="00CB4BAA">
        <w:rPr>
          <w:rFonts w:ascii="David" w:hAnsi="David"/>
          <w:rtl/>
        </w:rPr>
        <w:t xml:space="preserve"> </w:t>
      </w:r>
      <w:hyperlink r:id="rId32" w:history="1">
        <w:r w:rsidR="0017299D" w:rsidRPr="0017299D">
          <w:rPr>
            <w:rStyle w:val="Hyperlink"/>
            <w:rFonts w:ascii="David" w:hAnsi="David"/>
            <w:rtl/>
          </w:rPr>
          <w:t>סעיף 144(א)</w:t>
        </w:r>
      </w:hyperlink>
      <w:r w:rsidR="00CB4BAA">
        <w:rPr>
          <w:rFonts w:ascii="David" w:hAnsi="David"/>
          <w:rtl/>
        </w:rPr>
        <w:t xml:space="preserve"> </w:t>
      </w:r>
      <w:r w:rsidRPr="00AD4CE5">
        <w:rPr>
          <w:rFonts w:ascii="David" w:hAnsi="David"/>
          <w:rtl/>
        </w:rPr>
        <w:t>רישא וסיפא +</w:t>
      </w:r>
      <w:r w:rsidR="00CB4BAA">
        <w:rPr>
          <w:rFonts w:ascii="David" w:hAnsi="David"/>
          <w:rtl/>
        </w:rPr>
        <w:t xml:space="preserve"> </w:t>
      </w:r>
      <w:hyperlink r:id="rId33" w:history="1">
        <w:r w:rsidR="0017299D" w:rsidRPr="0017299D">
          <w:rPr>
            <w:rStyle w:val="Hyperlink"/>
            <w:rFonts w:ascii="David" w:hAnsi="David"/>
            <w:rtl/>
          </w:rPr>
          <w:t>144 (ג)(2+3)</w:t>
        </w:r>
      </w:hyperlink>
      <w:r w:rsidR="00CB4BAA">
        <w:rPr>
          <w:rFonts w:ascii="David" w:hAnsi="David"/>
          <w:rtl/>
        </w:rPr>
        <w:t xml:space="preserve"> </w:t>
      </w:r>
      <w:r w:rsidRPr="00AD4CE5">
        <w:rPr>
          <w:rFonts w:ascii="David" w:hAnsi="David"/>
          <w:rtl/>
        </w:rPr>
        <w:t>+</w:t>
      </w:r>
      <w:r w:rsidR="00CB4BAA">
        <w:rPr>
          <w:rFonts w:ascii="David" w:hAnsi="David"/>
          <w:rtl/>
        </w:rPr>
        <w:t xml:space="preserve"> </w:t>
      </w:r>
      <w:r w:rsidRPr="00CB4BAA">
        <w:rPr>
          <w:rFonts w:ascii="David" w:hAnsi="David"/>
          <w:color w:val="000000"/>
          <w:rtl/>
        </w:rPr>
        <w:t xml:space="preserve">סעיף </w:t>
      </w:r>
      <w:hyperlink r:id="rId34" w:history="1">
        <w:r w:rsidR="0017299D" w:rsidRPr="0017299D">
          <w:rPr>
            <w:rStyle w:val="Hyperlink"/>
            <w:rFonts w:ascii="David" w:hAnsi="David"/>
            <w:rtl/>
          </w:rPr>
          <w:t>29</w:t>
        </w:r>
      </w:hyperlink>
      <w:r w:rsidR="00CB4BAA">
        <w:rPr>
          <w:rFonts w:ascii="David" w:hAnsi="David"/>
          <w:rtl/>
        </w:rPr>
        <w:t xml:space="preserve"> </w:t>
      </w:r>
      <w:r w:rsidRPr="00AD4CE5">
        <w:rPr>
          <w:rFonts w:ascii="David" w:hAnsi="David"/>
          <w:rtl/>
        </w:rPr>
        <w:t>ל</w:t>
      </w:r>
      <w:hyperlink r:id="rId35" w:history="1">
        <w:r w:rsidR="00CB4BAA" w:rsidRPr="00CB4BAA">
          <w:rPr>
            <w:rFonts w:ascii="David" w:hAnsi="David"/>
            <w:color w:val="0000FF"/>
            <w:u w:val="single"/>
            <w:rtl/>
          </w:rPr>
          <w:t>חוק העונשין</w:t>
        </w:r>
      </w:hyperlink>
      <w:r w:rsidRPr="00AD4CE5">
        <w:rPr>
          <w:rFonts w:ascii="David" w:hAnsi="David"/>
          <w:rtl/>
        </w:rPr>
        <w:t>, ובעבירה של שיבוש מהלכי משפט.</w:t>
      </w:r>
      <w:r w:rsidRPr="00AD4CE5">
        <w:rPr>
          <w:rFonts w:ascii="David" w:hAnsi="David"/>
        </w:rPr>
        <w:t xml:space="preserve"> </w:t>
      </w:r>
      <w:r w:rsidRPr="00AD4CE5">
        <w:rPr>
          <w:rFonts w:ascii="David" w:hAnsi="David"/>
          <w:rtl/>
        </w:rPr>
        <w:t>הנאשם הינו בן דודו של הקטין אשר החזיק עבור הנאשם בביתו, כלי נשק מסוגים שונים כפי שיפורט להלן: רובה סער דמוי</w:t>
      </w:r>
      <w:r w:rsidR="00CB4BAA">
        <w:rPr>
          <w:rFonts w:ascii="David" w:hAnsi="David"/>
          <w:rtl/>
        </w:rPr>
        <w:t xml:space="preserve"> </w:t>
      </w:r>
      <w:r w:rsidRPr="00AD4CE5">
        <w:rPr>
          <w:rFonts w:ascii="David" w:hAnsi="David"/>
        </w:rPr>
        <w:t>M16</w:t>
      </w:r>
      <w:r w:rsidR="00CB4BAA">
        <w:rPr>
          <w:rFonts w:ascii="David" w:hAnsi="David"/>
          <w:rtl/>
        </w:rPr>
        <w:t xml:space="preserve"> </w:t>
      </w:r>
      <w:r w:rsidRPr="00AD4CE5">
        <w:rPr>
          <w:rFonts w:ascii="David" w:hAnsi="David"/>
          <w:rtl/>
        </w:rPr>
        <w:t>שסוגל לירות כדור ולהמית אדם, וכן מחסנית תואמת ובתוכה שישה כדורים תואמים בקליבר</w:t>
      </w:r>
      <w:r w:rsidR="00CB4BAA">
        <w:rPr>
          <w:rFonts w:ascii="David" w:hAnsi="David"/>
          <w:rtl/>
        </w:rPr>
        <w:t xml:space="preserve"> </w:t>
      </w:r>
      <w:r w:rsidRPr="00AD4CE5">
        <w:rPr>
          <w:rFonts w:ascii="David" w:hAnsi="David"/>
          <w:rtl/>
        </w:rPr>
        <w:t xml:space="preserve"> 5.56, תת מקלע מסוג עוזי קליבר 9 מ"מ שמסוגל לירות כדור ולהמית אדם, אקדח הזנקה דגם</w:t>
      </w:r>
      <w:r w:rsidR="00CB4BAA">
        <w:rPr>
          <w:rFonts w:ascii="David" w:hAnsi="David"/>
          <w:rtl/>
        </w:rPr>
        <w:t xml:space="preserve"> </w:t>
      </w:r>
      <w:r w:rsidRPr="00AD4CE5">
        <w:rPr>
          <w:rFonts w:ascii="David" w:hAnsi="David"/>
        </w:rPr>
        <w:t>KUZEY</w:t>
      </w:r>
      <w:r w:rsidR="00CB4BAA">
        <w:rPr>
          <w:rFonts w:ascii="David" w:hAnsi="David"/>
          <w:rtl/>
        </w:rPr>
        <w:t xml:space="preserve"> </w:t>
      </w:r>
      <w:r w:rsidRPr="00AD4CE5">
        <w:rPr>
          <w:rFonts w:ascii="David" w:hAnsi="David"/>
          <w:rtl/>
        </w:rPr>
        <w:t>שאינו מסוגל להמית אדם אך בעל מנגנון הכולל תרכובת של חומרי בעירה ונפץ המשמשים להזנקה וכן מחסנית תואמת, וכן</w:t>
      </w:r>
      <w:r w:rsidR="00CB4BAA">
        <w:rPr>
          <w:rFonts w:ascii="David" w:hAnsi="David"/>
          <w:rtl/>
        </w:rPr>
        <w:t xml:space="preserve">  </w:t>
      </w:r>
      <w:r w:rsidRPr="00AD4CE5">
        <w:rPr>
          <w:rFonts w:ascii="David" w:hAnsi="David"/>
          <w:rtl/>
        </w:rPr>
        <w:t>104 כדורי תחמושת בקליבר 5.56 התואמים לנשק מסוג</w:t>
      </w:r>
      <w:r w:rsidR="00CB4BAA">
        <w:rPr>
          <w:rFonts w:ascii="David" w:hAnsi="David"/>
          <w:rtl/>
        </w:rPr>
        <w:t xml:space="preserve"> </w:t>
      </w:r>
      <w:r w:rsidRPr="00AD4CE5">
        <w:rPr>
          <w:rFonts w:ascii="David" w:hAnsi="David"/>
        </w:rPr>
        <w:t>M</w:t>
      </w:r>
      <w:r>
        <w:rPr>
          <w:rFonts w:ascii="David" w:hAnsi="David"/>
        </w:rPr>
        <w:t>-</w:t>
      </w:r>
      <w:r w:rsidRPr="00AD4CE5">
        <w:rPr>
          <w:rFonts w:ascii="David" w:hAnsi="David"/>
        </w:rPr>
        <w:t>16</w:t>
      </w:r>
      <w:r w:rsidR="00CB4BAA">
        <w:rPr>
          <w:rFonts w:ascii="David" w:hAnsi="David"/>
        </w:rPr>
        <w:t xml:space="preserve"> </w:t>
      </w:r>
      <w:r w:rsidR="00CB4BAA">
        <w:rPr>
          <w:rFonts w:ascii="David" w:hAnsi="David"/>
          <w:rtl/>
        </w:rPr>
        <w:t xml:space="preserve"> </w:t>
      </w:r>
      <w:r w:rsidRPr="00AD4CE5">
        <w:rPr>
          <w:rFonts w:ascii="David" w:hAnsi="David"/>
          <w:rtl/>
        </w:rPr>
        <w:t xml:space="preserve">. נקבע כי </w:t>
      </w:r>
      <w:r w:rsidRPr="00AD4CE5">
        <w:rPr>
          <w:rFonts w:ascii="David" w:hAnsi="David"/>
          <w:b/>
          <w:bCs/>
          <w:rtl/>
        </w:rPr>
        <w:t>מתחם העונש ההולם בגין שתי העבירות יכלול רכיב של מאסר בפועל שלא יפחת מ- 28 חודשים ולא יעלה על 52 חודשים בצד עונשים נלווים</w:t>
      </w:r>
      <w:r w:rsidRPr="00AD4CE5">
        <w:rPr>
          <w:rFonts w:ascii="David" w:hAnsi="David"/>
          <w:rtl/>
        </w:rPr>
        <w:t xml:space="preserve">. על הנאשם הוטלו 28 חודשי מאסר בפועל וענישה נלווית. </w:t>
      </w:r>
    </w:p>
    <w:p w14:paraId="65E8F9D6" w14:textId="77777777" w:rsidR="00DE2500" w:rsidRPr="00AD4CE5" w:rsidRDefault="00CB4BAA" w:rsidP="00DE2500">
      <w:pPr>
        <w:pStyle w:val="a9"/>
        <w:numPr>
          <w:ilvl w:val="0"/>
          <w:numId w:val="2"/>
        </w:numPr>
        <w:spacing w:before="240" w:after="240" w:line="360" w:lineRule="auto"/>
        <w:ind w:left="0"/>
        <w:jc w:val="both"/>
        <w:rPr>
          <w:rFonts w:ascii="David" w:hAnsi="David"/>
        </w:rPr>
      </w:pPr>
      <w:r>
        <w:rPr>
          <w:rFonts w:ascii="David" w:hAnsi="David"/>
          <w:rtl/>
        </w:rPr>
        <w:t xml:space="preserve"> </w:t>
      </w:r>
      <w:r w:rsidR="00DE2500" w:rsidRPr="00AD4CE5">
        <w:rPr>
          <w:rFonts w:ascii="David" w:hAnsi="David"/>
          <w:rtl/>
        </w:rPr>
        <w:t xml:space="preserve">בעפ"ג 43838-03-22 </w:t>
      </w:r>
      <w:r w:rsidR="00DE2500" w:rsidRPr="00AD4CE5">
        <w:rPr>
          <w:rFonts w:ascii="David" w:hAnsi="David"/>
          <w:b/>
          <w:bCs/>
          <w:rtl/>
        </w:rPr>
        <w:t>מדינת ישראל נ' עטאללה</w:t>
      </w:r>
      <w:r w:rsidR="00DE2500" w:rsidRPr="00AD4CE5">
        <w:rPr>
          <w:rFonts w:ascii="David" w:hAnsi="David"/>
          <w:rtl/>
        </w:rPr>
        <w:t xml:space="preserve"> (7.11.22), אליו הפנה ב"כ הנאשם, הנאשם הורשע בעבירות של החזקת נשק, החזקת נשק ואביזר תחמושת, שינוי זהות של רכב, נהיגה ללא רישיון, נהיגה ללא ביטוח ורישיון הרכב פקע. הנאשם החזיק ב-23 כלי נשק, שסוגלו לירות כדור ובכוחם להמית אדם, אביזרים וכמות רבה של תחמושת בנשק, ללא רשות על פי דין להחזקתם. בית משפט השלום קבע כי </w:t>
      </w:r>
      <w:r w:rsidR="00DE2500" w:rsidRPr="00AD4CE5">
        <w:rPr>
          <w:rFonts w:ascii="David" w:hAnsi="David"/>
          <w:b/>
          <w:bCs/>
          <w:rtl/>
        </w:rPr>
        <w:t>מתחם העונש ההולם בגין עבירות של החזקת נשק והחזקת אביזר ותחמושת נע בין 24 ל-48 חודשי מאסר בפועל</w:t>
      </w:r>
      <w:r w:rsidR="00DE2500" w:rsidRPr="00AD4CE5">
        <w:rPr>
          <w:rFonts w:ascii="David" w:hAnsi="David"/>
          <w:rtl/>
        </w:rPr>
        <w:t xml:space="preserve">. על הנאשם הוטלו 30 חודשי מאסר בפועל וענישה נלווית. ערעור שהגישה המדינה לבית המשפט המחוזי התקבל באופן שעונש הנאשם הוחמר ל-40 חודשי מאסר בפועל, כאשר יתר רכיבי גזר הדין נותרו על כנם. </w:t>
      </w:r>
      <w:r w:rsidR="00DE2500">
        <w:rPr>
          <w:rFonts w:ascii="David" w:hAnsi="David" w:hint="cs"/>
          <w:rtl/>
        </w:rPr>
        <w:t xml:space="preserve">יודגש כי בית המשפט המחוזי ציין כי אין ממצא את דינו של הנאשם. </w:t>
      </w:r>
    </w:p>
    <w:p w14:paraId="35C56321" w14:textId="77777777" w:rsidR="00DE2500" w:rsidRPr="00AD4CE5" w:rsidRDefault="00DE2500" w:rsidP="00DE2500">
      <w:pPr>
        <w:pStyle w:val="a9"/>
        <w:numPr>
          <w:ilvl w:val="0"/>
          <w:numId w:val="2"/>
        </w:numPr>
        <w:spacing w:before="240" w:after="240" w:line="360" w:lineRule="auto"/>
        <w:ind w:left="0"/>
        <w:jc w:val="both"/>
        <w:rPr>
          <w:rFonts w:ascii="David" w:hAnsi="David"/>
        </w:rPr>
      </w:pPr>
      <w:r w:rsidRPr="00AD4CE5">
        <w:rPr>
          <w:rFonts w:ascii="David" w:hAnsi="David"/>
          <w:rtl/>
        </w:rPr>
        <w:t>ב</w:t>
      </w:r>
      <w:hyperlink r:id="rId36" w:history="1">
        <w:r w:rsidR="00CB4BAA" w:rsidRPr="00CB4BAA">
          <w:rPr>
            <w:rFonts w:ascii="David" w:hAnsi="David"/>
            <w:color w:val="0000FF"/>
            <w:u w:val="single"/>
            <w:rtl/>
          </w:rPr>
          <w:t>עפ"ג 55378-10-20</w:t>
        </w:r>
      </w:hyperlink>
      <w:r w:rsidRPr="00AD4CE5">
        <w:rPr>
          <w:rFonts w:ascii="David" w:hAnsi="David"/>
          <w:b/>
          <w:bCs/>
          <w:rtl/>
        </w:rPr>
        <w:t xml:space="preserve"> מדינת ישראל נ' עאבד</w:t>
      </w:r>
      <w:r w:rsidRPr="00AD4CE5">
        <w:rPr>
          <w:rFonts w:ascii="David" w:hAnsi="David"/>
          <w:rtl/>
        </w:rPr>
        <w:t xml:space="preserve"> (18.1.21) הנאשם הורשע בעבירה של החזקת נשק שלא כדין והפרעה לשוטר במילוי תפקידו. על פי עובדות כתב האישום, הוסלקו בשטח חקלאי בתוך מערום צינורות השקיה 2 נשקים מסוג </w:t>
      </w:r>
      <w:r w:rsidRPr="00AD4CE5">
        <w:rPr>
          <w:rFonts w:ascii="David" w:hAnsi="David"/>
        </w:rPr>
        <w:t>M-16</w:t>
      </w:r>
      <w:r w:rsidRPr="00AD4CE5">
        <w:rPr>
          <w:rFonts w:ascii="David" w:hAnsi="David"/>
          <w:rtl/>
        </w:rPr>
        <w:t xml:space="preserve"> ונשק אחד מסוג קלאצ'ניקוב. לצד הנשקים הוטמנו 5 מחסניות. בית משפט השלום קבע כי </w:t>
      </w:r>
      <w:r w:rsidRPr="00AD4CE5">
        <w:rPr>
          <w:rFonts w:ascii="David" w:hAnsi="David"/>
          <w:b/>
          <w:bCs/>
          <w:rtl/>
        </w:rPr>
        <w:t>מתחם העונש ההולם בגין עבירת החזקת הנשק נע בין 20 ל-40 חודשי מאסר</w:t>
      </w:r>
      <w:r w:rsidRPr="00AD4CE5">
        <w:rPr>
          <w:rFonts w:ascii="David" w:hAnsi="David"/>
          <w:rtl/>
        </w:rPr>
        <w:t>; מתחם העונש ההולם בגין עבירת ההפרעה לשוטר במילוי תפקידו נע בין מאסר על תנאי למספר חודשי מאסר. על הנאשם הושתו 22 חודשי מאסר בפועל וכן הופעל מאסר על תנאי בן חודשיים במצטבר כך שסה"כ הוטל על הנאשם לרצות 24 חודשי מאסר בפועל ענישה נלווית. ערעור המדינה נגד קולת העונש התקבל באופן שעונשו של הנאשם הוחמר ל-30 חודשי מאסר בפועל ויום אחד, אשר כוללת הפעלת עונש מאסר על תנאי בן חודשיים.</w:t>
      </w:r>
    </w:p>
    <w:p w14:paraId="7078C167" w14:textId="77777777" w:rsidR="00DE2500" w:rsidRPr="00AD4CE5" w:rsidRDefault="00CB4BAA" w:rsidP="00DE2500">
      <w:pPr>
        <w:pStyle w:val="a9"/>
        <w:numPr>
          <w:ilvl w:val="0"/>
          <w:numId w:val="2"/>
        </w:numPr>
        <w:spacing w:before="240" w:after="240" w:line="360" w:lineRule="auto"/>
        <w:ind w:left="0"/>
        <w:jc w:val="both"/>
        <w:rPr>
          <w:rFonts w:ascii="David" w:hAnsi="David"/>
        </w:rPr>
      </w:pPr>
      <w:r>
        <w:rPr>
          <w:rFonts w:ascii="David" w:hAnsi="David"/>
          <w:rtl/>
        </w:rPr>
        <w:t xml:space="preserve"> </w:t>
      </w:r>
      <w:r w:rsidR="00DE2500" w:rsidRPr="00AD4CE5">
        <w:rPr>
          <w:rFonts w:ascii="David" w:hAnsi="David"/>
          <w:rtl/>
        </w:rPr>
        <w:t>ב</w:t>
      </w:r>
      <w:hyperlink r:id="rId37" w:history="1">
        <w:r w:rsidRPr="00CB4BAA">
          <w:rPr>
            <w:rFonts w:ascii="David" w:hAnsi="David"/>
            <w:color w:val="0000FF"/>
            <w:u w:val="single"/>
            <w:rtl/>
          </w:rPr>
          <w:t>עפ"ג 15295-08-23</w:t>
        </w:r>
      </w:hyperlink>
      <w:r w:rsidR="00DE2500" w:rsidRPr="00AD4CE5">
        <w:rPr>
          <w:rFonts w:ascii="David" w:hAnsi="David"/>
          <w:rtl/>
        </w:rPr>
        <w:t xml:space="preserve"> </w:t>
      </w:r>
      <w:r w:rsidR="00DE2500" w:rsidRPr="00AD4CE5">
        <w:rPr>
          <w:rFonts w:ascii="David" w:hAnsi="David"/>
          <w:b/>
          <w:bCs/>
          <w:rtl/>
        </w:rPr>
        <w:t>אלגרינאוי נ' מדינת ישראל</w:t>
      </w:r>
      <w:r w:rsidR="00DE2500" w:rsidRPr="00AD4CE5">
        <w:rPr>
          <w:rFonts w:ascii="David" w:hAnsi="David"/>
          <w:rtl/>
        </w:rPr>
        <w:t xml:space="preserve"> (10.1.24) המערער הורשע על פי הודאתו בעבירה של החזקת נשק ותחמושת. על פי כתב האישום המתוקן, במהלך חיפוש שנערך בבית המערער נתפס נשק דמוי רובה סער מסוג</w:t>
      </w:r>
      <w:r>
        <w:rPr>
          <w:rFonts w:ascii="David" w:hAnsi="David"/>
          <w:rtl/>
        </w:rPr>
        <w:t xml:space="preserve"> </w:t>
      </w:r>
      <w:r w:rsidR="00DE2500" w:rsidRPr="00AD4CE5">
        <w:rPr>
          <w:rFonts w:ascii="David" w:hAnsi="David"/>
        </w:rPr>
        <w:t>M-16</w:t>
      </w:r>
      <w:r>
        <w:rPr>
          <w:rFonts w:ascii="David" w:hAnsi="David"/>
          <w:rtl/>
        </w:rPr>
        <w:t xml:space="preserve"> </w:t>
      </w:r>
      <w:r w:rsidR="00DE2500" w:rsidRPr="00AD4CE5">
        <w:rPr>
          <w:rFonts w:ascii="David" w:hAnsi="David"/>
          <w:rtl/>
        </w:rPr>
        <w:t>– רובה אויר שהוסב לירי תחמושת בקליבר 45</w:t>
      </w:r>
      <w:r w:rsidR="00DE2500" w:rsidRPr="00AD4CE5">
        <w:rPr>
          <w:rFonts w:ascii="David" w:hAnsi="David"/>
        </w:rPr>
        <w:t>X</w:t>
      </w:r>
      <w:r w:rsidR="00DE2500" w:rsidRPr="00AD4CE5">
        <w:rPr>
          <w:rFonts w:ascii="David" w:hAnsi="David"/>
          <w:rtl/>
        </w:rPr>
        <w:t>5.56 - עטוף בשקית שחורה, שהוחזק מעל ארון במטבח הבית, ביחד עם שלוש מחסניות המכילות כמה עשרות כדורי 5.56 מ"מ. בית משפט השלום קבע כי</w:t>
      </w:r>
      <w:r>
        <w:rPr>
          <w:rFonts w:ascii="David" w:hAnsi="David"/>
          <w:rtl/>
        </w:rPr>
        <w:t xml:space="preserve"> </w:t>
      </w:r>
      <w:r w:rsidR="00DE2500" w:rsidRPr="00AD4CE5">
        <w:rPr>
          <w:rFonts w:ascii="David" w:hAnsi="David"/>
          <w:b/>
          <w:bCs/>
          <w:rtl/>
        </w:rPr>
        <w:t>מתחם העונש ההולם נע בין 24 ל- 40 חודשי מאסר בפועל</w:t>
      </w:r>
      <w:r w:rsidR="00DE2500" w:rsidRPr="00AD4CE5">
        <w:rPr>
          <w:rFonts w:ascii="David" w:hAnsi="David"/>
          <w:rtl/>
        </w:rPr>
        <w:t xml:space="preserve">. על המערער הוטלו 29 חודשי מאסר בפועל וענישה נלווית. ערעור שהגיש המערער לגבי חומרת העונש התקבל וזאת בשים לב לעברו הפלילי הנקי של המערער אשר הגיע מרקע נורמטיבי. לפיכך, בית המשפט המחוזי מצא להקל במעט בתקופת מאסרו של המערער ולהעמידה על 26 חודשי מאסר בפועל.  </w:t>
      </w:r>
    </w:p>
    <w:p w14:paraId="63A07325" w14:textId="77777777" w:rsidR="00DE2500" w:rsidRPr="00AD4CE5" w:rsidRDefault="00DE2500" w:rsidP="00DE2500">
      <w:pPr>
        <w:pStyle w:val="a9"/>
        <w:numPr>
          <w:ilvl w:val="0"/>
          <w:numId w:val="2"/>
        </w:numPr>
        <w:spacing w:before="240" w:after="240" w:line="360" w:lineRule="auto"/>
        <w:ind w:left="0"/>
        <w:jc w:val="both"/>
        <w:rPr>
          <w:rFonts w:ascii="David" w:hAnsi="David"/>
        </w:rPr>
      </w:pPr>
      <w:r w:rsidRPr="00AD4CE5">
        <w:rPr>
          <w:rFonts w:ascii="David" w:hAnsi="David"/>
          <w:rtl/>
        </w:rPr>
        <w:t>ב</w:t>
      </w:r>
      <w:hyperlink r:id="rId38" w:history="1">
        <w:r w:rsidR="00CB4BAA" w:rsidRPr="00CB4BAA">
          <w:rPr>
            <w:rFonts w:ascii="David" w:hAnsi="David"/>
            <w:color w:val="0000FF"/>
            <w:u w:val="single"/>
            <w:rtl/>
          </w:rPr>
          <w:t>ת"פ 24748-11-21</w:t>
        </w:r>
      </w:hyperlink>
      <w:r w:rsidRPr="00AD4CE5">
        <w:rPr>
          <w:rFonts w:ascii="David" w:hAnsi="David"/>
          <w:rtl/>
        </w:rPr>
        <w:t xml:space="preserve"> </w:t>
      </w:r>
      <w:r w:rsidRPr="00AD4CE5">
        <w:rPr>
          <w:rFonts w:ascii="David" w:hAnsi="David"/>
          <w:b/>
          <w:bCs/>
          <w:rtl/>
        </w:rPr>
        <w:t>מדינת ישראל נ' קואסמה</w:t>
      </w:r>
      <w:r w:rsidRPr="00AD4CE5">
        <w:rPr>
          <w:rFonts w:ascii="David" w:hAnsi="David"/>
          <w:rtl/>
        </w:rPr>
        <w:t xml:space="preserve"> (8.5.22) הנאשם הורשע לאחר הודאתו בכך שרכש תת מקלע "עוזי" ורובה </w:t>
      </w:r>
      <w:r w:rsidRPr="00AD4CE5">
        <w:rPr>
          <w:rFonts w:ascii="David" w:hAnsi="David"/>
        </w:rPr>
        <w:t>M</w:t>
      </w:r>
      <w:r>
        <w:rPr>
          <w:rFonts w:ascii="David" w:hAnsi="David"/>
        </w:rPr>
        <w:t>-</w:t>
      </w:r>
      <w:r w:rsidRPr="00AD4CE5">
        <w:rPr>
          <w:rFonts w:ascii="David" w:hAnsi="David"/>
        </w:rPr>
        <w:t>4</w:t>
      </w:r>
      <w:r w:rsidRPr="00AD4CE5">
        <w:rPr>
          <w:rFonts w:ascii="David" w:hAnsi="David"/>
          <w:rtl/>
        </w:rPr>
        <w:t xml:space="preserve"> והחזיק בהם במשך מספר ימים בביתו, מתחת למיטה של בתו. בית משפט השלום קבע כי </w:t>
      </w:r>
      <w:r w:rsidRPr="00AD4CE5">
        <w:rPr>
          <w:rFonts w:ascii="David" w:hAnsi="David"/>
          <w:b/>
          <w:bCs/>
          <w:rtl/>
        </w:rPr>
        <w:t>מתחם העונש ההולם נע בין 2 ל-4 שנות מאסר בפועל</w:t>
      </w:r>
      <w:r w:rsidRPr="00AD4CE5">
        <w:rPr>
          <w:rFonts w:ascii="David" w:hAnsi="David"/>
          <w:rtl/>
        </w:rPr>
        <w:t xml:space="preserve">. על הנאשם ללא עבר פלילי הוטלו שנתיים מאסר בפועל וענישה נלווית. </w:t>
      </w:r>
    </w:p>
    <w:p w14:paraId="1D6E2D7B" w14:textId="77777777" w:rsidR="00DE2500" w:rsidRPr="00AD4CE5" w:rsidRDefault="00DE2500" w:rsidP="00DE2500">
      <w:pPr>
        <w:pStyle w:val="a9"/>
        <w:numPr>
          <w:ilvl w:val="0"/>
          <w:numId w:val="2"/>
        </w:numPr>
        <w:spacing w:before="240" w:after="240" w:line="360" w:lineRule="auto"/>
        <w:ind w:left="0"/>
        <w:jc w:val="both"/>
        <w:rPr>
          <w:rFonts w:ascii="David" w:hAnsi="David"/>
          <w:rtl/>
        </w:rPr>
      </w:pPr>
      <w:r w:rsidRPr="00AD4CE5">
        <w:rPr>
          <w:rFonts w:ascii="David" w:hAnsi="David"/>
          <w:rtl/>
        </w:rPr>
        <w:t>ב</w:t>
      </w:r>
      <w:hyperlink r:id="rId39" w:history="1">
        <w:r w:rsidR="00CB4BAA" w:rsidRPr="00CB4BAA">
          <w:rPr>
            <w:rFonts w:ascii="David" w:hAnsi="David"/>
            <w:color w:val="0000FF"/>
            <w:u w:val="single"/>
            <w:rtl/>
          </w:rPr>
          <w:t>ת"פ 1783-04-23</w:t>
        </w:r>
      </w:hyperlink>
      <w:r w:rsidRPr="00AD4CE5">
        <w:rPr>
          <w:rFonts w:ascii="David" w:hAnsi="David"/>
          <w:rtl/>
        </w:rPr>
        <w:t xml:space="preserve"> </w:t>
      </w:r>
      <w:r w:rsidRPr="00AD4CE5">
        <w:rPr>
          <w:rFonts w:ascii="David" w:hAnsi="David"/>
          <w:b/>
          <w:bCs/>
          <w:rtl/>
        </w:rPr>
        <w:t>מדינת ישראל נ' ארתור איסאקוב</w:t>
      </w:r>
      <w:r w:rsidRPr="00AD4CE5">
        <w:rPr>
          <w:rFonts w:ascii="David" w:hAnsi="David"/>
          <w:rtl/>
        </w:rPr>
        <w:t xml:space="preserve"> (26.12.23) הנאשם הורשע על פי הודאתו בעבירות החזקת נשק  ותחמושת וכן בהחזקת סמים לצריכה עצמית. במהלך חיפוש בדירת הנאשם נמצא בארון הבגדים אקדח חצי אוטומטי מסוג "</w:t>
      </w:r>
      <w:r w:rsidRPr="00AD4CE5">
        <w:rPr>
          <w:rFonts w:ascii="David" w:hAnsi="David"/>
        </w:rPr>
        <w:t>TANFOGOLIO</w:t>
      </w:r>
      <w:r w:rsidRPr="00AD4CE5">
        <w:rPr>
          <w:rFonts w:ascii="David" w:hAnsi="David"/>
          <w:rtl/>
        </w:rPr>
        <w:t>" ובו מחסנית הטעונה ב- 10 כדורים בקוטר 9 מ"מ. בנוסף, נמצא על כיסא, תחת כרית, סמוך למיטתו של הנאשם אקדח מסוג "</w:t>
      </w:r>
      <w:r w:rsidRPr="00AD4CE5">
        <w:rPr>
          <w:rFonts w:ascii="David" w:hAnsi="David"/>
        </w:rPr>
        <w:t>FN</w:t>
      </w:r>
      <w:r w:rsidRPr="00AD4CE5">
        <w:rPr>
          <w:rFonts w:ascii="David" w:hAnsi="David"/>
          <w:rtl/>
        </w:rPr>
        <w:t xml:space="preserve"> – בראונינג" ובו מחסנית הטעונה ב- 5 כדורים בקוטר 6.35 מ"מ. כמו כן, במקומות נוספים נמצאו סם מסוכן מסוג קנביס במשקל כולל של 18.9 גרם נטו ועוד 12 כדורי תחמושת בקוטר 9 מ"מ ו- 10 כדורי תחמושת בקוטר 6.35 מ"מ. נקבע כי </w:t>
      </w:r>
      <w:r w:rsidRPr="00AD4CE5">
        <w:rPr>
          <w:rFonts w:ascii="David" w:hAnsi="David"/>
          <w:b/>
          <w:bCs/>
          <w:rtl/>
        </w:rPr>
        <w:t>מתחם העונש ההולם נע בין 18 ל-36 חודשי מאסר בפועל לצד ענישה הצופה פני עתיד</w:t>
      </w:r>
      <w:r w:rsidRPr="00AD4CE5">
        <w:rPr>
          <w:rFonts w:ascii="David" w:hAnsi="David"/>
          <w:rtl/>
        </w:rPr>
        <w:t xml:space="preserve">. על הנאשם הוטלו 22 חודשי מאסר בפועל ומאסר על תנאי. </w:t>
      </w:r>
    </w:p>
    <w:p w14:paraId="26D395C3" w14:textId="77777777" w:rsidR="00DE2500" w:rsidRPr="00AD4CE5" w:rsidRDefault="00DE2500" w:rsidP="00DE2500">
      <w:pPr>
        <w:pStyle w:val="a9"/>
        <w:numPr>
          <w:ilvl w:val="0"/>
          <w:numId w:val="2"/>
        </w:numPr>
        <w:spacing w:before="240" w:after="240" w:line="360" w:lineRule="auto"/>
        <w:ind w:left="0"/>
        <w:jc w:val="both"/>
        <w:rPr>
          <w:rFonts w:ascii="David" w:hAnsi="David"/>
        </w:rPr>
      </w:pPr>
      <w:r w:rsidRPr="00AD4CE5">
        <w:rPr>
          <w:rFonts w:ascii="David" w:hAnsi="David"/>
          <w:rtl/>
        </w:rPr>
        <w:t>ב</w:t>
      </w:r>
      <w:hyperlink r:id="rId40" w:history="1">
        <w:r w:rsidR="00CB4BAA" w:rsidRPr="00CB4BAA">
          <w:rPr>
            <w:rFonts w:ascii="David" w:hAnsi="David"/>
            <w:color w:val="0000FF"/>
            <w:u w:val="single"/>
            <w:rtl/>
          </w:rPr>
          <w:t>ת"פ 57707-05-20</w:t>
        </w:r>
      </w:hyperlink>
      <w:r w:rsidRPr="00AD4CE5">
        <w:rPr>
          <w:rFonts w:ascii="David" w:hAnsi="David"/>
          <w:rtl/>
        </w:rPr>
        <w:t xml:space="preserve"> </w:t>
      </w:r>
      <w:r w:rsidRPr="00AD4CE5">
        <w:rPr>
          <w:rFonts w:ascii="David" w:hAnsi="David"/>
          <w:b/>
          <w:bCs/>
          <w:rtl/>
        </w:rPr>
        <w:t>מדינת ישראל נ' עואודי</w:t>
      </w:r>
      <w:r w:rsidRPr="00AD4CE5">
        <w:rPr>
          <w:rFonts w:ascii="David" w:hAnsi="David"/>
          <w:rtl/>
        </w:rPr>
        <w:t xml:space="preserve"> (22.1.24) הנאשם הורשע, לאחר ניהול הוכחות, בעבירה של החזקת נשק שלא כדין (שני מקרים). הנאשם החזיק במחסן הממוקם בסמוך לביתו, שבו עבד דרך קבע בתיקון כלי עבודה, בשני אקדחים: אקדח חצי אוטומטי מסוג </w:t>
      </w:r>
      <w:r w:rsidRPr="00AD4CE5">
        <w:rPr>
          <w:rFonts w:ascii="David" w:hAnsi="David"/>
        </w:rPr>
        <w:t>SMITH &amp; WESSON</w:t>
      </w:r>
      <w:r w:rsidRPr="00AD4CE5">
        <w:rPr>
          <w:rFonts w:ascii="David" w:hAnsi="David"/>
          <w:rtl/>
        </w:rPr>
        <w:t xml:space="preserve">, עם מחסנית ריקה מתאימה, ובאקדח חצי אוטומטי </w:t>
      </w:r>
      <w:r w:rsidRPr="00AD4CE5">
        <w:rPr>
          <w:rFonts w:ascii="David" w:hAnsi="David"/>
        </w:rPr>
        <w:t>FN</w:t>
      </w:r>
      <w:r w:rsidRPr="00AD4CE5">
        <w:rPr>
          <w:rFonts w:ascii="David" w:hAnsi="David"/>
          <w:rtl/>
        </w:rPr>
        <w:t xml:space="preserve"> מפורק יחד עם מחסנית ריקה מתאימה. בית משפט השלום קבע כי מתחם העונש ההולם בנסיבות ביצוע העבירה, בהתחשב בסוג הנשק, וכן מקום ונסיבות החזקתו - </w:t>
      </w:r>
      <w:r w:rsidRPr="00AD4CE5">
        <w:rPr>
          <w:rFonts w:ascii="David" w:hAnsi="David"/>
          <w:b/>
          <w:bCs/>
          <w:rtl/>
        </w:rPr>
        <w:t>נע בין 20 חודשי מאסר בפועל לבין 36 חודשי מאסר בפועל</w:t>
      </w:r>
      <w:r w:rsidRPr="00AD4CE5">
        <w:rPr>
          <w:rFonts w:ascii="David" w:hAnsi="David"/>
          <w:rtl/>
        </w:rPr>
        <w:t>. על הנאשם הוטלו 28 חודשי מאסר בפועל וענישה נלווית. ערעור שהוגש לבית המשפט המחוזי טרם ניתנה בו החלטה (</w:t>
      </w:r>
      <w:hyperlink r:id="rId41" w:history="1">
        <w:r w:rsidR="00CB4BAA" w:rsidRPr="00CB4BAA">
          <w:rPr>
            <w:rFonts w:ascii="David" w:hAnsi="David"/>
            <w:color w:val="0000FF"/>
            <w:u w:val="single"/>
            <w:rtl/>
          </w:rPr>
          <w:t>ע"פ 57519-01-24</w:t>
        </w:r>
      </w:hyperlink>
      <w:r w:rsidRPr="00AD4CE5">
        <w:rPr>
          <w:rFonts w:ascii="David" w:hAnsi="David"/>
          <w:rtl/>
        </w:rPr>
        <w:t>).</w:t>
      </w:r>
    </w:p>
    <w:p w14:paraId="1E2517A8" w14:textId="77777777" w:rsidR="00DE2500" w:rsidRPr="00AD4CE5" w:rsidRDefault="00CB4BAA" w:rsidP="00DE2500">
      <w:pPr>
        <w:spacing w:before="240" w:after="240" w:line="360" w:lineRule="atLeast"/>
        <w:jc w:val="both"/>
        <w:rPr>
          <w:rFonts w:ascii="David" w:hAnsi="David"/>
          <w:color w:val="000000"/>
          <w:sz w:val="27"/>
          <w:szCs w:val="27"/>
        </w:rPr>
      </w:pPr>
      <w:r>
        <w:rPr>
          <w:rFonts w:ascii="David" w:hAnsi="David"/>
          <w:color w:val="000000"/>
          <w:sz w:val="27"/>
          <w:szCs w:val="27"/>
          <w:rtl/>
        </w:rPr>
        <w:t xml:space="preserve"> </w:t>
      </w:r>
      <w:r w:rsidR="00DE2500" w:rsidRPr="00AD4CE5">
        <w:rPr>
          <w:rFonts w:ascii="David" w:hAnsi="David"/>
          <w:rtl/>
        </w:rPr>
        <w:t xml:space="preserve">לאחר ששקלתי את מכלול השיקולים המעוגנים </w:t>
      </w:r>
      <w:hyperlink r:id="rId42" w:history="1">
        <w:r w:rsidR="0017299D" w:rsidRPr="0017299D">
          <w:rPr>
            <w:rStyle w:val="Hyperlink"/>
            <w:rFonts w:ascii="David" w:hAnsi="David"/>
            <w:rtl/>
          </w:rPr>
          <w:t>בסעיף 40ג(א)</w:t>
        </w:r>
      </w:hyperlink>
      <w:r w:rsidR="00DE2500" w:rsidRPr="00AD4CE5">
        <w:rPr>
          <w:rFonts w:ascii="David" w:hAnsi="David"/>
          <w:rtl/>
        </w:rPr>
        <w:t xml:space="preserve"> ל</w:t>
      </w:r>
      <w:hyperlink r:id="rId43" w:history="1">
        <w:r w:rsidRPr="00CB4BAA">
          <w:rPr>
            <w:rFonts w:ascii="David" w:hAnsi="David"/>
            <w:color w:val="0000FF"/>
            <w:u w:val="single"/>
            <w:rtl/>
          </w:rPr>
          <w:t>חוק העונשין</w:t>
        </w:r>
      </w:hyperlink>
      <w:r w:rsidR="00DE2500" w:rsidRPr="00AD4CE5">
        <w:rPr>
          <w:rFonts w:ascii="David" w:hAnsi="David"/>
          <w:rtl/>
        </w:rPr>
        <w:t xml:space="preserve">, </w:t>
      </w:r>
      <w:r w:rsidR="00DE2500" w:rsidRPr="00DD1749">
        <w:rPr>
          <w:rFonts w:ascii="David" w:hAnsi="David"/>
          <w:b/>
          <w:bCs/>
          <w:rtl/>
        </w:rPr>
        <w:t xml:space="preserve">מצאתי כי מתחם העונש ההולם נע בין </w:t>
      </w:r>
      <w:r w:rsidR="00DE2500">
        <w:rPr>
          <w:rFonts w:ascii="David" w:hAnsi="David" w:hint="cs"/>
          <w:b/>
          <w:bCs/>
          <w:rtl/>
        </w:rPr>
        <w:t>34</w:t>
      </w:r>
      <w:r w:rsidR="00DE2500" w:rsidRPr="00DD1749">
        <w:rPr>
          <w:rFonts w:ascii="David" w:hAnsi="David"/>
          <w:b/>
          <w:bCs/>
          <w:rtl/>
        </w:rPr>
        <w:t xml:space="preserve"> ל- </w:t>
      </w:r>
      <w:r w:rsidR="00DE2500">
        <w:rPr>
          <w:rFonts w:ascii="David" w:hAnsi="David" w:hint="cs"/>
          <w:b/>
          <w:bCs/>
          <w:rtl/>
        </w:rPr>
        <w:t>58</w:t>
      </w:r>
      <w:r w:rsidR="00DE2500" w:rsidRPr="00DD1749">
        <w:rPr>
          <w:rFonts w:ascii="David" w:hAnsi="David"/>
          <w:b/>
          <w:bCs/>
          <w:rtl/>
        </w:rPr>
        <w:t xml:space="preserve"> חודשי מאסר בפועל</w:t>
      </w:r>
      <w:r w:rsidR="00DE2500" w:rsidRPr="00AD4CE5">
        <w:rPr>
          <w:rFonts w:ascii="David" w:hAnsi="David"/>
          <w:rtl/>
        </w:rPr>
        <w:t xml:space="preserve">, בצירוף ענישה נלווית. </w:t>
      </w:r>
    </w:p>
    <w:p w14:paraId="10095C41" w14:textId="77777777" w:rsidR="00DE2500" w:rsidRPr="00AD4CE5" w:rsidRDefault="00DE2500" w:rsidP="00DE2500">
      <w:pPr>
        <w:spacing w:before="240" w:after="240" w:line="360" w:lineRule="auto"/>
        <w:jc w:val="both"/>
        <w:rPr>
          <w:rFonts w:ascii="David" w:hAnsi="David"/>
          <w:b/>
          <w:bCs/>
        </w:rPr>
      </w:pPr>
      <w:r w:rsidRPr="00AD4CE5">
        <w:rPr>
          <w:rFonts w:ascii="David" w:hAnsi="David"/>
          <w:b/>
          <w:bCs/>
          <w:rtl/>
        </w:rPr>
        <w:t>חריגה ממתחם העונש ההולם:</w:t>
      </w:r>
    </w:p>
    <w:p w14:paraId="5224E362"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בעניינו של הנאשם לא מצאתי נסיבות המצדיקות סטייה ממתחם העונש ההולם לא לחומרא ולא לקולא, בשים לב לתסקיר שירות המבחן שלא בא בהמלצה טיפולית. </w:t>
      </w:r>
    </w:p>
    <w:p w14:paraId="6C340229" w14:textId="77777777" w:rsidR="00DE2500" w:rsidRPr="00AD4CE5" w:rsidRDefault="00DE2500" w:rsidP="00DE2500">
      <w:pPr>
        <w:spacing w:before="240" w:after="240" w:line="360" w:lineRule="auto"/>
        <w:jc w:val="both"/>
        <w:rPr>
          <w:rFonts w:ascii="David" w:hAnsi="David"/>
          <w:b/>
          <w:bCs/>
        </w:rPr>
      </w:pPr>
      <w:r w:rsidRPr="00AD4CE5">
        <w:rPr>
          <w:rFonts w:ascii="David" w:hAnsi="David"/>
          <w:b/>
          <w:bCs/>
          <w:rtl/>
        </w:rPr>
        <w:t>באשר לעונשו של הנאשם בתוך מתחם העונש ההולם:</w:t>
      </w:r>
    </w:p>
    <w:p w14:paraId="2243DDC0"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לקולא שקלתי את העובדה, כי הנאשם הודה בהזדמנות הראשונה, נטל אחריות על מעשיו וחסך מזמנו השיפוטי של בית המשפט. </w:t>
      </w:r>
    </w:p>
    <w:p w14:paraId="209ED629"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 xml:space="preserve">עוד נתתי דעתי לגילו הצעיר של הנאשם, כי אין לחובתו עבר פלילי, הוא הגיע ממשפחה נורמטיבית ועומד לראשונה בחייו לרצות מאסר מאחורי סורג ובריח. </w:t>
      </w:r>
    </w:p>
    <w:p w14:paraId="088A9A58" w14:textId="77777777" w:rsidR="00DE2500" w:rsidRPr="00AD4CE5" w:rsidRDefault="00DE2500" w:rsidP="00DE2500">
      <w:pPr>
        <w:spacing w:before="240" w:after="240" w:line="360" w:lineRule="auto"/>
        <w:jc w:val="both"/>
        <w:rPr>
          <w:rFonts w:ascii="David" w:hAnsi="David"/>
          <w:rtl/>
        </w:rPr>
      </w:pPr>
      <w:r w:rsidRPr="00AD4CE5">
        <w:rPr>
          <w:rFonts w:ascii="David" w:hAnsi="David"/>
          <w:rtl/>
        </w:rPr>
        <w:t>יחד עם זאת, מתסקיר שירות המבחן עולה כי הנאשם התקשה לפרט על מניעיו לביצוע העבירה והסביר את מעשיו באופן מעורפל ומצומצם וכי רב הנסתר על הגלוי. בנוסף, שירות המבחן העריך כי קיים סיכון להישנות עבירות דומות מצד הנאשם בעתיד, ומשכך, לא בא בהמלצה טיפולית אלא המליץ להטיל על הנאשם ענישה מוחשית.</w:t>
      </w:r>
    </w:p>
    <w:p w14:paraId="484FE554" w14:textId="77777777" w:rsidR="00DE2500" w:rsidRPr="00AD4CE5" w:rsidRDefault="00DE2500" w:rsidP="00DE2500">
      <w:pPr>
        <w:spacing w:before="240" w:after="240" w:line="360" w:lineRule="auto"/>
        <w:jc w:val="both"/>
        <w:rPr>
          <w:rFonts w:ascii="David" w:hAnsi="David"/>
          <w:b/>
          <w:bCs/>
          <w:u w:val="single"/>
        </w:rPr>
      </w:pPr>
      <w:r w:rsidRPr="00AD4CE5">
        <w:rPr>
          <w:rFonts w:ascii="David" w:hAnsi="David"/>
          <w:b/>
          <w:bCs/>
          <w:u w:val="single"/>
          <w:rtl/>
        </w:rPr>
        <w:t>לאחר ששקלתי את כלל השיקולים המפורטים לעיל, אני גוזרת על הנאשם את העונשים הבאים:</w:t>
      </w:r>
    </w:p>
    <w:p w14:paraId="3C1DACAB" w14:textId="77777777" w:rsidR="00DE2500" w:rsidRPr="00AD4CE5" w:rsidRDefault="00DE2500" w:rsidP="00DE2500">
      <w:pPr>
        <w:pStyle w:val="a9"/>
        <w:numPr>
          <w:ilvl w:val="0"/>
          <w:numId w:val="3"/>
        </w:numPr>
        <w:spacing w:before="240" w:after="240" w:line="360" w:lineRule="auto"/>
        <w:jc w:val="both"/>
        <w:rPr>
          <w:rFonts w:ascii="David" w:hAnsi="David"/>
          <w:rtl/>
        </w:rPr>
      </w:pPr>
      <w:r>
        <w:rPr>
          <w:rFonts w:ascii="David" w:hAnsi="David" w:hint="cs"/>
          <w:rtl/>
        </w:rPr>
        <w:t>36</w:t>
      </w:r>
      <w:r w:rsidRPr="00AD4CE5">
        <w:rPr>
          <w:rFonts w:ascii="David" w:hAnsi="David"/>
          <w:rtl/>
        </w:rPr>
        <w:t xml:space="preserve"> חודשי מאסר בפועל, מיום מעצרו בתאריך 10.9.23.</w:t>
      </w:r>
    </w:p>
    <w:p w14:paraId="5975FE33" w14:textId="77777777" w:rsidR="00DE2500" w:rsidRPr="00AD4CE5" w:rsidRDefault="00DE2500" w:rsidP="00DE2500">
      <w:pPr>
        <w:pStyle w:val="a9"/>
        <w:numPr>
          <w:ilvl w:val="0"/>
          <w:numId w:val="3"/>
        </w:numPr>
        <w:spacing w:before="240" w:after="240" w:line="360" w:lineRule="auto"/>
        <w:jc w:val="both"/>
        <w:rPr>
          <w:rFonts w:ascii="David" w:hAnsi="David"/>
        </w:rPr>
      </w:pPr>
      <w:r w:rsidRPr="00AD4CE5">
        <w:rPr>
          <w:rFonts w:ascii="David" w:hAnsi="David"/>
          <w:rtl/>
        </w:rPr>
        <w:t>6 חודשי מאסר על תנאי למשך 3 שנים מיום שחרורו, והתנאי הוא שהנאשם לא יעבור בתקופת התנאי עבירה בה הורשע, ויורשע בגינה.</w:t>
      </w:r>
    </w:p>
    <w:p w14:paraId="1EA5E1D1" w14:textId="77777777" w:rsidR="00DE2500" w:rsidRPr="00AD4CE5" w:rsidRDefault="00DE2500" w:rsidP="00DE2500">
      <w:pPr>
        <w:pStyle w:val="a9"/>
        <w:numPr>
          <w:ilvl w:val="0"/>
          <w:numId w:val="3"/>
        </w:numPr>
        <w:spacing w:before="240" w:after="240" w:line="360" w:lineRule="auto"/>
        <w:jc w:val="both"/>
        <w:rPr>
          <w:rFonts w:ascii="David" w:hAnsi="David"/>
        </w:rPr>
      </w:pPr>
      <w:r w:rsidRPr="00AD4CE5">
        <w:rPr>
          <w:rFonts w:ascii="David" w:hAnsi="David"/>
          <w:rtl/>
        </w:rPr>
        <w:t xml:space="preserve">קנס בסך 4,000 ₪ או 20 ימי מאסר תחתיו.  </w:t>
      </w:r>
    </w:p>
    <w:p w14:paraId="5CD4C8FE" w14:textId="77777777" w:rsidR="00DE2500" w:rsidRPr="00AD4CE5" w:rsidRDefault="00DE2500" w:rsidP="00DE2500">
      <w:pPr>
        <w:spacing w:line="360" w:lineRule="auto"/>
        <w:jc w:val="both"/>
        <w:rPr>
          <w:rFonts w:ascii="David" w:hAnsi="David"/>
          <w:b/>
          <w:bCs/>
          <w:rtl/>
        </w:rPr>
      </w:pPr>
      <w:r w:rsidRPr="00AD4CE5">
        <w:rPr>
          <w:rFonts w:ascii="David" w:hAnsi="David"/>
          <w:b/>
          <w:bCs/>
          <w:rtl/>
        </w:rPr>
        <w:t>הקנס ישולם לחשבון המרכז לגביית קנסות, אגרות והוצאות ברשות האכיפה והגבייה, תוך 90 יום מהיום.</w:t>
      </w:r>
    </w:p>
    <w:p w14:paraId="6A2FAFB5" w14:textId="77777777" w:rsidR="00DE2500" w:rsidRPr="00AD4CE5" w:rsidRDefault="00DE2500" w:rsidP="00DE2500">
      <w:pPr>
        <w:spacing w:line="360" w:lineRule="auto"/>
        <w:jc w:val="both"/>
        <w:rPr>
          <w:rFonts w:ascii="David" w:hAnsi="David"/>
          <w:b/>
          <w:bCs/>
        </w:rPr>
      </w:pPr>
      <w:r w:rsidRPr="00AD4CE5">
        <w:rPr>
          <w:rFonts w:ascii="David" w:hAnsi="David"/>
          <w:b/>
          <w:bCs/>
          <w:rtl/>
        </w:rPr>
        <w:t>ניתן לשלם את הקנס באחת הדרכים הבאות:</w:t>
      </w:r>
    </w:p>
    <w:p w14:paraId="4274A120" w14:textId="77777777" w:rsidR="00DE2500" w:rsidRPr="00AD4CE5" w:rsidRDefault="00DE2500" w:rsidP="00DE2500">
      <w:pPr>
        <w:spacing w:line="360" w:lineRule="auto"/>
        <w:jc w:val="both"/>
        <w:rPr>
          <w:rFonts w:ascii="David" w:hAnsi="David"/>
          <w:b/>
          <w:bCs/>
        </w:rPr>
      </w:pPr>
      <w:r w:rsidRPr="00AD4CE5">
        <w:rPr>
          <w:rFonts w:ascii="David" w:hAnsi="David"/>
          <w:b/>
          <w:bCs/>
          <w:rtl/>
        </w:rPr>
        <w:t xml:space="preserve">בכרטיס אשראי – באתר המקוון של רשות האכיפה והגבייה, </w:t>
      </w:r>
      <w:r w:rsidRPr="00AD4CE5">
        <w:rPr>
          <w:rFonts w:ascii="David" w:hAnsi="David"/>
          <w:b/>
          <w:bCs/>
        </w:rPr>
        <w:t>www.eca.gov.il</w:t>
      </w:r>
      <w:r w:rsidRPr="00AD4CE5">
        <w:rPr>
          <w:rFonts w:ascii="David" w:hAnsi="David"/>
          <w:b/>
          <w:bCs/>
          <w:rtl/>
        </w:rPr>
        <w:t xml:space="preserve">  </w:t>
      </w:r>
    </w:p>
    <w:p w14:paraId="0F561175" w14:textId="77777777" w:rsidR="00DE2500" w:rsidRPr="00AD4CE5" w:rsidRDefault="00DE2500" w:rsidP="00DE2500">
      <w:pPr>
        <w:spacing w:line="360" w:lineRule="auto"/>
        <w:jc w:val="both"/>
        <w:rPr>
          <w:rFonts w:ascii="David" w:hAnsi="David"/>
          <w:b/>
          <w:bCs/>
          <w:rtl/>
        </w:rPr>
      </w:pPr>
      <w:r w:rsidRPr="00AD4CE5">
        <w:rPr>
          <w:rFonts w:ascii="David" w:hAnsi="David"/>
          <w:b/>
          <w:bCs/>
          <w:rtl/>
        </w:rPr>
        <w:t>במזומן בכל סניף של בנק הדואר – בהצגת תעודת זהות בלבד (אין צורך בשוברי תשלום).</w:t>
      </w:r>
    </w:p>
    <w:p w14:paraId="73E87E42" w14:textId="77777777" w:rsidR="00DE2500" w:rsidRDefault="00DE2500" w:rsidP="00DE2500">
      <w:pPr>
        <w:spacing w:before="240" w:after="240" w:line="360" w:lineRule="auto"/>
        <w:jc w:val="both"/>
        <w:rPr>
          <w:rFonts w:ascii="David" w:hAnsi="David"/>
          <w:b/>
          <w:bCs/>
          <w:u w:val="single"/>
          <w:rtl/>
        </w:rPr>
      </w:pPr>
    </w:p>
    <w:p w14:paraId="39409221" w14:textId="77777777" w:rsidR="00DE2500" w:rsidRPr="00AD4CE5" w:rsidRDefault="00CB4BAA" w:rsidP="00DE2500">
      <w:pPr>
        <w:spacing w:before="240" w:after="240" w:line="360" w:lineRule="auto"/>
        <w:jc w:val="both"/>
        <w:rPr>
          <w:rFonts w:ascii="David" w:hAnsi="David"/>
          <w:b/>
          <w:bCs/>
          <w:u w:val="single"/>
        </w:rPr>
      </w:pPr>
      <w:r w:rsidRPr="00CB4BAA">
        <w:rPr>
          <w:rFonts w:ascii="David" w:hAnsi="David"/>
          <w:b/>
          <w:bCs/>
          <w:color w:val="FFFFFF"/>
          <w:sz w:val="2"/>
          <w:szCs w:val="2"/>
          <w:u w:val="single"/>
          <w:rtl/>
        </w:rPr>
        <w:t>5129371</w:t>
      </w:r>
      <w:r w:rsidR="00DE2500" w:rsidRPr="00AD4CE5">
        <w:rPr>
          <w:rFonts w:ascii="David" w:hAnsi="David"/>
          <w:b/>
          <w:bCs/>
          <w:u w:val="single"/>
          <w:rtl/>
        </w:rPr>
        <w:t xml:space="preserve">זכות ערעור לבית המשפט המחוזי תוך 45 יום מהיום. </w:t>
      </w:r>
    </w:p>
    <w:p w14:paraId="7D32C20B" w14:textId="77777777" w:rsidR="00DE2500" w:rsidRPr="00CB4BAA" w:rsidRDefault="00CB4BAA" w:rsidP="00DE2500">
      <w:pPr>
        <w:spacing w:before="240" w:after="240" w:line="360" w:lineRule="auto"/>
        <w:jc w:val="both"/>
        <w:rPr>
          <w:rFonts w:ascii="David" w:hAnsi="David"/>
          <w:color w:val="FFFFFF"/>
          <w:sz w:val="2"/>
          <w:szCs w:val="2"/>
          <w:rtl/>
        </w:rPr>
      </w:pPr>
      <w:r w:rsidRPr="00CB4BAA">
        <w:rPr>
          <w:rFonts w:ascii="David" w:hAnsi="David"/>
          <w:color w:val="FFFFFF"/>
          <w:sz w:val="2"/>
          <w:szCs w:val="2"/>
          <w:rtl/>
        </w:rPr>
        <w:t>54678313</w:t>
      </w:r>
    </w:p>
    <w:p w14:paraId="1F4B19D5" w14:textId="77777777" w:rsidR="00DE2500" w:rsidRPr="00AD4CE5" w:rsidRDefault="00CB4BAA" w:rsidP="00DE2500">
      <w:pPr>
        <w:spacing w:before="240" w:after="240" w:line="360" w:lineRule="auto"/>
        <w:jc w:val="both"/>
        <w:rPr>
          <w:rFonts w:ascii="David" w:hAnsi="David"/>
          <w:rtl/>
        </w:rPr>
      </w:pPr>
      <w:bookmarkStart w:id="7" w:name="Nitan"/>
      <w:r>
        <w:rPr>
          <w:rFonts w:ascii="David" w:hAnsi="David"/>
          <w:rtl/>
        </w:rPr>
        <w:t xml:space="preserve">ניתן היום,  ט"ז אדר ב' תשפ"ד, 26 מרץ 2024, במעמד הצדדים. </w:t>
      </w:r>
      <w:bookmarkEnd w:id="7"/>
      <w:r w:rsidR="00DE2500" w:rsidRPr="00AD4CE5">
        <w:rPr>
          <w:rFonts w:ascii="David" w:hAnsi="David"/>
          <w:rtl/>
        </w:rPr>
        <w:tab/>
      </w:r>
      <w:r w:rsidR="00DE2500" w:rsidRPr="00AD4CE5">
        <w:rPr>
          <w:rFonts w:ascii="David" w:hAnsi="David"/>
          <w:rtl/>
        </w:rPr>
        <w:tab/>
      </w:r>
      <w:r w:rsidR="00DE2500" w:rsidRPr="00AD4CE5">
        <w:rPr>
          <w:rFonts w:ascii="David" w:hAnsi="David"/>
          <w:rtl/>
        </w:rPr>
        <w:tab/>
        <w:t xml:space="preserve">         </w:t>
      </w:r>
    </w:p>
    <w:p w14:paraId="1F2AC158" w14:textId="77777777" w:rsidR="00DE2500" w:rsidRPr="00AD4CE5" w:rsidRDefault="00DE2500" w:rsidP="00CB4BAA">
      <w:pPr>
        <w:spacing w:before="240" w:after="240"/>
        <w:jc w:val="center"/>
      </w:pPr>
      <w:r w:rsidRPr="00AD4CE5">
        <w:rPr>
          <w:rFonts w:ascii="David" w:hAnsi="David"/>
          <w:rtl/>
        </w:rPr>
        <w:t xml:space="preserve">   </w:t>
      </w:r>
      <w:r w:rsidRPr="00AD4CE5">
        <w:rPr>
          <w:rFonts w:ascii="David" w:hAnsi="David"/>
          <w:rtl/>
        </w:rPr>
        <w:tab/>
      </w:r>
      <w:r w:rsidRPr="00AD4CE5">
        <w:rPr>
          <w:rFonts w:ascii="David" w:hAnsi="David"/>
          <w:rtl/>
        </w:rPr>
        <w:tab/>
      </w:r>
      <w:r w:rsidRPr="00AD4CE5">
        <w:rPr>
          <w:rFonts w:ascii="David" w:hAnsi="David"/>
          <w:rtl/>
        </w:rPr>
        <w:tab/>
      </w:r>
      <w:r w:rsidRPr="00AD4CE5">
        <w:rPr>
          <w:rFonts w:ascii="David" w:hAnsi="David"/>
          <w:rtl/>
        </w:rPr>
        <w:tab/>
      </w:r>
      <w:r w:rsidRPr="00AD4CE5">
        <w:rPr>
          <w:rFonts w:ascii="David" w:hAnsi="David"/>
          <w:rtl/>
        </w:rPr>
        <w:tab/>
      </w:r>
    </w:p>
    <w:p w14:paraId="464812F4" w14:textId="77777777" w:rsidR="00DE2500" w:rsidRPr="00AD4CE5" w:rsidRDefault="00DE2500" w:rsidP="00DE2500">
      <w:pPr>
        <w:spacing w:before="240" w:after="240"/>
        <w:jc w:val="center"/>
        <w:rPr>
          <w:rFonts w:ascii="David" w:hAnsi="David"/>
          <w:rtl/>
        </w:rPr>
      </w:pPr>
    </w:p>
    <w:p w14:paraId="560BE724" w14:textId="77777777" w:rsidR="00DE2500" w:rsidRPr="00AD4CE5" w:rsidRDefault="00DE2500" w:rsidP="00DE2500">
      <w:pPr>
        <w:spacing w:before="240" w:after="240"/>
        <w:jc w:val="center"/>
        <w:rPr>
          <w:rFonts w:ascii="David" w:hAnsi="David"/>
        </w:rPr>
      </w:pPr>
    </w:p>
    <w:p w14:paraId="21AF3B61" w14:textId="77777777" w:rsidR="00D306DD" w:rsidRPr="00CB4BAA" w:rsidRDefault="00D306DD" w:rsidP="00CB4BAA">
      <w:pPr>
        <w:keepNext/>
        <w:rPr>
          <w:rFonts w:ascii="David" w:hAnsi="David"/>
          <w:color w:val="000000"/>
          <w:sz w:val="22"/>
          <w:szCs w:val="22"/>
          <w:rtl/>
        </w:rPr>
      </w:pPr>
    </w:p>
    <w:p w14:paraId="5A85AFE9" w14:textId="77777777" w:rsidR="00CB4BAA" w:rsidRPr="00CB4BAA" w:rsidRDefault="00CB4BAA" w:rsidP="00CB4BAA">
      <w:pPr>
        <w:keepNext/>
        <w:rPr>
          <w:rFonts w:ascii="David" w:hAnsi="David"/>
          <w:color w:val="000000"/>
          <w:sz w:val="22"/>
          <w:szCs w:val="22"/>
          <w:rtl/>
        </w:rPr>
      </w:pPr>
      <w:r w:rsidRPr="00CB4BAA">
        <w:rPr>
          <w:rFonts w:ascii="David" w:hAnsi="David"/>
          <w:color w:val="000000"/>
          <w:sz w:val="22"/>
          <w:szCs w:val="22"/>
          <w:rtl/>
        </w:rPr>
        <w:t>מריה פיקוס בוגדאנוב 54678313</w:t>
      </w:r>
    </w:p>
    <w:p w14:paraId="55BA55E9" w14:textId="77777777" w:rsidR="00CB4BAA" w:rsidRDefault="00CB4BAA" w:rsidP="00CB4BAA">
      <w:r w:rsidRPr="00CB4BAA">
        <w:rPr>
          <w:color w:val="000000"/>
          <w:rtl/>
        </w:rPr>
        <w:t>נוסח מסמך זה כפוף לשינויי ניסוח ועריכה</w:t>
      </w:r>
    </w:p>
    <w:p w14:paraId="687EA46F" w14:textId="77777777" w:rsidR="00CB4BAA" w:rsidRDefault="00CB4BAA" w:rsidP="00CB4BAA">
      <w:pPr>
        <w:rPr>
          <w:rtl/>
        </w:rPr>
      </w:pPr>
    </w:p>
    <w:p w14:paraId="5D771987" w14:textId="77777777" w:rsidR="00CB4BAA" w:rsidRDefault="00CB4BAA" w:rsidP="00CB4BAA">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D1B3CC4" w14:textId="77777777" w:rsidR="00CB4BAA" w:rsidRPr="00CB4BAA" w:rsidRDefault="00CB4BAA" w:rsidP="00CB4BAA">
      <w:pPr>
        <w:jc w:val="center"/>
        <w:rPr>
          <w:color w:val="0000FF"/>
          <w:u w:val="single"/>
        </w:rPr>
      </w:pPr>
    </w:p>
    <w:sectPr w:rsidR="00CB4BAA" w:rsidRPr="00CB4BAA" w:rsidSect="00CB4BAA">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8E63D" w14:textId="77777777" w:rsidR="001555BD" w:rsidRDefault="001555BD" w:rsidP="00996103">
      <w:r>
        <w:separator/>
      </w:r>
    </w:p>
  </w:endnote>
  <w:endnote w:type="continuationSeparator" w:id="0">
    <w:p w14:paraId="307B0C13" w14:textId="77777777" w:rsidR="001555BD" w:rsidRDefault="001555BD" w:rsidP="0099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75AC0" w14:textId="77777777" w:rsidR="00CB4BAA" w:rsidRDefault="00CB4BAA" w:rsidP="00CB4B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7161DA" w14:textId="77777777" w:rsidR="00816429" w:rsidRPr="00CB4BAA" w:rsidRDefault="00CB4BAA" w:rsidP="00CB4B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2D9B5" w14:textId="77777777" w:rsidR="00CB4BAA" w:rsidRDefault="00CB4BAA" w:rsidP="00CB4B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6A5B">
      <w:rPr>
        <w:rFonts w:ascii="FrankRuehl" w:hAnsi="FrankRuehl" w:cs="FrankRuehl"/>
        <w:noProof/>
        <w:rtl/>
      </w:rPr>
      <w:t>1</w:t>
    </w:r>
    <w:r>
      <w:rPr>
        <w:rFonts w:ascii="FrankRuehl" w:hAnsi="FrankRuehl" w:cs="FrankRuehl"/>
        <w:rtl/>
      </w:rPr>
      <w:fldChar w:fldCharType="end"/>
    </w:r>
  </w:p>
  <w:p w14:paraId="2246C78D" w14:textId="77777777" w:rsidR="00816429" w:rsidRPr="00CB4BAA" w:rsidRDefault="00CB4BAA" w:rsidP="00CB4B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389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285C5" w14:textId="77777777" w:rsidR="001555BD" w:rsidRDefault="001555BD" w:rsidP="00996103">
      <w:r>
        <w:separator/>
      </w:r>
    </w:p>
  </w:footnote>
  <w:footnote w:type="continuationSeparator" w:id="0">
    <w:p w14:paraId="54EF6F31" w14:textId="77777777" w:rsidR="001555BD" w:rsidRDefault="001555BD" w:rsidP="00996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9E55A" w14:textId="77777777" w:rsidR="00CB4BAA" w:rsidRPr="00CB4BAA" w:rsidRDefault="00CB4BAA" w:rsidP="00CB4B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59614-09-23</w:t>
    </w:r>
    <w:r>
      <w:rPr>
        <w:rFonts w:ascii="David" w:hAnsi="David"/>
        <w:color w:val="000000"/>
        <w:sz w:val="22"/>
        <w:szCs w:val="22"/>
        <w:rtl/>
      </w:rPr>
      <w:tab/>
      <w:t xml:space="preserve"> מדינת ישראל נ' ראזי נסר אלדין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D6DC0" w14:textId="77777777" w:rsidR="00CB4BAA" w:rsidRPr="00CB4BAA" w:rsidRDefault="00CB4BAA" w:rsidP="00CB4B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59614-09-23</w:t>
    </w:r>
    <w:r>
      <w:rPr>
        <w:rFonts w:ascii="David" w:hAnsi="David"/>
        <w:color w:val="000000"/>
        <w:sz w:val="22"/>
        <w:szCs w:val="22"/>
        <w:rtl/>
      </w:rPr>
      <w:tab/>
      <w:t xml:space="preserve"> מדינת ישראל נ' ראזי נסר אלדין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E3DDE"/>
    <w:multiLevelType w:val="hybridMultilevel"/>
    <w:tmpl w:val="88E2CFDC"/>
    <w:lvl w:ilvl="0" w:tplc="2E6A186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BD7295"/>
    <w:multiLevelType w:val="hybridMultilevel"/>
    <w:tmpl w:val="7BB8E68E"/>
    <w:lvl w:ilvl="0" w:tplc="F594D3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800B7"/>
    <w:multiLevelType w:val="hybridMultilevel"/>
    <w:tmpl w:val="3B6AA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6244716">
    <w:abstractNumId w:val="1"/>
  </w:num>
  <w:num w:numId="2" w16cid:durableId="1203059329">
    <w:abstractNumId w:val="2"/>
  </w:num>
  <w:num w:numId="3" w16cid:durableId="779838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2500"/>
    <w:rsid w:val="001555BD"/>
    <w:rsid w:val="0017299D"/>
    <w:rsid w:val="001B5A3B"/>
    <w:rsid w:val="00314EEB"/>
    <w:rsid w:val="00711355"/>
    <w:rsid w:val="00734696"/>
    <w:rsid w:val="00816429"/>
    <w:rsid w:val="00996103"/>
    <w:rsid w:val="00B270A7"/>
    <w:rsid w:val="00C00178"/>
    <w:rsid w:val="00CB4BAA"/>
    <w:rsid w:val="00D306DD"/>
    <w:rsid w:val="00D46A5B"/>
    <w:rsid w:val="00D52991"/>
    <w:rsid w:val="00DE2500"/>
    <w:rsid w:val="00F543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644686"/>
  <w15:chartTrackingRefBased/>
  <w15:docId w15:val="{D35203FC-6216-4338-BDFE-BECF7F16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25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2500"/>
    <w:pPr>
      <w:tabs>
        <w:tab w:val="center" w:pos="4153"/>
        <w:tab w:val="right" w:pos="8306"/>
      </w:tabs>
    </w:pPr>
  </w:style>
  <w:style w:type="character" w:customStyle="1" w:styleId="a4">
    <w:name w:val="כותרת עליונה תו"/>
    <w:link w:val="a3"/>
    <w:rsid w:val="00DE2500"/>
    <w:rPr>
      <w:rFonts w:ascii="Times New Roman" w:eastAsia="Times New Roman" w:hAnsi="Times New Roman" w:cs="David"/>
      <w:sz w:val="24"/>
      <w:szCs w:val="24"/>
    </w:rPr>
  </w:style>
  <w:style w:type="paragraph" w:styleId="a5">
    <w:name w:val="footer"/>
    <w:basedOn w:val="a"/>
    <w:link w:val="a6"/>
    <w:rsid w:val="00DE2500"/>
    <w:pPr>
      <w:tabs>
        <w:tab w:val="center" w:pos="4153"/>
        <w:tab w:val="right" w:pos="8306"/>
      </w:tabs>
    </w:pPr>
  </w:style>
  <w:style w:type="character" w:customStyle="1" w:styleId="a6">
    <w:name w:val="כותרת תחתונה תו"/>
    <w:link w:val="a5"/>
    <w:rsid w:val="00DE2500"/>
    <w:rPr>
      <w:rFonts w:ascii="Times New Roman" w:eastAsia="Times New Roman" w:hAnsi="Times New Roman" w:cs="David"/>
      <w:sz w:val="24"/>
      <w:szCs w:val="24"/>
    </w:rPr>
  </w:style>
  <w:style w:type="table" w:styleId="a7">
    <w:name w:val="Table Grid"/>
    <w:basedOn w:val="a1"/>
    <w:rsid w:val="00DE25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2500"/>
  </w:style>
  <w:style w:type="paragraph" w:styleId="a9">
    <w:name w:val="List Paragraph"/>
    <w:basedOn w:val="a"/>
    <w:link w:val="aa"/>
    <w:qFormat/>
    <w:rsid w:val="00DE2500"/>
    <w:pPr>
      <w:ind w:left="720"/>
      <w:contextualSpacing/>
    </w:pPr>
  </w:style>
  <w:style w:type="character" w:customStyle="1" w:styleId="aa">
    <w:name w:val="פיסקת רשימה תו"/>
    <w:link w:val="a9"/>
    <w:locked/>
    <w:rsid w:val="00DE2500"/>
    <w:rPr>
      <w:rFonts w:ascii="Times New Roman" w:eastAsia="Times New Roman" w:hAnsi="Times New Roman" w:cs="David"/>
      <w:sz w:val="24"/>
      <w:szCs w:val="24"/>
    </w:rPr>
  </w:style>
  <w:style w:type="character" w:styleId="Hyperlink">
    <w:name w:val="Hyperlink"/>
    <w:rsid w:val="00CB4B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g" TargetMode="External"/><Relationship Id="rId18" Type="http://schemas.openxmlformats.org/officeDocument/2006/relationships/hyperlink" Target="http://www.nevo.co.il/law/70301/144.g" TargetMode="External"/><Relationship Id="rId26" Type="http://schemas.openxmlformats.org/officeDocument/2006/relationships/hyperlink" Target="http://www.nevo.co.il/case/26499616" TargetMode="External"/><Relationship Id="rId39" Type="http://schemas.openxmlformats.org/officeDocument/2006/relationships/hyperlink" Target="http://www.nevo.co.il/case/29513860" TargetMode="External"/><Relationship Id="rId21" Type="http://schemas.openxmlformats.org/officeDocument/2006/relationships/hyperlink" Target="http://www.nevo.co.il/case/28619472" TargetMode="External"/><Relationship Id="rId34" Type="http://schemas.openxmlformats.org/officeDocument/2006/relationships/hyperlink" Target="http://www.nevo.co.il/law/70301/29" TargetMode="External"/><Relationship Id="rId42" Type="http://schemas.openxmlformats.org/officeDocument/2006/relationships/hyperlink" Target="http://www.nevo.co.il/law/70301/40c.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7341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c.2."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case/29903642" TargetMode="External"/><Relationship Id="rId40" Type="http://schemas.openxmlformats.org/officeDocument/2006/relationships/hyperlink" Target="http://www.nevo.co.il/case/26703823"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27105307" TargetMode="External"/><Relationship Id="rId49"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795478"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5526059"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c.3" TargetMode="External"/><Relationship Id="rId17" Type="http://schemas.openxmlformats.org/officeDocument/2006/relationships/hyperlink" Target="http://www.nevo.co.il/case/6834904" TargetMode="External"/><Relationship Id="rId25" Type="http://schemas.openxmlformats.org/officeDocument/2006/relationships/hyperlink" Target="http://www.nevo.co.il/case/29125771" TargetMode="External"/><Relationship Id="rId33" Type="http://schemas.openxmlformats.org/officeDocument/2006/relationships/hyperlink" Target="http://www.nevo.co.il/law/70301/144.c.2.;144.c.3" TargetMode="External"/><Relationship Id="rId38" Type="http://schemas.openxmlformats.org/officeDocument/2006/relationships/hyperlink" Target="http://www.nevo.co.il/case/28081892" TargetMode="External"/><Relationship Id="rId46" Type="http://schemas.openxmlformats.org/officeDocument/2006/relationships/header" Target="header2.xml"/><Relationship Id="rId20" Type="http://schemas.openxmlformats.org/officeDocument/2006/relationships/hyperlink" Target="http://www.nevo.co.il/case/5762686" TargetMode="External"/><Relationship Id="rId41" Type="http://schemas.openxmlformats.org/officeDocument/2006/relationships/hyperlink" Target="http://www.nevo.co.il/case/3038245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3379</Words>
  <Characters>16898</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20237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4915202</vt:i4>
      </vt:variant>
      <vt:variant>
        <vt:i4>105</vt:i4>
      </vt:variant>
      <vt:variant>
        <vt:i4>0</vt:i4>
      </vt:variant>
      <vt:variant>
        <vt:i4>5</vt:i4>
      </vt:variant>
      <vt:variant>
        <vt:lpwstr>http://www.nevo.co.il/law/70301/40c.a</vt:lpwstr>
      </vt:variant>
      <vt:variant>
        <vt:lpwstr/>
      </vt:variant>
      <vt:variant>
        <vt:i4>3604600</vt:i4>
      </vt:variant>
      <vt:variant>
        <vt:i4>102</vt:i4>
      </vt:variant>
      <vt:variant>
        <vt:i4>0</vt:i4>
      </vt:variant>
      <vt:variant>
        <vt:i4>5</vt:i4>
      </vt:variant>
      <vt:variant>
        <vt:lpwstr>http://www.nevo.co.il/case/30382451</vt:lpwstr>
      </vt:variant>
      <vt:variant>
        <vt:lpwstr/>
      </vt:variant>
      <vt:variant>
        <vt:i4>3407994</vt:i4>
      </vt:variant>
      <vt:variant>
        <vt:i4>99</vt:i4>
      </vt:variant>
      <vt:variant>
        <vt:i4>0</vt:i4>
      </vt:variant>
      <vt:variant>
        <vt:i4>5</vt:i4>
      </vt:variant>
      <vt:variant>
        <vt:lpwstr>http://www.nevo.co.il/case/26703823</vt:lpwstr>
      </vt:variant>
      <vt:variant>
        <vt:lpwstr/>
      </vt:variant>
      <vt:variant>
        <vt:i4>3276916</vt:i4>
      </vt:variant>
      <vt:variant>
        <vt:i4>96</vt:i4>
      </vt:variant>
      <vt:variant>
        <vt:i4>0</vt:i4>
      </vt:variant>
      <vt:variant>
        <vt:i4>5</vt:i4>
      </vt:variant>
      <vt:variant>
        <vt:lpwstr>http://www.nevo.co.il/case/29513860</vt:lpwstr>
      </vt:variant>
      <vt:variant>
        <vt:lpwstr/>
      </vt:variant>
      <vt:variant>
        <vt:i4>3801212</vt:i4>
      </vt:variant>
      <vt:variant>
        <vt:i4>93</vt:i4>
      </vt:variant>
      <vt:variant>
        <vt:i4>0</vt:i4>
      </vt:variant>
      <vt:variant>
        <vt:i4>5</vt:i4>
      </vt:variant>
      <vt:variant>
        <vt:lpwstr>http://www.nevo.co.il/case/28081892</vt:lpwstr>
      </vt:variant>
      <vt:variant>
        <vt:lpwstr/>
      </vt:variant>
      <vt:variant>
        <vt:i4>3932283</vt:i4>
      </vt:variant>
      <vt:variant>
        <vt:i4>90</vt:i4>
      </vt:variant>
      <vt:variant>
        <vt:i4>0</vt:i4>
      </vt:variant>
      <vt:variant>
        <vt:i4>5</vt:i4>
      </vt:variant>
      <vt:variant>
        <vt:lpwstr>http://www.nevo.co.il/case/29903642</vt:lpwstr>
      </vt:variant>
      <vt:variant>
        <vt:lpwstr/>
      </vt:variant>
      <vt:variant>
        <vt:i4>3539056</vt:i4>
      </vt:variant>
      <vt:variant>
        <vt:i4>87</vt:i4>
      </vt:variant>
      <vt:variant>
        <vt:i4>0</vt:i4>
      </vt:variant>
      <vt:variant>
        <vt:i4>5</vt:i4>
      </vt:variant>
      <vt:variant>
        <vt:lpwstr>http://www.nevo.co.il/case/27105307</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1703950</vt:i4>
      </vt:variant>
      <vt:variant>
        <vt:i4>78</vt:i4>
      </vt:variant>
      <vt:variant>
        <vt:i4>0</vt:i4>
      </vt:variant>
      <vt:variant>
        <vt:i4>5</vt:i4>
      </vt:variant>
      <vt:variant>
        <vt:lpwstr>http://www.nevo.co.il/law/70301/144.c.2.;144.c.3</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3604593</vt:i4>
      </vt:variant>
      <vt:variant>
        <vt:i4>72</vt:i4>
      </vt:variant>
      <vt:variant>
        <vt:i4>0</vt:i4>
      </vt:variant>
      <vt:variant>
        <vt:i4>5</vt:i4>
      </vt:variant>
      <vt:variant>
        <vt:lpwstr>http://www.nevo.co.il/case/28795478</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4063357</vt:i4>
      </vt:variant>
      <vt:variant>
        <vt:i4>57</vt:i4>
      </vt:variant>
      <vt:variant>
        <vt:i4>0</vt:i4>
      </vt:variant>
      <vt:variant>
        <vt:i4>5</vt:i4>
      </vt:variant>
      <vt:variant>
        <vt:lpwstr>http://www.nevo.co.il/case/26499616</vt:lpwstr>
      </vt:variant>
      <vt:variant>
        <vt:lpwstr/>
      </vt:variant>
      <vt:variant>
        <vt:i4>3211384</vt:i4>
      </vt:variant>
      <vt:variant>
        <vt:i4>54</vt:i4>
      </vt:variant>
      <vt:variant>
        <vt:i4>0</vt:i4>
      </vt:variant>
      <vt:variant>
        <vt:i4>5</vt:i4>
      </vt:variant>
      <vt:variant>
        <vt:lpwstr>http://www.nevo.co.il/case/29125771</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3407987</vt:i4>
      </vt:variant>
      <vt:variant>
        <vt:i4>45</vt:i4>
      </vt:variant>
      <vt:variant>
        <vt:i4>0</vt:i4>
      </vt:variant>
      <vt:variant>
        <vt:i4>5</vt:i4>
      </vt:variant>
      <vt:variant>
        <vt:lpwstr>http://www.nevo.co.il/case/25526059</vt:lpwstr>
      </vt:variant>
      <vt:variant>
        <vt:lpwstr/>
      </vt:variant>
      <vt:variant>
        <vt:i4>3801209</vt:i4>
      </vt:variant>
      <vt:variant>
        <vt:i4>42</vt:i4>
      </vt:variant>
      <vt:variant>
        <vt:i4>0</vt:i4>
      </vt:variant>
      <vt:variant>
        <vt:i4>5</vt:i4>
      </vt:variant>
      <vt:variant>
        <vt:lpwstr>http://www.nevo.co.il/case/28619472</vt:lpwstr>
      </vt:variant>
      <vt:variant>
        <vt:lpwstr/>
      </vt:variant>
      <vt:variant>
        <vt:i4>3342457</vt:i4>
      </vt:variant>
      <vt:variant>
        <vt:i4>39</vt:i4>
      </vt:variant>
      <vt:variant>
        <vt:i4>0</vt:i4>
      </vt:variant>
      <vt:variant>
        <vt:i4>5</vt:i4>
      </vt:variant>
      <vt:variant>
        <vt:lpwstr>http://www.nevo.co.il/case/5762686</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http://www.nevo.co.il/law/70301/144.g</vt:lpwstr>
      </vt:variant>
      <vt:variant>
        <vt:lpwstr/>
      </vt:variant>
      <vt:variant>
        <vt:i4>3670136</vt:i4>
      </vt:variant>
      <vt:variant>
        <vt:i4>30</vt:i4>
      </vt:variant>
      <vt:variant>
        <vt:i4>0</vt:i4>
      </vt:variant>
      <vt:variant>
        <vt:i4>5</vt:i4>
      </vt:variant>
      <vt:variant>
        <vt:lpwstr>http://www.nevo.co.il/case/6834904</vt:lpwstr>
      </vt:variant>
      <vt:variant>
        <vt:lpwstr/>
      </vt:variant>
      <vt:variant>
        <vt:i4>3211379</vt:i4>
      </vt:variant>
      <vt:variant>
        <vt:i4>27</vt:i4>
      </vt:variant>
      <vt:variant>
        <vt:i4>0</vt:i4>
      </vt:variant>
      <vt:variant>
        <vt:i4>5</vt:i4>
      </vt:variant>
      <vt:variant>
        <vt:lpwstr>http://www.nevo.co.il/case/5573417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6357043</vt:i4>
      </vt:variant>
      <vt:variant>
        <vt:i4>15</vt:i4>
      </vt:variant>
      <vt:variant>
        <vt:i4>0</vt:i4>
      </vt:variant>
      <vt:variant>
        <vt:i4>5</vt:i4>
      </vt:variant>
      <vt:variant>
        <vt:lpwstr>http://www.nevo.co.il/law/70301/144.c.3</vt:lpwstr>
      </vt:variant>
      <vt:variant>
        <vt:lpwstr/>
      </vt:variant>
      <vt:variant>
        <vt:i4>5177345</vt:i4>
      </vt:variant>
      <vt:variant>
        <vt:i4>12</vt:i4>
      </vt:variant>
      <vt:variant>
        <vt:i4>0</vt:i4>
      </vt:variant>
      <vt:variant>
        <vt:i4>5</vt:i4>
      </vt:variant>
      <vt:variant>
        <vt:lpwstr>http://www.nevo.co.il/law/70301/144.c.2.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59614</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ראזי נסר אלדין</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20240326</vt:lpwstr>
  </property>
  <property fmtid="{D5CDD505-2E9C-101B-9397-08002B2CF9AE}" pid="13" name="TYPE_N_DATE">
    <vt:lpwstr>38020240326</vt:lpwstr>
  </property>
  <property fmtid="{D5CDD505-2E9C-101B-9397-08002B2CF9AE}" pid="14" name="WORDNUMPAGES">
    <vt:lpwstr>10</vt:lpwstr>
  </property>
  <property fmtid="{D5CDD505-2E9C-101B-9397-08002B2CF9AE}" pid="15" name="TYPE_ABS_DATE">
    <vt:lpwstr>380020240326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5573417;6834904;5762686;28619472;25526059;29125771;26499616;28795478;27105307;29903642;28081892;29513860;26703823;30382451</vt:lpwstr>
  </property>
  <property fmtid="{D5CDD505-2E9C-101B-9397-08002B2CF9AE}" pid="36" name="LAWLISTTMP1">
    <vt:lpwstr>70301/144.a:5;144.g;029:2;144.c.2;144.c.3;040c.a</vt:lpwstr>
  </property>
</Properties>
</file>