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7772E" w:rsidRPr="00676E55" w14:paraId="70165073" w14:textId="77777777" w:rsidTr="00EB22A4">
        <w:trPr>
          <w:trHeight w:hRule="exact" w:val="418"/>
          <w:jc w:val="center"/>
        </w:trPr>
        <w:tc>
          <w:tcPr>
            <w:tcW w:w="8721" w:type="dxa"/>
            <w:gridSpan w:val="2"/>
          </w:tcPr>
          <w:p w14:paraId="48549649" w14:textId="77777777" w:rsidR="0077772E" w:rsidRPr="00676E55" w:rsidRDefault="0077772E" w:rsidP="00C6644F">
            <w:pPr>
              <w:pStyle w:val="a3"/>
              <w:jc w:val="center"/>
              <w:rPr>
                <w:rFonts w:ascii="Tahoma" w:hAnsi="Tahoma" w:cs="Tahoma"/>
                <w:color w:val="000080"/>
                <w:rtl/>
              </w:rPr>
            </w:pPr>
            <w:bookmarkStart w:id="0" w:name="LastJudge"/>
            <w:r w:rsidRPr="00676E55">
              <w:rPr>
                <w:rFonts w:ascii="Tahoma" w:hAnsi="Tahoma" w:cs="Tahoma"/>
                <w:b/>
                <w:bCs/>
                <w:color w:val="000080"/>
                <w:rtl/>
              </w:rPr>
              <w:t>בית משפט השלום בבאר שבע</w:t>
            </w:r>
          </w:p>
        </w:tc>
      </w:tr>
      <w:tr w:rsidR="0077772E" w:rsidRPr="00676E55" w14:paraId="1B8A1571" w14:textId="77777777" w:rsidTr="00EB22A4">
        <w:trPr>
          <w:trHeight w:val="337"/>
          <w:jc w:val="center"/>
        </w:trPr>
        <w:tc>
          <w:tcPr>
            <w:tcW w:w="5057" w:type="dxa"/>
          </w:tcPr>
          <w:p w14:paraId="23193521" w14:textId="77777777" w:rsidR="0077772E" w:rsidRPr="00676E55" w:rsidRDefault="0077772E" w:rsidP="00C6644F">
            <w:pPr>
              <w:rPr>
                <w:rFonts w:cs="FrankRuehl"/>
                <w:sz w:val="28"/>
                <w:szCs w:val="28"/>
                <w:rtl/>
              </w:rPr>
            </w:pPr>
            <w:r w:rsidRPr="00676E55">
              <w:rPr>
                <w:rFonts w:cs="FrankRuehl"/>
                <w:sz w:val="28"/>
                <w:szCs w:val="28"/>
                <w:rtl/>
              </w:rPr>
              <w:t>ת"פ</w:t>
            </w:r>
            <w:r w:rsidRPr="00676E55">
              <w:rPr>
                <w:rFonts w:cs="FrankRuehl" w:hint="cs"/>
                <w:sz w:val="28"/>
                <w:szCs w:val="28"/>
                <w:rtl/>
              </w:rPr>
              <w:t xml:space="preserve"> </w:t>
            </w:r>
            <w:r w:rsidRPr="00676E55">
              <w:rPr>
                <w:rFonts w:cs="FrankRuehl"/>
                <w:sz w:val="28"/>
                <w:szCs w:val="28"/>
                <w:rtl/>
              </w:rPr>
              <w:t>42118-11-23</w:t>
            </w:r>
            <w:r w:rsidRPr="00676E55">
              <w:rPr>
                <w:rFonts w:cs="FrankRuehl" w:hint="cs"/>
                <w:sz w:val="28"/>
                <w:szCs w:val="28"/>
                <w:rtl/>
              </w:rPr>
              <w:t xml:space="preserve"> </w:t>
            </w:r>
            <w:r w:rsidRPr="00676E55">
              <w:rPr>
                <w:rFonts w:cs="FrankRuehl"/>
                <w:sz w:val="28"/>
                <w:szCs w:val="28"/>
                <w:rtl/>
              </w:rPr>
              <w:t>מדינת ישראל נ' מאור(עציר)</w:t>
            </w:r>
          </w:p>
          <w:p w14:paraId="1917F574" w14:textId="77777777" w:rsidR="0077772E" w:rsidRPr="00676E55" w:rsidRDefault="0077772E" w:rsidP="00C6644F">
            <w:pPr>
              <w:pStyle w:val="a3"/>
              <w:rPr>
                <w:rFonts w:cs="FrankRuehl"/>
                <w:sz w:val="28"/>
                <w:szCs w:val="28"/>
                <w:rtl/>
              </w:rPr>
            </w:pPr>
          </w:p>
        </w:tc>
        <w:tc>
          <w:tcPr>
            <w:tcW w:w="3664" w:type="dxa"/>
          </w:tcPr>
          <w:p w14:paraId="47301B09" w14:textId="77777777" w:rsidR="0077772E" w:rsidRPr="00676E55" w:rsidRDefault="0077772E" w:rsidP="00C6644F">
            <w:pPr>
              <w:pStyle w:val="a3"/>
              <w:jc w:val="right"/>
              <w:rPr>
                <w:rFonts w:cs="FrankRuehl"/>
                <w:sz w:val="28"/>
                <w:szCs w:val="28"/>
                <w:rtl/>
              </w:rPr>
            </w:pPr>
          </w:p>
        </w:tc>
      </w:tr>
    </w:tbl>
    <w:p w14:paraId="1B655C7B" w14:textId="77777777" w:rsidR="0077772E" w:rsidRPr="00676E55" w:rsidRDefault="0077772E" w:rsidP="00EB22A4">
      <w:pPr>
        <w:pStyle w:val="a3"/>
        <w:rPr>
          <w:sz w:val="26"/>
          <w:szCs w:val="26"/>
          <w:rtl/>
        </w:rPr>
      </w:pPr>
      <w:r w:rsidRPr="00676E5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2485"/>
        <w:gridCol w:w="5701"/>
      </w:tblGrid>
      <w:tr w:rsidR="0077772E" w:rsidRPr="00676E55" w14:paraId="7179A4D4" w14:textId="77777777" w:rsidTr="0077772E">
        <w:trPr>
          <w:trHeight w:val="295"/>
          <w:jc w:val="center"/>
        </w:trPr>
        <w:tc>
          <w:tcPr>
            <w:tcW w:w="312" w:type="dxa"/>
            <w:tcBorders>
              <w:top w:val="nil"/>
              <w:left w:val="nil"/>
              <w:bottom w:val="nil"/>
              <w:right w:val="nil"/>
            </w:tcBorders>
            <w:shd w:val="clear" w:color="auto" w:fill="auto"/>
          </w:tcPr>
          <w:p w14:paraId="1A9998A7" w14:textId="77777777" w:rsidR="0077772E" w:rsidRPr="00676E55" w:rsidRDefault="0077772E" w:rsidP="0077772E">
            <w:pPr>
              <w:jc w:val="both"/>
              <w:rPr>
                <w:rFonts w:ascii="David" w:hAnsi="David"/>
                <w:b/>
                <w:bCs/>
                <w:sz w:val="26"/>
                <w:szCs w:val="26"/>
              </w:rPr>
            </w:pPr>
            <w:r w:rsidRPr="00676E55">
              <w:rPr>
                <w:rFonts w:ascii="David" w:hAnsi="David" w:hint="cs"/>
                <w:b/>
                <w:bCs/>
                <w:sz w:val="26"/>
                <w:szCs w:val="26"/>
                <w:rtl/>
              </w:rPr>
              <w:t>ל</w:t>
            </w:r>
            <w:r w:rsidRPr="00676E55">
              <w:rPr>
                <w:rFonts w:ascii="David" w:hAnsi="David"/>
                <w:b/>
                <w:bCs/>
                <w:sz w:val="26"/>
                <w:szCs w:val="26"/>
                <w:rtl/>
              </w:rPr>
              <w:t xml:space="preserve">פני </w:t>
            </w:r>
          </w:p>
        </w:tc>
        <w:tc>
          <w:tcPr>
            <w:tcW w:w="8508" w:type="dxa"/>
            <w:gridSpan w:val="2"/>
            <w:tcBorders>
              <w:top w:val="nil"/>
              <w:left w:val="nil"/>
              <w:bottom w:val="nil"/>
              <w:right w:val="nil"/>
            </w:tcBorders>
            <w:shd w:val="clear" w:color="auto" w:fill="auto"/>
          </w:tcPr>
          <w:p w14:paraId="1181FA77" w14:textId="77777777" w:rsidR="0077772E" w:rsidRPr="00676E55" w:rsidRDefault="0077772E" w:rsidP="00C6644F">
            <w:pPr>
              <w:rPr>
                <w:rFonts w:ascii="David" w:hAnsi="David"/>
                <w:b/>
                <w:bCs/>
                <w:sz w:val="26"/>
                <w:szCs w:val="26"/>
                <w:rtl/>
              </w:rPr>
            </w:pPr>
            <w:r w:rsidRPr="00676E55">
              <w:rPr>
                <w:rFonts w:ascii="David" w:hAnsi="David"/>
                <w:b/>
                <w:bCs/>
                <w:sz w:val="26"/>
                <w:szCs w:val="26"/>
                <w:rtl/>
              </w:rPr>
              <w:t>כבוד השופטת  שוש שטרית</w:t>
            </w:r>
          </w:p>
          <w:p w14:paraId="427258C2" w14:textId="77777777" w:rsidR="0077772E" w:rsidRPr="00676E55" w:rsidRDefault="0077772E" w:rsidP="00C6644F">
            <w:pPr>
              <w:rPr>
                <w:rFonts w:ascii="David" w:hAnsi="David"/>
                <w:sz w:val="26"/>
                <w:szCs w:val="26"/>
                <w:rtl/>
              </w:rPr>
            </w:pPr>
          </w:p>
          <w:p w14:paraId="37C3E6CA" w14:textId="77777777" w:rsidR="0077772E" w:rsidRPr="00676E55" w:rsidRDefault="0077772E" w:rsidP="0077772E">
            <w:pPr>
              <w:jc w:val="both"/>
              <w:rPr>
                <w:rFonts w:ascii="David" w:hAnsi="David"/>
                <w:sz w:val="26"/>
                <w:szCs w:val="26"/>
              </w:rPr>
            </w:pPr>
          </w:p>
        </w:tc>
      </w:tr>
      <w:tr w:rsidR="0077772E" w:rsidRPr="00676E55" w14:paraId="3C3DE040" w14:textId="77777777" w:rsidTr="0077772E">
        <w:trPr>
          <w:trHeight w:val="355"/>
          <w:jc w:val="center"/>
        </w:trPr>
        <w:tc>
          <w:tcPr>
            <w:tcW w:w="312" w:type="dxa"/>
            <w:tcBorders>
              <w:top w:val="nil"/>
              <w:left w:val="nil"/>
              <w:bottom w:val="nil"/>
              <w:right w:val="nil"/>
            </w:tcBorders>
            <w:shd w:val="clear" w:color="auto" w:fill="auto"/>
          </w:tcPr>
          <w:p w14:paraId="62B543DD" w14:textId="77777777" w:rsidR="0077772E" w:rsidRPr="00676E55" w:rsidRDefault="0077772E" w:rsidP="0077772E">
            <w:pPr>
              <w:jc w:val="both"/>
              <w:rPr>
                <w:rFonts w:ascii="David" w:hAnsi="David"/>
                <w:sz w:val="26"/>
                <w:szCs w:val="26"/>
              </w:rPr>
            </w:pPr>
            <w:bookmarkStart w:id="1" w:name="FirstAppellant"/>
            <w:bookmarkStart w:id="2" w:name="FirstLawyer"/>
          </w:p>
        </w:tc>
        <w:tc>
          <w:tcPr>
            <w:tcW w:w="2551" w:type="dxa"/>
            <w:tcBorders>
              <w:top w:val="nil"/>
              <w:left w:val="nil"/>
              <w:bottom w:val="nil"/>
              <w:right w:val="nil"/>
            </w:tcBorders>
            <w:shd w:val="clear" w:color="auto" w:fill="auto"/>
          </w:tcPr>
          <w:p w14:paraId="5EF95006" w14:textId="77777777" w:rsidR="0077772E" w:rsidRPr="00676E55" w:rsidRDefault="0077772E" w:rsidP="0077772E">
            <w:pPr>
              <w:suppressLineNumbers/>
            </w:pPr>
            <w:r w:rsidRPr="00676E55">
              <w:rPr>
                <w:rFonts w:ascii="Arial" w:hAnsi="Arial" w:hint="cs"/>
                <w:b/>
                <w:bCs/>
                <w:sz w:val="26"/>
                <w:szCs w:val="26"/>
                <w:rtl/>
              </w:rPr>
              <w:t>ה</w:t>
            </w:r>
            <w:r w:rsidRPr="00676E55">
              <w:rPr>
                <w:rFonts w:ascii="Arial" w:hAnsi="Arial"/>
                <w:b/>
                <w:bCs/>
                <w:sz w:val="26"/>
                <w:szCs w:val="26"/>
                <w:rtl/>
              </w:rPr>
              <w:t>מאשימה</w:t>
            </w:r>
          </w:p>
          <w:p w14:paraId="1D7FCEBF" w14:textId="77777777" w:rsidR="0077772E" w:rsidRPr="00676E55" w:rsidRDefault="0077772E" w:rsidP="00C6644F">
            <w:pPr>
              <w:rPr>
                <w:rFonts w:ascii="David" w:hAnsi="David"/>
                <w:sz w:val="26"/>
                <w:szCs w:val="26"/>
              </w:rPr>
            </w:pPr>
          </w:p>
        </w:tc>
        <w:tc>
          <w:tcPr>
            <w:tcW w:w="5957" w:type="dxa"/>
            <w:tcBorders>
              <w:top w:val="nil"/>
              <w:left w:val="nil"/>
              <w:bottom w:val="nil"/>
              <w:right w:val="nil"/>
            </w:tcBorders>
            <w:shd w:val="clear" w:color="auto" w:fill="auto"/>
            <w:vAlign w:val="center"/>
          </w:tcPr>
          <w:p w14:paraId="4B2B43B0" w14:textId="77777777" w:rsidR="0077772E" w:rsidRPr="00676E55" w:rsidRDefault="0077772E" w:rsidP="0077772E">
            <w:pPr>
              <w:suppressLineNumbers/>
              <w:rPr>
                <w:rFonts w:ascii="Arial" w:hAnsi="Arial"/>
                <w:b/>
                <w:bCs/>
                <w:sz w:val="26"/>
                <w:szCs w:val="26"/>
                <w:rtl/>
              </w:rPr>
            </w:pPr>
            <w:r w:rsidRPr="00676E55">
              <w:rPr>
                <w:rFonts w:ascii="Arial" w:hAnsi="Arial"/>
                <w:b/>
                <w:bCs/>
                <w:sz w:val="26"/>
                <w:szCs w:val="26"/>
                <w:rtl/>
              </w:rPr>
              <w:t>מדינת ישראל</w:t>
            </w:r>
            <w:r w:rsidRPr="00676E55">
              <w:rPr>
                <w:rFonts w:ascii="Arial" w:hAnsi="Arial" w:hint="cs"/>
                <w:b/>
                <w:bCs/>
                <w:sz w:val="26"/>
                <w:szCs w:val="26"/>
                <w:rtl/>
              </w:rPr>
              <w:t xml:space="preserve"> </w:t>
            </w:r>
            <w:r w:rsidRPr="00676E55">
              <w:rPr>
                <w:rFonts w:ascii="Arial" w:hAnsi="Arial"/>
                <w:b/>
                <w:bCs/>
                <w:sz w:val="26"/>
                <w:szCs w:val="26"/>
                <w:rtl/>
              </w:rPr>
              <w:t>–</w:t>
            </w:r>
            <w:r w:rsidRPr="00676E55">
              <w:rPr>
                <w:rFonts w:ascii="Arial" w:hAnsi="Arial" w:hint="cs"/>
                <w:b/>
                <w:bCs/>
                <w:sz w:val="26"/>
                <w:szCs w:val="26"/>
                <w:rtl/>
              </w:rPr>
              <w:t xml:space="preserve"> פמ"ד </w:t>
            </w:r>
          </w:p>
          <w:p w14:paraId="55D089A8" w14:textId="77777777" w:rsidR="0077772E" w:rsidRPr="00676E55" w:rsidRDefault="0077772E" w:rsidP="0077772E">
            <w:pPr>
              <w:suppressLineNumbers/>
              <w:rPr>
                <w:rFonts w:ascii="David" w:hAnsi="David"/>
                <w:sz w:val="26"/>
                <w:szCs w:val="26"/>
              </w:rPr>
            </w:pPr>
            <w:r w:rsidRPr="00676E55">
              <w:rPr>
                <w:rFonts w:ascii="Arial" w:hAnsi="Arial"/>
                <w:b/>
                <w:bCs/>
                <w:sz w:val="26"/>
                <w:szCs w:val="26"/>
                <w:rtl/>
              </w:rPr>
              <w:t xml:space="preserve">ע"י ב"כ </w:t>
            </w:r>
            <w:r w:rsidRPr="00676E55">
              <w:rPr>
                <w:rFonts w:ascii="David" w:hAnsi="David" w:hint="cs"/>
                <w:b/>
                <w:bCs/>
                <w:sz w:val="26"/>
                <w:szCs w:val="26"/>
                <w:rtl/>
              </w:rPr>
              <w:t>עו"ד שחר אלוש יפרח</w:t>
            </w:r>
          </w:p>
        </w:tc>
      </w:tr>
      <w:bookmarkEnd w:id="1"/>
      <w:bookmarkEnd w:id="2"/>
      <w:tr w:rsidR="0077772E" w:rsidRPr="00676E55" w14:paraId="21828D02" w14:textId="77777777" w:rsidTr="0077772E">
        <w:trPr>
          <w:trHeight w:val="355"/>
          <w:jc w:val="center"/>
        </w:trPr>
        <w:tc>
          <w:tcPr>
            <w:tcW w:w="312" w:type="dxa"/>
            <w:tcBorders>
              <w:top w:val="nil"/>
              <w:left w:val="nil"/>
              <w:bottom w:val="nil"/>
              <w:right w:val="nil"/>
            </w:tcBorders>
            <w:shd w:val="clear" w:color="auto" w:fill="auto"/>
          </w:tcPr>
          <w:p w14:paraId="2CD0D882" w14:textId="77777777" w:rsidR="0077772E" w:rsidRPr="00676E55" w:rsidRDefault="0077772E" w:rsidP="0077772E">
            <w:pPr>
              <w:jc w:val="both"/>
              <w:rPr>
                <w:rFonts w:ascii="David" w:hAnsi="David"/>
                <w:sz w:val="26"/>
                <w:szCs w:val="26"/>
                <w:rtl/>
              </w:rPr>
            </w:pPr>
          </w:p>
        </w:tc>
        <w:tc>
          <w:tcPr>
            <w:tcW w:w="8508" w:type="dxa"/>
            <w:gridSpan w:val="2"/>
            <w:tcBorders>
              <w:top w:val="nil"/>
              <w:left w:val="nil"/>
              <w:bottom w:val="nil"/>
              <w:right w:val="nil"/>
            </w:tcBorders>
            <w:shd w:val="clear" w:color="auto" w:fill="auto"/>
          </w:tcPr>
          <w:p w14:paraId="630EC439" w14:textId="77777777" w:rsidR="0077772E" w:rsidRPr="00676E55" w:rsidRDefault="0077772E" w:rsidP="0077772E">
            <w:pPr>
              <w:jc w:val="center"/>
              <w:rPr>
                <w:rFonts w:ascii="David" w:hAnsi="David"/>
                <w:b/>
                <w:bCs/>
                <w:sz w:val="26"/>
                <w:szCs w:val="26"/>
                <w:rtl/>
              </w:rPr>
            </w:pPr>
          </w:p>
          <w:p w14:paraId="488AA61C" w14:textId="77777777" w:rsidR="0077772E" w:rsidRPr="00676E55" w:rsidRDefault="0077772E" w:rsidP="0077772E">
            <w:pPr>
              <w:jc w:val="center"/>
              <w:rPr>
                <w:rFonts w:ascii="David" w:hAnsi="David"/>
                <w:b/>
                <w:bCs/>
                <w:sz w:val="26"/>
                <w:szCs w:val="26"/>
                <w:rtl/>
              </w:rPr>
            </w:pPr>
            <w:r w:rsidRPr="00676E55">
              <w:rPr>
                <w:rFonts w:ascii="David" w:hAnsi="David"/>
                <w:b/>
                <w:bCs/>
                <w:sz w:val="26"/>
                <w:szCs w:val="26"/>
                <w:rtl/>
              </w:rPr>
              <w:t>נגד</w:t>
            </w:r>
          </w:p>
          <w:p w14:paraId="0A134D20" w14:textId="77777777" w:rsidR="0077772E" w:rsidRPr="00676E55" w:rsidRDefault="0077772E" w:rsidP="0077772E">
            <w:pPr>
              <w:jc w:val="both"/>
              <w:rPr>
                <w:rFonts w:ascii="David" w:hAnsi="David"/>
                <w:sz w:val="26"/>
                <w:szCs w:val="26"/>
              </w:rPr>
            </w:pPr>
          </w:p>
        </w:tc>
      </w:tr>
      <w:tr w:rsidR="0077772E" w:rsidRPr="00676E55" w14:paraId="34454DE1" w14:textId="77777777" w:rsidTr="0077772E">
        <w:trPr>
          <w:trHeight w:val="355"/>
          <w:jc w:val="center"/>
        </w:trPr>
        <w:tc>
          <w:tcPr>
            <w:tcW w:w="312" w:type="dxa"/>
            <w:tcBorders>
              <w:top w:val="nil"/>
              <w:left w:val="nil"/>
              <w:bottom w:val="nil"/>
              <w:right w:val="nil"/>
            </w:tcBorders>
            <w:shd w:val="clear" w:color="auto" w:fill="auto"/>
          </w:tcPr>
          <w:p w14:paraId="28684B09" w14:textId="77777777" w:rsidR="0077772E" w:rsidRPr="00676E55" w:rsidRDefault="0077772E" w:rsidP="00C6644F">
            <w:pPr>
              <w:rPr>
                <w:rFonts w:ascii="David" w:hAnsi="David"/>
                <w:sz w:val="26"/>
                <w:szCs w:val="26"/>
                <w:rtl/>
              </w:rPr>
            </w:pPr>
          </w:p>
        </w:tc>
        <w:tc>
          <w:tcPr>
            <w:tcW w:w="2551" w:type="dxa"/>
            <w:tcBorders>
              <w:top w:val="nil"/>
              <w:left w:val="nil"/>
              <w:bottom w:val="nil"/>
              <w:right w:val="nil"/>
            </w:tcBorders>
            <w:shd w:val="clear" w:color="auto" w:fill="auto"/>
          </w:tcPr>
          <w:p w14:paraId="441372C8" w14:textId="77777777" w:rsidR="0077772E" w:rsidRPr="00676E55" w:rsidRDefault="0077772E" w:rsidP="00C6644F">
            <w:pPr>
              <w:rPr>
                <w:rFonts w:ascii="Arial" w:hAnsi="Arial"/>
                <w:b/>
                <w:bCs/>
                <w:sz w:val="26"/>
                <w:szCs w:val="26"/>
                <w:rtl/>
              </w:rPr>
            </w:pPr>
            <w:r w:rsidRPr="00676E55">
              <w:rPr>
                <w:rFonts w:ascii="Arial" w:hAnsi="Arial"/>
                <w:b/>
                <w:bCs/>
                <w:sz w:val="26"/>
                <w:szCs w:val="26"/>
                <w:rtl/>
              </w:rPr>
              <w:t>הנאשמים</w:t>
            </w:r>
          </w:p>
        </w:tc>
        <w:tc>
          <w:tcPr>
            <w:tcW w:w="5957" w:type="dxa"/>
            <w:tcBorders>
              <w:top w:val="nil"/>
              <w:left w:val="nil"/>
              <w:bottom w:val="nil"/>
              <w:right w:val="nil"/>
            </w:tcBorders>
            <w:shd w:val="clear" w:color="auto" w:fill="auto"/>
            <w:vAlign w:val="center"/>
          </w:tcPr>
          <w:p w14:paraId="39274CAE" w14:textId="77777777" w:rsidR="0077772E" w:rsidRPr="00676E55" w:rsidRDefault="0077772E" w:rsidP="0077772E">
            <w:pPr>
              <w:suppressLineNumbers/>
              <w:rPr>
                <w:rFonts w:ascii="Arial" w:hAnsi="Arial"/>
                <w:b/>
                <w:bCs/>
                <w:sz w:val="26"/>
                <w:szCs w:val="26"/>
                <w:rtl/>
              </w:rPr>
            </w:pPr>
            <w:r w:rsidRPr="00676E55">
              <w:rPr>
                <w:rFonts w:ascii="Arial" w:hAnsi="Arial"/>
                <w:b/>
                <w:bCs/>
                <w:sz w:val="26"/>
                <w:szCs w:val="26"/>
                <w:rtl/>
              </w:rPr>
              <w:t>דניאל מאור (עציר)</w:t>
            </w:r>
            <w:r w:rsidRPr="00676E55">
              <w:rPr>
                <w:rFonts w:ascii="Arial" w:hAnsi="Arial" w:hint="cs"/>
                <w:b/>
                <w:bCs/>
                <w:sz w:val="26"/>
                <w:szCs w:val="26"/>
                <w:rtl/>
              </w:rPr>
              <w:t xml:space="preserve"> </w:t>
            </w:r>
            <w:r w:rsidRPr="00676E55">
              <w:rPr>
                <w:rFonts w:ascii="Arial" w:hAnsi="Arial"/>
                <w:b/>
                <w:bCs/>
                <w:sz w:val="26"/>
                <w:szCs w:val="26"/>
                <w:rtl/>
              </w:rPr>
              <w:t>–</w:t>
            </w:r>
            <w:r w:rsidRPr="00676E55">
              <w:rPr>
                <w:rFonts w:ascii="Arial" w:hAnsi="Arial" w:hint="cs"/>
                <w:b/>
                <w:bCs/>
                <w:sz w:val="26"/>
                <w:szCs w:val="26"/>
                <w:rtl/>
              </w:rPr>
              <w:t xml:space="preserve"> הובא ע"י שב"ס</w:t>
            </w:r>
          </w:p>
          <w:p w14:paraId="33B589E0" w14:textId="77777777" w:rsidR="0077772E" w:rsidRPr="00676E55" w:rsidRDefault="0077772E" w:rsidP="0077772E">
            <w:pPr>
              <w:suppressLineNumbers/>
            </w:pPr>
            <w:r w:rsidRPr="00676E55">
              <w:rPr>
                <w:rFonts w:ascii="Arial" w:hAnsi="Arial"/>
                <w:b/>
                <w:bCs/>
                <w:sz w:val="26"/>
                <w:szCs w:val="26"/>
                <w:rtl/>
              </w:rPr>
              <w:t>ע"י ב"כ עו"ד</w:t>
            </w:r>
            <w:r w:rsidRPr="00676E55">
              <w:rPr>
                <w:rFonts w:ascii="Arial" w:hAnsi="Arial" w:hint="cs"/>
                <w:b/>
                <w:bCs/>
                <w:sz w:val="26"/>
                <w:szCs w:val="26"/>
                <w:rtl/>
              </w:rPr>
              <w:t xml:space="preserve"> אפרת צרפתי</w:t>
            </w:r>
          </w:p>
          <w:p w14:paraId="567727F9" w14:textId="77777777" w:rsidR="0077772E" w:rsidRPr="00676E55" w:rsidRDefault="0077772E" w:rsidP="00C6644F">
            <w:pPr>
              <w:rPr>
                <w:rFonts w:ascii="David" w:hAnsi="David"/>
                <w:sz w:val="26"/>
                <w:szCs w:val="26"/>
              </w:rPr>
            </w:pPr>
          </w:p>
        </w:tc>
      </w:tr>
      <w:tr w:rsidR="0077772E" w:rsidRPr="00676E55" w14:paraId="118D3C38" w14:textId="77777777" w:rsidTr="0077772E">
        <w:trPr>
          <w:trHeight w:val="355"/>
          <w:jc w:val="center"/>
        </w:trPr>
        <w:tc>
          <w:tcPr>
            <w:tcW w:w="312" w:type="dxa"/>
            <w:tcBorders>
              <w:top w:val="nil"/>
              <w:left w:val="nil"/>
              <w:bottom w:val="nil"/>
              <w:right w:val="nil"/>
            </w:tcBorders>
            <w:shd w:val="clear" w:color="auto" w:fill="auto"/>
          </w:tcPr>
          <w:p w14:paraId="61C98315" w14:textId="77777777" w:rsidR="0077772E" w:rsidRPr="00676E55" w:rsidRDefault="0077772E" w:rsidP="0077772E">
            <w:pPr>
              <w:jc w:val="both"/>
              <w:rPr>
                <w:rFonts w:ascii="David" w:hAnsi="David"/>
                <w:sz w:val="26"/>
                <w:szCs w:val="26"/>
                <w:rtl/>
              </w:rPr>
            </w:pPr>
          </w:p>
        </w:tc>
        <w:tc>
          <w:tcPr>
            <w:tcW w:w="2551" w:type="dxa"/>
            <w:tcBorders>
              <w:top w:val="nil"/>
              <w:left w:val="nil"/>
              <w:bottom w:val="nil"/>
              <w:right w:val="nil"/>
            </w:tcBorders>
            <w:shd w:val="clear" w:color="auto" w:fill="auto"/>
          </w:tcPr>
          <w:p w14:paraId="0AB6AE60" w14:textId="77777777" w:rsidR="0077772E" w:rsidRPr="00676E55" w:rsidRDefault="0077772E" w:rsidP="0077772E">
            <w:pPr>
              <w:jc w:val="both"/>
              <w:rPr>
                <w:rFonts w:ascii="David" w:hAnsi="David"/>
                <w:sz w:val="26"/>
                <w:szCs w:val="26"/>
                <w:rtl/>
              </w:rPr>
            </w:pPr>
          </w:p>
        </w:tc>
        <w:tc>
          <w:tcPr>
            <w:tcW w:w="5957" w:type="dxa"/>
            <w:tcBorders>
              <w:top w:val="nil"/>
              <w:left w:val="nil"/>
              <w:bottom w:val="nil"/>
              <w:right w:val="nil"/>
            </w:tcBorders>
            <w:shd w:val="clear" w:color="auto" w:fill="auto"/>
          </w:tcPr>
          <w:p w14:paraId="1D4C4203" w14:textId="77777777" w:rsidR="0077772E" w:rsidRPr="00676E55" w:rsidRDefault="0077772E" w:rsidP="0077772E">
            <w:pPr>
              <w:jc w:val="right"/>
              <w:rPr>
                <w:rFonts w:ascii="David" w:hAnsi="David"/>
                <w:sz w:val="26"/>
                <w:szCs w:val="26"/>
              </w:rPr>
            </w:pPr>
          </w:p>
        </w:tc>
      </w:tr>
    </w:tbl>
    <w:p w14:paraId="724BDCA0" w14:textId="77777777" w:rsidR="00EB22A4" w:rsidRDefault="00EB22A4" w:rsidP="0077772E">
      <w:pPr>
        <w:rPr>
          <w:sz w:val="26"/>
          <w:szCs w:val="26"/>
          <w:rtl/>
        </w:rPr>
      </w:pPr>
      <w:bookmarkStart w:id="3" w:name="LawTable"/>
      <w:bookmarkEnd w:id="3"/>
    </w:p>
    <w:p w14:paraId="635BCD60" w14:textId="77777777" w:rsidR="00EB22A4" w:rsidRPr="00EB22A4" w:rsidRDefault="00EB22A4" w:rsidP="00EB22A4">
      <w:pPr>
        <w:spacing w:after="120" w:line="240" w:lineRule="exact"/>
        <w:ind w:left="283" w:hanging="283"/>
        <w:jc w:val="both"/>
        <w:rPr>
          <w:rFonts w:ascii="FrankRuehl" w:hAnsi="FrankRuehl" w:cs="FrankRuehl"/>
          <w:rtl/>
        </w:rPr>
      </w:pPr>
    </w:p>
    <w:p w14:paraId="53E2C167" w14:textId="77777777" w:rsidR="00EB22A4" w:rsidRPr="00EB22A4" w:rsidRDefault="00EB22A4" w:rsidP="00EB22A4">
      <w:pPr>
        <w:spacing w:after="120" w:line="240" w:lineRule="exact"/>
        <w:ind w:left="283" w:hanging="283"/>
        <w:jc w:val="both"/>
        <w:rPr>
          <w:rFonts w:ascii="FrankRuehl" w:hAnsi="FrankRuehl" w:cs="FrankRuehl"/>
          <w:rtl/>
        </w:rPr>
      </w:pPr>
      <w:r w:rsidRPr="00EB22A4">
        <w:rPr>
          <w:rFonts w:ascii="FrankRuehl" w:hAnsi="FrankRuehl" w:cs="FrankRuehl"/>
          <w:rtl/>
        </w:rPr>
        <w:t xml:space="preserve">חקיקה שאוזכרה: </w:t>
      </w:r>
    </w:p>
    <w:p w14:paraId="3D226AFA" w14:textId="77777777" w:rsidR="00EB22A4" w:rsidRPr="00EB22A4" w:rsidRDefault="00EB22A4" w:rsidP="00EB22A4">
      <w:pPr>
        <w:spacing w:after="120" w:line="240" w:lineRule="exact"/>
        <w:ind w:left="283" w:hanging="283"/>
        <w:jc w:val="both"/>
        <w:rPr>
          <w:rFonts w:ascii="FrankRuehl" w:hAnsi="FrankRuehl" w:cs="FrankRuehl"/>
          <w:rtl/>
        </w:rPr>
      </w:pPr>
      <w:hyperlink r:id="rId7" w:history="1">
        <w:r w:rsidRPr="00EB22A4">
          <w:rPr>
            <w:rFonts w:ascii="FrankRuehl" w:hAnsi="FrankRuehl" w:cs="FrankRuehl"/>
            <w:color w:val="0000FF"/>
            <w:u w:val="single"/>
            <w:rtl/>
          </w:rPr>
          <w:t>חוק העונשין, תשל"ז-1977</w:t>
        </w:r>
      </w:hyperlink>
      <w:r w:rsidRPr="00EB22A4">
        <w:rPr>
          <w:rFonts w:ascii="FrankRuehl" w:hAnsi="FrankRuehl" w:cs="FrankRuehl"/>
          <w:rtl/>
        </w:rPr>
        <w:t xml:space="preserve">: סע'  </w:t>
      </w:r>
      <w:hyperlink r:id="rId8" w:history="1">
        <w:r w:rsidRPr="00EB22A4">
          <w:rPr>
            <w:rFonts w:ascii="FrankRuehl" w:hAnsi="FrankRuehl" w:cs="FrankRuehl"/>
            <w:color w:val="0000FF"/>
            <w:u w:val="single"/>
            <w:rtl/>
          </w:rPr>
          <w:t>144</w:t>
        </w:r>
      </w:hyperlink>
      <w:r w:rsidRPr="00EB22A4">
        <w:rPr>
          <w:rFonts w:ascii="FrankRuehl" w:hAnsi="FrankRuehl" w:cs="FrankRuehl"/>
          <w:rtl/>
        </w:rPr>
        <w:t xml:space="preserve">, </w:t>
      </w:r>
      <w:hyperlink r:id="rId9" w:history="1">
        <w:r w:rsidRPr="00EB22A4">
          <w:rPr>
            <w:rFonts w:ascii="FrankRuehl" w:hAnsi="FrankRuehl" w:cs="FrankRuehl"/>
            <w:color w:val="0000FF"/>
            <w:u w:val="single"/>
            <w:rtl/>
          </w:rPr>
          <w:t>144(א)</w:t>
        </w:r>
      </w:hyperlink>
      <w:r w:rsidRPr="00EB22A4">
        <w:rPr>
          <w:rFonts w:ascii="FrankRuehl" w:hAnsi="FrankRuehl" w:cs="FrankRuehl"/>
          <w:rtl/>
        </w:rPr>
        <w:t xml:space="preserve">, </w:t>
      </w:r>
      <w:hyperlink r:id="rId10" w:history="1">
        <w:r w:rsidRPr="00EB22A4">
          <w:rPr>
            <w:rFonts w:ascii="FrankRuehl" w:hAnsi="FrankRuehl" w:cs="FrankRuehl"/>
            <w:color w:val="0000FF"/>
            <w:u w:val="single"/>
            <w:rtl/>
          </w:rPr>
          <w:t>(ב 2)</w:t>
        </w:r>
      </w:hyperlink>
      <w:r w:rsidRPr="00EB22A4">
        <w:rPr>
          <w:rFonts w:ascii="FrankRuehl" w:hAnsi="FrankRuehl" w:cs="FrankRuehl"/>
          <w:rtl/>
        </w:rPr>
        <w:t xml:space="preserve">, </w:t>
      </w:r>
      <w:hyperlink r:id="rId11" w:history="1">
        <w:r w:rsidRPr="00EB22A4">
          <w:rPr>
            <w:rFonts w:ascii="FrankRuehl" w:hAnsi="FrankRuehl" w:cs="FrankRuehl"/>
            <w:color w:val="0000FF"/>
            <w:u w:val="single"/>
            <w:rtl/>
          </w:rPr>
          <w:t>(ב 3)</w:t>
        </w:r>
      </w:hyperlink>
      <w:r w:rsidRPr="00EB22A4">
        <w:rPr>
          <w:rFonts w:ascii="FrankRuehl" w:hAnsi="FrankRuehl" w:cs="FrankRuehl"/>
          <w:rtl/>
        </w:rPr>
        <w:t xml:space="preserve">, </w:t>
      </w:r>
      <w:hyperlink r:id="rId12" w:history="1">
        <w:r w:rsidRPr="00EB22A4">
          <w:rPr>
            <w:rFonts w:ascii="FrankRuehl" w:hAnsi="FrankRuehl" w:cs="FrankRuehl"/>
            <w:color w:val="0000FF"/>
            <w:u w:val="single"/>
            <w:rtl/>
          </w:rPr>
          <w:t>144א</w:t>
        </w:r>
      </w:hyperlink>
    </w:p>
    <w:p w14:paraId="6C6EDB80" w14:textId="77777777" w:rsidR="00EB22A4" w:rsidRPr="00EB22A4" w:rsidRDefault="00EB22A4" w:rsidP="00EB22A4">
      <w:pPr>
        <w:spacing w:after="120" w:line="240" w:lineRule="exact"/>
        <w:ind w:left="283" w:hanging="283"/>
        <w:jc w:val="both"/>
        <w:rPr>
          <w:rFonts w:ascii="FrankRuehl" w:hAnsi="FrankRuehl" w:cs="FrankRuehl"/>
          <w:rtl/>
        </w:rPr>
      </w:pPr>
      <w:hyperlink r:id="rId13" w:history="1">
        <w:r w:rsidRPr="00EB22A4">
          <w:rPr>
            <w:rFonts w:ascii="FrankRuehl" w:hAnsi="FrankRuehl" w:cs="FrankRuehl"/>
            <w:color w:val="0000FF"/>
            <w:u w:val="single"/>
            <w:rtl/>
          </w:rPr>
          <w:t>פקודת הסמים המסוכנים [נוסח חדש], תשל"ג-1973</w:t>
        </w:r>
      </w:hyperlink>
      <w:r w:rsidRPr="00EB22A4">
        <w:rPr>
          <w:rFonts w:ascii="FrankRuehl" w:hAnsi="FrankRuehl" w:cs="FrankRuehl"/>
          <w:rtl/>
        </w:rPr>
        <w:t xml:space="preserve">: סע'  </w:t>
      </w:r>
      <w:hyperlink r:id="rId14" w:history="1">
        <w:r w:rsidRPr="00EB22A4">
          <w:rPr>
            <w:rFonts w:ascii="FrankRuehl" w:hAnsi="FrankRuehl" w:cs="FrankRuehl"/>
            <w:color w:val="0000FF"/>
            <w:u w:val="single"/>
            <w:rtl/>
          </w:rPr>
          <w:t>(ג)</w:t>
        </w:r>
      </w:hyperlink>
      <w:r w:rsidRPr="00EB22A4">
        <w:rPr>
          <w:rFonts w:ascii="FrankRuehl" w:hAnsi="FrankRuehl" w:cs="FrankRuehl"/>
          <w:rtl/>
        </w:rPr>
        <w:t xml:space="preserve">, </w:t>
      </w:r>
      <w:hyperlink r:id="rId15" w:history="1">
        <w:r w:rsidRPr="00EB22A4">
          <w:rPr>
            <w:rFonts w:ascii="FrankRuehl" w:hAnsi="FrankRuehl" w:cs="FrankRuehl"/>
            <w:color w:val="0000FF"/>
            <w:u w:val="single"/>
            <w:rtl/>
          </w:rPr>
          <w:t>7(א)</w:t>
        </w:r>
      </w:hyperlink>
      <w:r w:rsidRPr="00EB22A4">
        <w:rPr>
          <w:rFonts w:ascii="FrankRuehl" w:hAnsi="FrankRuehl" w:cs="FrankRuehl"/>
          <w:rtl/>
        </w:rPr>
        <w:t xml:space="preserve">, </w:t>
      </w:r>
      <w:hyperlink r:id="rId16" w:history="1">
        <w:r w:rsidRPr="00EB22A4">
          <w:rPr>
            <w:rFonts w:ascii="FrankRuehl" w:hAnsi="FrankRuehl" w:cs="FrankRuehl"/>
            <w:color w:val="0000FF"/>
            <w:u w:val="single"/>
            <w:rtl/>
          </w:rPr>
          <w:t>10</w:t>
        </w:r>
      </w:hyperlink>
      <w:r w:rsidRPr="00EB22A4">
        <w:rPr>
          <w:rFonts w:ascii="FrankRuehl" w:hAnsi="FrankRuehl" w:cs="FrankRuehl"/>
          <w:rtl/>
        </w:rPr>
        <w:t xml:space="preserve">, </w:t>
      </w:r>
      <w:hyperlink r:id="rId17" w:history="1">
        <w:r w:rsidRPr="00EB22A4">
          <w:rPr>
            <w:rFonts w:ascii="FrankRuehl" w:hAnsi="FrankRuehl" w:cs="FrankRuehl"/>
            <w:color w:val="0000FF"/>
            <w:u w:val="single"/>
            <w:rtl/>
          </w:rPr>
          <w:t>144</w:t>
        </w:r>
      </w:hyperlink>
      <w:r w:rsidRPr="00EB22A4">
        <w:rPr>
          <w:rFonts w:ascii="FrankRuehl" w:hAnsi="FrankRuehl" w:cs="FrankRuehl"/>
          <w:rtl/>
        </w:rPr>
        <w:t xml:space="preserve">, </w:t>
      </w:r>
      <w:hyperlink r:id="rId18" w:history="1">
        <w:r w:rsidRPr="00EB22A4">
          <w:rPr>
            <w:rFonts w:ascii="FrankRuehl" w:hAnsi="FrankRuehl" w:cs="FrankRuehl"/>
            <w:color w:val="0000FF"/>
            <w:u w:val="single"/>
            <w:rtl/>
          </w:rPr>
          <w:t>(א)</w:t>
        </w:r>
      </w:hyperlink>
      <w:r w:rsidRPr="00EB22A4">
        <w:rPr>
          <w:rFonts w:ascii="FrankRuehl" w:hAnsi="FrankRuehl" w:cs="FrankRuehl"/>
          <w:rtl/>
        </w:rPr>
        <w:t xml:space="preserve">, </w:t>
      </w:r>
      <w:hyperlink r:id="rId19" w:history="1">
        <w:r w:rsidRPr="00EB22A4">
          <w:rPr>
            <w:rFonts w:ascii="FrankRuehl" w:hAnsi="FrankRuehl" w:cs="FrankRuehl"/>
            <w:color w:val="0000FF"/>
            <w:u w:val="single"/>
            <w:rtl/>
          </w:rPr>
          <w:t>144א</w:t>
        </w:r>
      </w:hyperlink>
    </w:p>
    <w:p w14:paraId="73E79FCE" w14:textId="77777777" w:rsidR="00EB22A4" w:rsidRPr="00EB22A4" w:rsidRDefault="00EB22A4" w:rsidP="00EB22A4">
      <w:pPr>
        <w:spacing w:after="120" w:line="240" w:lineRule="exact"/>
        <w:ind w:left="283" w:hanging="283"/>
        <w:jc w:val="both"/>
        <w:rPr>
          <w:rFonts w:ascii="FrankRuehl" w:hAnsi="FrankRuehl" w:cs="FrankRuehl"/>
          <w:rtl/>
        </w:rPr>
      </w:pPr>
    </w:p>
    <w:p w14:paraId="17EA87AB" w14:textId="77777777" w:rsidR="00676E55" w:rsidRPr="00676E55" w:rsidRDefault="00676E55" w:rsidP="00676E55">
      <w:pPr>
        <w:rPr>
          <w:rFonts w:ascii="Arial" w:hAnsi="Arial"/>
          <w:sz w:val="26"/>
          <w:szCs w:val="26"/>
          <w:rtl/>
        </w:rPr>
      </w:pPr>
      <w:bookmarkStart w:id="4" w:name="LawTable_End"/>
      <w:bookmarkEnd w:id="4"/>
    </w:p>
    <w:p w14:paraId="1B6358E8" w14:textId="77777777" w:rsidR="0077772E" w:rsidRPr="00676E55" w:rsidRDefault="0077772E" w:rsidP="0077772E">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772E" w14:paraId="2A78CD2E" w14:textId="77777777" w:rsidTr="0077772E">
        <w:trPr>
          <w:trHeight w:val="355"/>
          <w:jc w:val="center"/>
        </w:trPr>
        <w:tc>
          <w:tcPr>
            <w:tcW w:w="8820" w:type="dxa"/>
            <w:tcBorders>
              <w:top w:val="nil"/>
              <w:left w:val="nil"/>
              <w:bottom w:val="nil"/>
              <w:right w:val="nil"/>
            </w:tcBorders>
            <w:shd w:val="clear" w:color="auto" w:fill="auto"/>
          </w:tcPr>
          <w:p w14:paraId="4D566F15" w14:textId="77777777" w:rsidR="00676E55" w:rsidRPr="00676E55" w:rsidRDefault="00676E55" w:rsidP="00676E55">
            <w:pPr>
              <w:jc w:val="center"/>
              <w:rPr>
                <w:rFonts w:ascii="David" w:hAnsi="David"/>
                <w:b/>
                <w:bCs/>
                <w:sz w:val="32"/>
                <w:szCs w:val="32"/>
                <w:u w:val="single"/>
                <w:rtl/>
              </w:rPr>
            </w:pPr>
            <w:bookmarkStart w:id="5" w:name="PsakDin" w:colFirst="0" w:colLast="0"/>
            <w:bookmarkEnd w:id="0"/>
            <w:r w:rsidRPr="00676E55">
              <w:rPr>
                <w:rFonts w:ascii="David" w:hAnsi="David"/>
                <w:b/>
                <w:bCs/>
                <w:sz w:val="32"/>
                <w:szCs w:val="32"/>
                <w:u w:val="single"/>
                <w:rtl/>
              </w:rPr>
              <w:t>גזר דין</w:t>
            </w:r>
          </w:p>
          <w:p w14:paraId="07F05851" w14:textId="77777777" w:rsidR="0077772E" w:rsidRPr="00676E55" w:rsidRDefault="0077772E" w:rsidP="00676E55">
            <w:pPr>
              <w:jc w:val="center"/>
              <w:rPr>
                <w:rFonts w:ascii="David" w:hAnsi="David"/>
                <w:bCs/>
                <w:sz w:val="32"/>
                <w:szCs w:val="32"/>
                <w:u w:val="single"/>
                <w:rtl/>
              </w:rPr>
            </w:pPr>
          </w:p>
        </w:tc>
      </w:tr>
      <w:bookmarkEnd w:id="5"/>
    </w:tbl>
    <w:p w14:paraId="77642890" w14:textId="77777777" w:rsidR="0077772E" w:rsidRPr="000F2247" w:rsidRDefault="0077772E" w:rsidP="0077772E">
      <w:pPr>
        <w:rPr>
          <w:rFonts w:ascii="Arial" w:hAnsi="Arial"/>
          <w:b/>
          <w:bCs/>
          <w:sz w:val="26"/>
          <w:szCs w:val="26"/>
          <w:rtl/>
        </w:rPr>
      </w:pPr>
    </w:p>
    <w:p w14:paraId="587507C2" w14:textId="77777777" w:rsidR="0077772E" w:rsidRDefault="0077772E" w:rsidP="0077772E">
      <w:pPr>
        <w:spacing w:line="360" w:lineRule="auto"/>
        <w:jc w:val="both"/>
      </w:pPr>
      <w:bookmarkStart w:id="6" w:name="ABSTRACT_START"/>
      <w:bookmarkEnd w:id="6"/>
      <w:r>
        <w:rPr>
          <w:rFonts w:ascii="Arial" w:hAnsi="Arial"/>
          <w:rtl/>
        </w:rPr>
        <w:t>הנאשם הורשע על פי הודאתו בעובדות כתב האישום המתוקן, ב</w:t>
      </w:r>
      <w:r>
        <w:rPr>
          <w:rtl/>
        </w:rPr>
        <w:t xml:space="preserve">עבירות בנשק (החזקה), לפי </w:t>
      </w:r>
      <w:hyperlink r:id="rId20" w:history="1">
        <w:r w:rsidR="00EB22A4" w:rsidRPr="00EB22A4">
          <w:rPr>
            <w:color w:val="0000FF"/>
            <w:u w:val="single"/>
            <w:rtl/>
          </w:rPr>
          <w:t>סעיף 144(א)</w:t>
        </w:r>
      </w:hyperlink>
      <w:r>
        <w:rPr>
          <w:rtl/>
        </w:rPr>
        <w:t xml:space="preserve"> רישא וסיפא (בהתאמה) ל</w:t>
      </w:r>
      <w:hyperlink r:id="rId21" w:history="1">
        <w:r w:rsidR="00676E55" w:rsidRPr="00676E55">
          <w:rPr>
            <w:color w:val="0000FF"/>
            <w:u w:val="single"/>
            <w:rtl/>
          </w:rPr>
          <w:t>חוק העונשין</w:t>
        </w:r>
      </w:hyperlink>
      <w:r>
        <w:rPr>
          <w:rtl/>
        </w:rPr>
        <w:t xml:space="preserve">, התשל"ז -1977 (להלן: </w:t>
      </w:r>
      <w:r>
        <w:rPr>
          <w:b/>
          <w:bCs/>
          <w:rtl/>
        </w:rPr>
        <w:t>חוק העונשין</w:t>
      </w:r>
      <w:r>
        <w:rPr>
          <w:rtl/>
        </w:rPr>
        <w:t xml:space="preserve">); החזקת סם שלא לצריכה עצמית, עבירה לפי סעיף </w:t>
      </w:r>
      <w:hyperlink r:id="rId22" w:history="1">
        <w:r w:rsidR="00EB22A4" w:rsidRPr="00EB22A4">
          <w:rPr>
            <w:color w:val="0000FF"/>
            <w:u w:val="single"/>
            <w:rtl/>
          </w:rPr>
          <w:t>7(א)</w:t>
        </w:r>
      </w:hyperlink>
      <w:r>
        <w:rPr>
          <w:rtl/>
        </w:rPr>
        <w:t xml:space="preserve"> + </w:t>
      </w:r>
      <w:hyperlink r:id="rId23" w:history="1">
        <w:r w:rsidR="00EB22A4" w:rsidRPr="00EB22A4">
          <w:rPr>
            <w:color w:val="0000FF"/>
            <w:u w:val="single"/>
            <w:rtl/>
          </w:rPr>
          <w:t>(ג)</w:t>
        </w:r>
      </w:hyperlink>
      <w:r>
        <w:rPr>
          <w:rtl/>
        </w:rPr>
        <w:t xml:space="preserve"> לפקודת הסמים [נ"ח], התשל"ג – 1973 (להלן: </w:t>
      </w:r>
      <w:r>
        <w:rPr>
          <w:b/>
          <w:bCs/>
          <w:rtl/>
        </w:rPr>
        <w:t>פקודת הסמים</w:t>
      </w:r>
      <w:r>
        <w:rPr>
          <w:rtl/>
        </w:rPr>
        <w:t xml:space="preserve">); החזקת כלים, עבירה לפי </w:t>
      </w:r>
      <w:hyperlink r:id="rId24" w:history="1">
        <w:r w:rsidR="00EB22A4" w:rsidRPr="00EB22A4">
          <w:rPr>
            <w:color w:val="0000FF"/>
            <w:u w:val="single"/>
            <w:rtl/>
          </w:rPr>
          <w:t>סעיף 10</w:t>
        </w:r>
      </w:hyperlink>
      <w:r>
        <w:rPr>
          <w:rtl/>
        </w:rPr>
        <w:t xml:space="preserve"> בפקודת הסמים. </w:t>
      </w:r>
    </w:p>
    <w:p w14:paraId="1CB7899A" w14:textId="77777777" w:rsidR="0077772E" w:rsidRDefault="0077772E" w:rsidP="0077772E">
      <w:pPr>
        <w:spacing w:line="360" w:lineRule="auto"/>
        <w:rPr>
          <w:rFonts w:ascii="Arial" w:hAnsi="Arial"/>
          <w:rtl/>
        </w:rPr>
      </w:pPr>
      <w:bookmarkStart w:id="7" w:name="ABSTRACT_END"/>
      <w:bookmarkEnd w:id="7"/>
    </w:p>
    <w:p w14:paraId="4826908B" w14:textId="77777777" w:rsidR="0077772E" w:rsidRDefault="0077772E" w:rsidP="0077772E">
      <w:pPr>
        <w:spacing w:line="360" w:lineRule="auto"/>
        <w:jc w:val="both"/>
        <w:rPr>
          <w:rFonts w:ascii="Arial" w:hAnsi="Arial"/>
          <w:b/>
          <w:bCs/>
          <w:sz w:val="26"/>
          <w:szCs w:val="26"/>
          <w:u w:val="single"/>
        </w:rPr>
      </w:pPr>
      <w:r>
        <w:rPr>
          <w:rFonts w:ascii="Arial" w:hAnsi="Arial"/>
          <w:b/>
          <w:bCs/>
          <w:sz w:val="26"/>
          <w:szCs w:val="26"/>
          <w:u w:val="single"/>
          <w:rtl/>
        </w:rPr>
        <w:t>כתב האישום המתוקן</w:t>
      </w:r>
    </w:p>
    <w:p w14:paraId="0A83F5CC" w14:textId="77777777" w:rsidR="0077772E" w:rsidRDefault="0077772E" w:rsidP="0077772E">
      <w:pPr>
        <w:spacing w:line="360" w:lineRule="auto"/>
        <w:jc w:val="both"/>
        <w:rPr>
          <w:rFonts w:ascii="Arial" w:hAnsi="Arial"/>
          <w:rtl/>
        </w:rPr>
      </w:pPr>
      <w:r>
        <w:rPr>
          <w:rFonts w:ascii="Arial" w:hAnsi="Arial"/>
          <w:rtl/>
        </w:rPr>
        <w:t>1.</w:t>
      </w:r>
      <w:r>
        <w:rPr>
          <w:rFonts w:ascii="Arial" w:hAnsi="Arial"/>
          <w:rtl/>
        </w:rPr>
        <w:tab/>
        <w:t xml:space="preserve">מהעובדות עולה כי החל מיום 05.10.2023 ועד ליום 28.11.2023, החזיק הנאשם ביחידת דיור בבאר שבע. ביום 28.11.2023, סמוך לשעה 20:55, הגיעו שוטרים במסגרת פעילות משטרתית יזומה, ליחידת הדיור וביצעו בה חיפוש. במעמד כך, אותרו הפריטים הבאים אותם החזיק הנאשם שלא כדין: </w:t>
      </w:r>
    </w:p>
    <w:p w14:paraId="037949A9" w14:textId="77777777" w:rsidR="0077772E" w:rsidRDefault="0077772E" w:rsidP="0077772E">
      <w:pPr>
        <w:numPr>
          <w:ilvl w:val="0"/>
          <w:numId w:val="1"/>
        </w:numPr>
        <w:spacing w:after="160" w:line="360" w:lineRule="auto"/>
        <w:ind w:left="369" w:hanging="426"/>
        <w:contextualSpacing/>
        <w:jc w:val="both"/>
        <w:rPr>
          <w:rFonts w:ascii="Arial" w:hAnsi="Arial"/>
        </w:rPr>
      </w:pPr>
      <w:r>
        <w:rPr>
          <w:rFonts w:ascii="Arial" w:hAnsi="Arial"/>
          <w:rtl/>
        </w:rPr>
        <w:t xml:space="preserve">בשידה שבמטבח, חלקי אקדח חצי אוטומטי "סטאר" ומחסנית תואמת שהיו עטופים במגבת שהונחה בתוך שקית. האקדח אינו תקין אך מסוגל להרוג אדם.  </w:t>
      </w:r>
    </w:p>
    <w:p w14:paraId="5F0B94DC" w14:textId="77777777" w:rsidR="0077772E" w:rsidRDefault="0077772E" w:rsidP="0077772E">
      <w:pPr>
        <w:numPr>
          <w:ilvl w:val="0"/>
          <w:numId w:val="1"/>
        </w:numPr>
        <w:spacing w:after="160" w:line="360" w:lineRule="auto"/>
        <w:ind w:left="369" w:hanging="426"/>
        <w:contextualSpacing/>
        <w:jc w:val="both"/>
        <w:rPr>
          <w:rFonts w:ascii="Arial" w:hAnsi="Arial"/>
          <w:rtl/>
        </w:rPr>
      </w:pPr>
      <w:r>
        <w:rPr>
          <w:rFonts w:ascii="Arial" w:hAnsi="Arial"/>
          <w:rtl/>
        </w:rPr>
        <w:t xml:space="preserve">במגירה במטבח, מטען חבלה מאולתר שהכיל תערובת נפץ שהכילה דיפניל-אמין, מלח ניטראטי ומלח פרכלוראטי. מטען החבלה שנעטף במגבת והונח בתוך שקית, הוא מטען שבכוחו להמית אדם בעת התפוצצות, בכפוף להימצאות אמצעי ייזום ומערכת הפעלה. </w:t>
      </w:r>
    </w:p>
    <w:p w14:paraId="5A5AAC2A" w14:textId="77777777" w:rsidR="0077772E" w:rsidRDefault="0077772E" w:rsidP="0077772E">
      <w:pPr>
        <w:numPr>
          <w:ilvl w:val="0"/>
          <w:numId w:val="1"/>
        </w:numPr>
        <w:spacing w:after="160" w:line="360" w:lineRule="auto"/>
        <w:ind w:left="369" w:hanging="426"/>
        <w:contextualSpacing/>
        <w:jc w:val="both"/>
        <w:rPr>
          <w:rFonts w:ascii="Arial" w:hAnsi="Arial"/>
          <w:rtl/>
        </w:rPr>
      </w:pPr>
      <w:r>
        <w:rPr>
          <w:rFonts w:ascii="Arial" w:hAnsi="Arial"/>
          <w:rtl/>
        </w:rPr>
        <w:lastRenderedPageBreak/>
        <w:t>בארון בחדר השינה, שקית ובתוכה סם מסוכן מסוג קנבוס במשקל של כ- 70 גרם נטו;</w:t>
      </w:r>
      <w:r>
        <w:rPr>
          <w:rFonts w:ascii="Arial" w:hAnsi="Arial"/>
        </w:rPr>
        <w:t xml:space="preserve"> </w:t>
      </w:r>
      <w:r>
        <w:rPr>
          <w:rFonts w:ascii="Arial" w:hAnsi="Arial"/>
          <w:rtl/>
        </w:rPr>
        <w:t xml:space="preserve">על המיטה שקית ובתוכה סם מסוכן מסוג </w:t>
      </w:r>
      <w:r>
        <w:rPr>
          <w:rFonts w:ascii="Arial" w:hAnsi="Arial"/>
        </w:rPr>
        <w:t>M-</w:t>
      </w:r>
      <w:r>
        <w:rPr>
          <w:rFonts w:ascii="Arial" w:hAnsi="Arial"/>
          <w:sz w:val="22"/>
          <w:szCs w:val="22"/>
        </w:rPr>
        <w:t>CHLOROMETHCATHINONE</w:t>
      </w:r>
      <w:r>
        <w:rPr>
          <w:rFonts w:ascii="Arial" w:hAnsi="Arial"/>
          <w:rtl/>
        </w:rPr>
        <w:t xml:space="preserve"> במשקל של כ- 70 גרם נטו; בארון הבגדים, משקל אלקטרוני קטן ולידו שקית שקופה ובה שקיות חלוקה קטנות. </w:t>
      </w:r>
    </w:p>
    <w:p w14:paraId="638BA4D7" w14:textId="77777777" w:rsidR="0077772E" w:rsidRDefault="0077772E" w:rsidP="0077772E">
      <w:pPr>
        <w:spacing w:line="360" w:lineRule="auto"/>
        <w:ind w:left="360"/>
        <w:jc w:val="both"/>
        <w:rPr>
          <w:rFonts w:ascii="Arial" w:hAnsi="Arial"/>
          <w:rtl/>
        </w:rPr>
      </w:pPr>
      <w:r>
        <w:rPr>
          <w:rFonts w:ascii="Arial" w:hAnsi="Arial"/>
          <w:rtl/>
        </w:rPr>
        <w:t>במעשיו המתוארים לעיל, החזיק שלא כדין בחלקי נשק וכן אביזר של נשק. כמו כן, החזיק בסמים מסוכנים שונים שלא לצריכתו העצמית ושלא כדין, וכן כלים המשמשים להכנת סם מסוכן או לצריכתו.</w:t>
      </w:r>
    </w:p>
    <w:p w14:paraId="7F3FC749" w14:textId="77777777" w:rsidR="0077772E" w:rsidRDefault="0077772E" w:rsidP="0077772E">
      <w:pPr>
        <w:spacing w:line="360" w:lineRule="auto"/>
        <w:jc w:val="both"/>
        <w:rPr>
          <w:rFonts w:ascii="Arial" w:hAnsi="Arial"/>
          <w:rtl/>
        </w:rPr>
      </w:pPr>
    </w:p>
    <w:p w14:paraId="4CCD2D09" w14:textId="77777777" w:rsidR="0077772E" w:rsidRDefault="0077772E" w:rsidP="0077772E">
      <w:pPr>
        <w:spacing w:line="360" w:lineRule="auto"/>
        <w:jc w:val="both"/>
        <w:rPr>
          <w:rFonts w:ascii="Arial" w:hAnsi="Arial"/>
          <w:b/>
          <w:bCs/>
          <w:sz w:val="26"/>
          <w:szCs w:val="26"/>
          <w:u w:val="single"/>
          <w:rtl/>
        </w:rPr>
      </w:pPr>
      <w:r>
        <w:rPr>
          <w:rFonts w:ascii="Arial" w:hAnsi="Arial"/>
          <w:rtl/>
        </w:rPr>
        <w:t xml:space="preserve"> </w:t>
      </w:r>
      <w:r>
        <w:rPr>
          <w:rFonts w:ascii="Arial" w:hAnsi="Arial"/>
          <w:b/>
          <w:bCs/>
          <w:sz w:val="26"/>
          <w:szCs w:val="26"/>
          <w:u w:val="single"/>
          <w:rtl/>
        </w:rPr>
        <w:t xml:space="preserve">ראיות לעונש וטיעוני הצדדים </w:t>
      </w:r>
    </w:p>
    <w:p w14:paraId="7645934C" w14:textId="77777777" w:rsidR="0077772E" w:rsidRDefault="0077772E" w:rsidP="0077772E">
      <w:pPr>
        <w:spacing w:line="360" w:lineRule="auto"/>
        <w:jc w:val="both"/>
        <w:rPr>
          <w:noProof/>
        </w:rPr>
      </w:pPr>
      <w:r>
        <w:rPr>
          <w:b/>
          <w:bCs/>
          <w:rtl/>
        </w:rPr>
        <w:t>2.</w:t>
      </w:r>
      <w:r>
        <w:rPr>
          <w:b/>
          <w:bCs/>
          <w:rtl/>
        </w:rPr>
        <w:tab/>
      </w:r>
      <w:r>
        <w:rPr>
          <w:rtl/>
        </w:rPr>
        <w:t>התובעת,</w:t>
      </w:r>
      <w:r>
        <w:rPr>
          <w:b/>
          <w:bCs/>
          <w:rtl/>
        </w:rPr>
        <w:t xml:space="preserve"> עו"ד שחר אלוש,</w:t>
      </w:r>
      <w:r>
        <w:rPr>
          <w:rtl/>
        </w:rPr>
        <w:t xml:space="preserve"> הגישה את רישומו הפלילי של הנאשם. בטיעוניה לעונש בכתב ועל פה, חידדה כי בכל הנוגע לעבירות הנשק, הוראת החיקוק - </w:t>
      </w:r>
      <w:hyperlink r:id="rId25" w:history="1">
        <w:r w:rsidR="00EB22A4" w:rsidRPr="00EB22A4">
          <w:rPr>
            <w:color w:val="0000FF"/>
            <w:u w:val="single"/>
            <w:rtl/>
          </w:rPr>
          <w:t>סעיף 144</w:t>
        </w:r>
      </w:hyperlink>
      <w:r>
        <w:rPr>
          <w:rtl/>
        </w:rPr>
        <w:t xml:space="preserve"> א </w:t>
      </w:r>
      <w:r>
        <w:rPr>
          <w:b/>
          <w:bCs/>
          <w:rtl/>
        </w:rPr>
        <w:t>רישא</w:t>
      </w:r>
      <w:r>
        <w:rPr>
          <w:rtl/>
        </w:rPr>
        <w:t xml:space="preserve">, על פיה הורשע הנאשם מייחסת לו החזקת מטען החבלה המאולתר, ואילו הוראת החיקוק - </w:t>
      </w:r>
      <w:hyperlink r:id="rId26" w:history="1">
        <w:r w:rsidR="00EB22A4" w:rsidRPr="00EB22A4">
          <w:rPr>
            <w:color w:val="0000FF"/>
            <w:u w:val="single"/>
            <w:rtl/>
          </w:rPr>
          <w:t>סעיף 144א</w:t>
        </w:r>
      </w:hyperlink>
      <w:r>
        <w:rPr>
          <w:rtl/>
        </w:rPr>
        <w:t xml:space="preserve"> </w:t>
      </w:r>
      <w:r>
        <w:rPr>
          <w:b/>
          <w:bCs/>
          <w:rtl/>
        </w:rPr>
        <w:t>סיפא</w:t>
      </w:r>
      <w:r>
        <w:rPr>
          <w:rtl/>
        </w:rPr>
        <w:t xml:space="preserve"> מייחסת לו החזקת חלקי אקדח מסוג "סטאר" תקול ,שאינו יורה, אך בכוח להמית ומחסנית תואמת.</w:t>
      </w:r>
    </w:p>
    <w:p w14:paraId="6630D36D" w14:textId="77777777" w:rsidR="0077772E" w:rsidRDefault="0077772E" w:rsidP="0077772E">
      <w:pPr>
        <w:spacing w:line="360" w:lineRule="auto"/>
        <w:ind w:left="-2"/>
        <w:contextualSpacing/>
        <w:jc w:val="both"/>
        <w:rPr>
          <w:rFonts w:ascii="David" w:hAnsi="David"/>
          <w:rtl/>
        </w:rPr>
      </w:pPr>
      <w:r>
        <w:rPr>
          <w:rtl/>
        </w:rPr>
        <w:t>המדינה טענה לקביעת מתחם עונש אחד לכלל העבירות, כך שינוע בין 45  ל-66 חודשי מאסר בפועל</w:t>
      </w:r>
      <w:r>
        <w:rPr>
          <w:rFonts w:hint="cs"/>
          <w:rtl/>
        </w:rPr>
        <w:t xml:space="preserve"> ואת עונשו של הנאשם, על פי הסדר הטיעון, עתרה לקבוע על 45 חודשי מאסר בפועל</w:t>
      </w:r>
      <w:r>
        <w:rPr>
          <w:rtl/>
        </w:rPr>
        <w:t xml:space="preserve">. בטיעוניה למתחם העונש ההולם טענה לפגיעה חמורה ביותר בערכים המוגנים שנועדו להגן על ביטחון הציבור ושלמות גופו וחייו של האדם. אשר למטען </w:t>
      </w:r>
      <w:r>
        <w:rPr>
          <w:rFonts w:ascii="David" w:hAnsi="David"/>
          <w:rtl/>
        </w:rPr>
        <w:t>החבלה המאולתר, הדגישה בכך שהינו נשק התקפי קטלני שהוחזק ביתו  של הנאשם תוך שיצר סיכון גבוה לפגיעה באחרים, לרבות שכנים הגרים סמוך לביתו (הפנתה ל</w:t>
      </w:r>
      <w:hyperlink r:id="rId27" w:history="1">
        <w:r w:rsidR="00676E55" w:rsidRPr="00676E55">
          <w:rPr>
            <w:rFonts w:ascii="David" w:hAnsi="David"/>
            <w:color w:val="0000FF"/>
            <w:u w:val="single"/>
            <w:rtl/>
          </w:rPr>
          <w:t>ע"פ 8017/20</w:t>
        </w:r>
      </w:hyperlink>
      <w:r>
        <w:rPr>
          <w:rFonts w:ascii="David" w:hAnsi="David"/>
          <w:rtl/>
        </w:rPr>
        <w:t xml:space="preserve"> </w:t>
      </w:r>
      <w:r>
        <w:rPr>
          <w:rFonts w:ascii="David" w:hAnsi="David"/>
          <w:b/>
          <w:bCs/>
          <w:rtl/>
        </w:rPr>
        <w:t>מדינת ישראל נ' פאדי</w:t>
      </w:r>
      <w:r>
        <w:rPr>
          <w:rFonts w:ascii="David" w:hAnsi="David"/>
          <w:rtl/>
        </w:rPr>
        <w:t xml:space="preserve"> (22.01.20). </w:t>
      </w:r>
    </w:p>
    <w:p w14:paraId="7A2BF082" w14:textId="77777777" w:rsidR="0077772E" w:rsidRDefault="0077772E" w:rsidP="0077772E">
      <w:pPr>
        <w:spacing w:line="360" w:lineRule="auto"/>
        <w:ind w:left="-2"/>
        <w:contextualSpacing/>
        <w:jc w:val="both"/>
        <w:rPr>
          <w:rFonts w:ascii="David" w:hAnsi="David"/>
          <w:rtl/>
        </w:rPr>
      </w:pPr>
    </w:p>
    <w:p w14:paraId="02B6AB5C" w14:textId="77777777" w:rsidR="0077772E" w:rsidRDefault="0077772E" w:rsidP="0077772E">
      <w:pPr>
        <w:spacing w:line="360" w:lineRule="auto"/>
        <w:ind w:left="-2"/>
        <w:contextualSpacing/>
        <w:jc w:val="both"/>
        <w:rPr>
          <w:rFonts w:ascii="David" w:hAnsi="David"/>
          <w:rtl/>
        </w:rPr>
      </w:pPr>
      <w:r>
        <w:rPr>
          <w:rFonts w:ascii="David" w:hAnsi="David"/>
          <w:rtl/>
        </w:rPr>
        <w:t xml:space="preserve">המדינה טענה כי עבירות הנשק הפכו זה מכבר למכת מדינה, הפנתה להנחיית פרקליט המדינה 9.16 ללמד על החומרה במדיניות הענישה בעבירות נשק, והדגישה בעובדה כי הנאשם החזיק בחלקי אקדח שהיה תקול אם כי ביכולתו להמית ולצדו מחסנית תואמת. זאת, בנוסף לאותו מטען חבלה מאולתר. </w:t>
      </w:r>
    </w:p>
    <w:p w14:paraId="34D88CEA" w14:textId="77777777" w:rsidR="0077772E" w:rsidRDefault="0077772E" w:rsidP="0077772E">
      <w:pPr>
        <w:spacing w:line="360" w:lineRule="auto"/>
        <w:ind w:left="-2"/>
        <w:contextualSpacing/>
        <w:jc w:val="both"/>
        <w:rPr>
          <w:rFonts w:ascii="David" w:hAnsi="David"/>
          <w:rtl/>
        </w:rPr>
      </w:pPr>
      <w:r>
        <w:rPr>
          <w:rtl/>
        </w:rPr>
        <w:t>בטיעוניה לעבירת הסמים, טענה ל</w:t>
      </w:r>
      <w:r>
        <w:rPr>
          <w:rFonts w:ascii="David" w:hAnsi="David"/>
          <w:rtl/>
        </w:rPr>
        <w:t xml:space="preserve">פוטנציאל הנזק הישיר לצרכני הסמים, ולנזקים נלווים לעבירות אלו, כמו, ביצוע עבירות רכוש ואלימות על ידי הצרכנים לשם השגת המימון לרכישתם. בהקשר זה הדגישה בעובדה כי מדובר בסוגי סם שונים, בכמות לא מבוטלת, ולצדם כלים לחלוקת הסם ( משקל אלקטרוני ושקיות חלוקה) המצביעים על כוונה להפצה וסחר. </w:t>
      </w:r>
    </w:p>
    <w:p w14:paraId="72A2B217" w14:textId="77777777" w:rsidR="0077772E" w:rsidRDefault="0077772E" w:rsidP="0077772E">
      <w:pPr>
        <w:spacing w:line="360" w:lineRule="auto"/>
        <w:ind w:left="-2"/>
        <w:contextualSpacing/>
        <w:jc w:val="both"/>
        <w:rPr>
          <w:rFonts w:ascii="David" w:hAnsi="David"/>
          <w:rtl/>
        </w:rPr>
      </w:pPr>
    </w:p>
    <w:p w14:paraId="66971F54" w14:textId="77777777" w:rsidR="0077772E" w:rsidRDefault="0077772E" w:rsidP="0077772E">
      <w:pPr>
        <w:spacing w:line="360" w:lineRule="auto"/>
        <w:jc w:val="both"/>
        <w:rPr>
          <w:rFonts w:ascii="David" w:hAnsi="David"/>
          <w:b/>
          <w:bCs/>
          <w:noProof/>
          <w:color w:val="FF0000"/>
          <w:rtl/>
        </w:rPr>
      </w:pPr>
      <w:r>
        <w:rPr>
          <w:rFonts w:ascii="David" w:hAnsi="David"/>
          <w:rtl/>
        </w:rPr>
        <w:t xml:space="preserve">אשר לעונשו של הנאשם, לצד האחריות שלקח על מעשיו והודאתו והשלכותיה על ניהול ההליך נגדו, טענה המדינה להכרח בהרתעת הרבים נוכח נפיצות העבירות, ולא פחות מכך, להרתעת הנאשם, בין היתר, נוכח עברו הפלילי בעבירות רכוש ואלימות, לרבות כלפי שוטרים, בגינם נגזרו עליו עונשי מאסר בפועל, ולרבות מאסר על תנאי בעבירות אלימות שתלוי ועומד נגדו.  בסופם של דברים, עתרה לגזור עונשו </w:t>
      </w:r>
      <w:r>
        <w:rPr>
          <w:rFonts w:ascii="David" w:hAnsi="David"/>
          <w:b/>
          <w:bCs/>
          <w:rtl/>
        </w:rPr>
        <w:t>בחלקו התחתון של המתחם לצד ענישה נלוות.</w:t>
      </w:r>
    </w:p>
    <w:p w14:paraId="4E99C6D6" w14:textId="77777777" w:rsidR="0077772E" w:rsidRDefault="0077772E" w:rsidP="0077772E">
      <w:pPr>
        <w:spacing w:line="360" w:lineRule="auto"/>
        <w:jc w:val="both"/>
        <w:rPr>
          <w:rFonts w:ascii="David" w:hAnsi="David"/>
          <w:rtl/>
        </w:rPr>
      </w:pPr>
    </w:p>
    <w:p w14:paraId="7C6DDA1A" w14:textId="77777777" w:rsidR="0077772E" w:rsidRDefault="0077772E" w:rsidP="0077772E">
      <w:pPr>
        <w:spacing w:line="360" w:lineRule="auto"/>
        <w:jc w:val="both"/>
        <w:rPr>
          <w:rFonts w:ascii="David" w:hAnsi="David"/>
          <w:rtl/>
        </w:rPr>
      </w:pPr>
      <w:r>
        <w:rPr>
          <w:rFonts w:ascii="David" w:hAnsi="David"/>
          <w:b/>
          <w:bCs/>
          <w:rtl/>
        </w:rPr>
        <w:t>3.</w:t>
      </w:r>
      <w:r>
        <w:rPr>
          <w:rFonts w:ascii="David" w:hAnsi="David"/>
          <w:b/>
          <w:bCs/>
          <w:rtl/>
        </w:rPr>
        <w:tab/>
        <w:t xml:space="preserve">ב"כ הנאשם, עו"ד אפרת צרפתי, </w:t>
      </w:r>
      <w:r>
        <w:rPr>
          <w:rFonts w:ascii="David" w:hAnsi="David"/>
          <w:rtl/>
        </w:rPr>
        <w:t>הגישה תעודה על  קורס תקשורת מעצימה במשפחה בו השתתף הנאשם במהלך תקופת מעצרו (</w:t>
      </w:r>
      <w:r>
        <w:rPr>
          <w:rFonts w:ascii="David" w:hAnsi="David"/>
          <w:bCs/>
          <w:rtl/>
        </w:rPr>
        <w:t>נ/1</w:t>
      </w:r>
      <w:r>
        <w:rPr>
          <w:rFonts w:ascii="David" w:hAnsi="David"/>
          <w:rtl/>
        </w:rPr>
        <w:t>).</w:t>
      </w:r>
    </w:p>
    <w:p w14:paraId="1D5519E6" w14:textId="77777777" w:rsidR="0077772E" w:rsidRDefault="0077772E" w:rsidP="0077772E">
      <w:pPr>
        <w:spacing w:line="360" w:lineRule="auto"/>
        <w:jc w:val="both"/>
        <w:rPr>
          <w:rtl/>
        </w:rPr>
      </w:pPr>
      <w:r>
        <w:rPr>
          <w:rtl/>
        </w:rPr>
        <w:lastRenderedPageBreak/>
        <w:t xml:space="preserve">ב"כ הנאשם טענה כי מתחם העונש לו טענה המאשימה אינו הולם את מעשי הנאשם, ולמעשה מחמיר עמו יתר על המידה. </w:t>
      </w:r>
    </w:p>
    <w:p w14:paraId="64CF492B" w14:textId="77777777" w:rsidR="0077772E" w:rsidRDefault="0077772E" w:rsidP="0077772E">
      <w:pPr>
        <w:spacing w:line="360" w:lineRule="auto"/>
        <w:jc w:val="both"/>
        <w:rPr>
          <w:rtl/>
        </w:rPr>
      </w:pPr>
      <w:r>
        <w:rPr>
          <w:rtl/>
        </w:rPr>
        <w:t>בכל הנוגע לאקדח, הדגישה כי מדובר באקדח לא תקין ולמעשה בחלקי נשק, והפנתה ל</w:t>
      </w:r>
      <w:hyperlink r:id="rId28" w:history="1">
        <w:r w:rsidR="00676E55" w:rsidRPr="00676E55">
          <w:rPr>
            <w:color w:val="0000FF"/>
            <w:u w:val="single"/>
            <w:rtl/>
          </w:rPr>
          <w:t>ת"פ 4658-05-21</w:t>
        </w:r>
      </w:hyperlink>
      <w:r>
        <w:rPr>
          <w:rtl/>
        </w:rPr>
        <w:t xml:space="preserve"> </w:t>
      </w:r>
      <w:r>
        <w:rPr>
          <w:b/>
          <w:bCs/>
          <w:rtl/>
        </w:rPr>
        <w:t>מדינת ישראל נגד אבו רקייק</w:t>
      </w:r>
      <w:r>
        <w:rPr>
          <w:rtl/>
        </w:rPr>
        <w:t xml:space="preserve">, שם קבע מותב זה מתחם עונש הנע בין מאסר על תנאי  ל- 6 חודשי מאסר בפועל. </w:t>
      </w:r>
    </w:p>
    <w:p w14:paraId="7F36F4CC" w14:textId="77777777" w:rsidR="0077772E" w:rsidRDefault="0077772E" w:rsidP="0077772E">
      <w:pPr>
        <w:spacing w:line="360" w:lineRule="auto"/>
        <w:jc w:val="both"/>
        <w:rPr>
          <w:rtl/>
        </w:rPr>
      </w:pPr>
      <w:r>
        <w:rPr>
          <w:rtl/>
        </w:rPr>
        <w:t xml:space="preserve">אשר למטען החבלה, טענה לקיומה של חוות דעת בעניין "מדברת בעד עצמה" אם כי לא מצאה לנכון להגישה כראיה. </w:t>
      </w:r>
    </w:p>
    <w:p w14:paraId="7A5A31D0" w14:textId="77777777" w:rsidR="0077772E" w:rsidRDefault="0077772E" w:rsidP="0077772E">
      <w:pPr>
        <w:spacing w:line="360" w:lineRule="auto"/>
        <w:jc w:val="both"/>
        <w:rPr>
          <w:rtl/>
        </w:rPr>
      </w:pPr>
      <w:r>
        <w:rPr>
          <w:rtl/>
        </w:rPr>
        <w:t xml:space="preserve">עוד נטען כי כתב האישום חסר פרטים ביחס לכמות/משקל החומר הנפיץ במטען המאולתר, לרבות מערכת הפעלה, ומשכך, לא היה זמין להפעלה ולא היווה סכנה ממשית הגם שהוחזק בביתו של הנאשם. לדידה של ב"כ הנאשם, גם העדר ידיעה באשר לתקופת החזקת הנאשם את הנשק וחלקי הנשק  ביחידת הדיור, מהווה נסיבה מקלה במכלול השיקולים בקביעת מתחם העונש. </w:t>
      </w:r>
    </w:p>
    <w:p w14:paraId="7135F491" w14:textId="77777777" w:rsidR="0077772E" w:rsidRDefault="0077772E" w:rsidP="0077772E">
      <w:pPr>
        <w:spacing w:line="360" w:lineRule="auto"/>
        <w:jc w:val="both"/>
        <w:rPr>
          <w:highlight w:val="cyan"/>
          <w:rtl/>
        </w:rPr>
      </w:pPr>
      <w:r>
        <w:rPr>
          <w:rtl/>
        </w:rPr>
        <w:t xml:space="preserve">בהתייחסה לעבירות הסמים, טענה כי אין מדובר בסמים מהמסוכנים שבפקודת הסמים, וכי הכמויות אינן גבוהות וכי אילו היה מוגש כתב אישום נפרד בעבירת הסמים, כי אז היה מתחם העונש נקבע, לכל היותר, בין 8 – 10 חודשי מאסר בפועל. </w:t>
      </w:r>
    </w:p>
    <w:p w14:paraId="3DF45031" w14:textId="77777777" w:rsidR="0077772E" w:rsidRDefault="0077772E" w:rsidP="0077772E">
      <w:pPr>
        <w:spacing w:line="360" w:lineRule="auto"/>
        <w:jc w:val="both"/>
        <w:rPr>
          <w:highlight w:val="cyan"/>
          <w:rtl/>
        </w:rPr>
      </w:pPr>
    </w:p>
    <w:p w14:paraId="60B548D5" w14:textId="77777777" w:rsidR="0077772E" w:rsidRDefault="0077772E" w:rsidP="0077772E">
      <w:pPr>
        <w:spacing w:line="360" w:lineRule="auto"/>
        <w:jc w:val="both"/>
        <w:rPr>
          <w:color w:val="000000"/>
          <w:shd w:val="clear" w:color="auto" w:fill="FFFFFF"/>
          <w:rtl/>
        </w:rPr>
      </w:pPr>
      <w:r>
        <w:rPr>
          <w:rtl/>
        </w:rPr>
        <w:t xml:space="preserve">ב"כ הנאשם לא טענה למתחם עונש אם כי הפנתה למקרים בפסיקה אשר לדידה יכולים להוות  אמת מידה לעונשו של הנאשם. בין היתר, הפנתה </w:t>
      </w:r>
      <w:r>
        <w:rPr>
          <w:rFonts w:ascii="David" w:hAnsi="David"/>
          <w:rtl/>
        </w:rPr>
        <w:t>ל</w:t>
      </w:r>
      <w:hyperlink r:id="rId29" w:history="1">
        <w:r w:rsidR="00676E55" w:rsidRPr="00676E55">
          <w:rPr>
            <w:rFonts w:ascii="David" w:hAnsi="David"/>
            <w:color w:val="0000FF"/>
            <w:u w:val="single"/>
            <w:rtl/>
          </w:rPr>
          <w:t>ת"פ (שלום ב"ש) 4658-05-21</w:t>
        </w:r>
      </w:hyperlink>
      <w:r>
        <w:rPr>
          <w:rtl/>
        </w:rPr>
        <w:t xml:space="preserve"> </w:t>
      </w:r>
      <w:r>
        <w:rPr>
          <w:b/>
          <w:bCs/>
          <w:rtl/>
        </w:rPr>
        <w:t>מדינת ישראל נ' אבו רקיק</w:t>
      </w:r>
      <w:r>
        <w:rPr>
          <w:rtl/>
        </w:rPr>
        <w:t xml:space="preserve"> (13.12.22, שם נקבע הולם בין </w:t>
      </w:r>
      <w:r>
        <w:rPr>
          <w:b/>
          <w:bCs/>
          <w:rtl/>
        </w:rPr>
        <w:t>מאסר על תנאי ל-6 חודשי מאסר שיוכלו וירוצו בעבודות</w:t>
      </w:r>
      <w:r>
        <w:rPr>
          <w:rtl/>
        </w:rPr>
        <w:t xml:space="preserve"> שירות; ל</w:t>
      </w:r>
      <w:hyperlink r:id="rId30" w:history="1">
        <w:r w:rsidR="00676E55" w:rsidRPr="00676E55">
          <w:rPr>
            <w:color w:val="0000FF"/>
            <w:u w:val="single"/>
            <w:rtl/>
          </w:rPr>
          <w:t>ת"פ (מחוזי חיפה) 12158-04-23</w:t>
        </w:r>
      </w:hyperlink>
      <w:r>
        <w:rPr>
          <w:rtl/>
        </w:rPr>
        <w:t xml:space="preserve"> </w:t>
      </w:r>
      <w:r>
        <w:rPr>
          <w:b/>
          <w:bCs/>
          <w:rtl/>
        </w:rPr>
        <w:t>מדינת ישראל נ' אליאב אסולין</w:t>
      </w:r>
      <w:r>
        <w:rPr>
          <w:rtl/>
        </w:rPr>
        <w:t xml:space="preserve"> (30.01.24); </w:t>
      </w:r>
      <w:r>
        <w:rPr>
          <w:rFonts w:ascii="David" w:hAnsi="David"/>
          <w:color w:val="000000"/>
          <w:shd w:val="clear" w:color="auto" w:fill="FFFFFF"/>
          <w:rtl/>
        </w:rPr>
        <w:t>ל</w:t>
      </w:r>
      <w:hyperlink r:id="rId31" w:history="1">
        <w:r w:rsidR="00676E55" w:rsidRPr="00676E55">
          <w:rPr>
            <w:rFonts w:ascii="David" w:hAnsi="David"/>
            <w:color w:val="0000FF"/>
            <w:u w:val="single"/>
            <w:shd w:val="clear" w:color="auto" w:fill="FFFFFF"/>
            <w:rtl/>
          </w:rPr>
          <w:t>ת"פ (שלום י-ם) 45130-06-20</w:t>
        </w:r>
      </w:hyperlink>
      <w:r>
        <w:rPr>
          <w:rFonts w:ascii="David" w:hAnsi="David"/>
          <w:color w:val="000000"/>
          <w:shd w:val="clear" w:color="auto" w:fill="FFFFFF"/>
          <w:rtl/>
        </w:rPr>
        <w:t xml:space="preserve"> מדינת </w:t>
      </w:r>
      <w:r>
        <w:rPr>
          <w:rFonts w:ascii="David" w:hAnsi="David"/>
          <w:b/>
          <w:bCs/>
          <w:color w:val="000000"/>
          <w:shd w:val="clear" w:color="auto" w:fill="FFFFFF"/>
          <w:rtl/>
        </w:rPr>
        <w:t>ישראל נ' עבאסי</w:t>
      </w:r>
      <w:r>
        <w:rPr>
          <w:rFonts w:ascii="David" w:hAnsi="David"/>
          <w:color w:val="000000"/>
          <w:shd w:val="clear" w:color="auto" w:fill="FFFFFF"/>
          <w:rtl/>
        </w:rPr>
        <w:t xml:space="preserve"> (23.11.20); </w:t>
      </w:r>
    </w:p>
    <w:p w14:paraId="25B7F5D6" w14:textId="77777777" w:rsidR="0077772E" w:rsidRDefault="0077772E" w:rsidP="0077772E">
      <w:pPr>
        <w:spacing w:line="360" w:lineRule="auto"/>
        <w:jc w:val="both"/>
        <w:rPr>
          <w:color w:val="000000"/>
          <w:shd w:val="clear" w:color="auto" w:fill="FFFFFF"/>
          <w:rtl/>
        </w:rPr>
      </w:pPr>
    </w:p>
    <w:p w14:paraId="1D5EE025" w14:textId="77777777" w:rsidR="0077772E" w:rsidRDefault="0077772E" w:rsidP="0077772E">
      <w:pPr>
        <w:spacing w:line="360" w:lineRule="auto"/>
        <w:jc w:val="both"/>
      </w:pPr>
      <w:r>
        <w:rPr>
          <w:b/>
          <w:bCs/>
          <w:rtl/>
        </w:rPr>
        <w:t>אשר לעונשו של  הנאשם</w:t>
      </w:r>
      <w:r>
        <w:rPr>
          <w:rtl/>
        </w:rPr>
        <w:t xml:space="preserve">, ציינה בגילו הצעיר, באחריות שלקח על מעשיו והודאתו שחסכה זמן שיפוטי יקר. נטען כי מדובר במי שסיים חוק לימודיו ובעל תעודת בגרות מלאה, שהגם שלחובתו 2 הרשעות קודמות בעבירות אלימות, כיום עושה מאמצים לשנות אורחות חייו, ואף השתתף בקורס תקשורת מעצימה במסגרת מעצרו. </w:t>
      </w:r>
    </w:p>
    <w:p w14:paraId="5BC9B744" w14:textId="77777777" w:rsidR="0077772E" w:rsidRDefault="0077772E" w:rsidP="0077772E">
      <w:pPr>
        <w:spacing w:line="360" w:lineRule="auto"/>
        <w:jc w:val="both"/>
        <w:rPr>
          <w:rtl/>
        </w:rPr>
      </w:pPr>
    </w:p>
    <w:p w14:paraId="6488A503" w14:textId="77777777" w:rsidR="0077772E" w:rsidRDefault="0077772E" w:rsidP="0077772E">
      <w:pPr>
        <w:spacing w:line="360" w:lineRule="auto"/>
        <w:jc w:val="both"/>
        <w:rPr>
          <w:rtl/>
        </w:rPr>
      </w:pPr>
      <w:r>
        <w:rPr>
          <w:rtl/>
        </w:rPr>
        <w:t>בסופם של דברים, ולאחר שציינה כי הנאשם נתון במעצר תקופה ממושכת לראשונה בחייו, עתרה לגזור עונשו ל 24 חודשי מאסר בפועל; להימנע מהשתת קנס אשר ככל שיושת עליו הוריו ידרשו לשלמו;</w:t>
      </w:r>
      <w:r>
        <w:rPr>
          <w:rFonts w:hint="cs"/>
          <w:rtl/>
        </w:rPr>
        <w:t xml:space="preserve"> </w:t>
      </w:r>
      <w:r>
        <w:rPr>
          <w:rtl/>
        </w:rPr>
        <w:t xml:space="preserve">להימנע  מפסילתו לנהיגה בהינתן שלביצוע העבירות לא נלוותה נהיגה ברכב, ועל מנת לאפשר חזרתו במהרה למעגל העבודה לאחר שחרורו ממאסר. </w:t>
      </w:r>
    </w:p>
    <w:p w14:paraId="692F40D9" w14:textId="77777777" w:rsidR="0077772E" w:rsidRDefault="0077772E" w:rsidP="0077772E">
      <w:pPr>
        <w:spacing w:line="360" w:lineRule="auto"/>
        <w:jc w:val="both"/>
        <w:rPr>
          <w:color w:val="000000"/>
          <w:shd w:val="clear" w:color="auto" w:fill="FFFFFF"/>
          <w:rtl/>
        </w:rPr>
      </w:pPr>
      <w:r>
        <w:rPr>
          <w:b/>
          <w:bCs/>
          <w:color w:val="000000"/>
          <w:shd w:val="clear" w:color="auto" w:fill="FFFFFF"/>
          <w:rtl/>
        </w:rPr>
        <w:t>הנאשם</w:t>
      </w:r>
      <w:r>
        <w:rPr>
          <w:color w:val="000000"/>
          <w:shd w:val="clear" w:color="auto" w:fill="FFFFFF"/>
          <w:rtl/>
        </w:rPr>
        <w:t xml:space="preserve"> </w:t>
      </w:r>
      <w:r>
        <w:rPr>
          <w:b/>
          <w:bCs/>
          <w:color w:val="000000"/>
          <w:shd w:val="clear" w:color="auto" w:fill="FFFFFF"/>
          <w:rtl/>
        </w:rPr>
        <w:t>בדבריו</w:t>
      </w:r>
      <w:r>
        <w:rPr>
          <w:color w:val="000000"/>
          <w:shd w:val="clear" w:color="auto" w:fill="FFFFFF"/>
          <w:rtl/>
        </w:rPr>
        <w:t xml:space="preserve">,  הביע חרטה על מעשיו, בקש שלא להחמיר עמו וקיווה לחזרתו לחיים נורמטיביים. </w:t>
      </w:r>
    </w:p>
    <w:p w14:paraId="54D7C017" w14:textId="77777777" w:rsidR="0077772E" w:rsidRDefault="0077772E" w:rsidP="0077772E">
      <w:pPr>
        <w:spacing w:line="360" w:lineRule="auto"/>
        <w:jc w:val="center"/>
        <w:rPr>
          <w:rFonts w:ascii="David" w:hAnsi="David"/>
          <w:b/>
          <w:bCs/>
          <w:color w:val="000000"/>
          <w:sz w:val="28"/>
          <w:szCs w:val="28"/>
          <w:u w:val="single"/>
          <w:shd w:val="clear" w:color="auto" w:fill="FFFFFF"/>
          <w:rtl/>
        </w:rPr>
      </w:pPr>
    </w:p>
    <w:p w14:paraId="73F10479" w14:textId="77777777" w:rsidR="0077772E" w:rsidRDefault="0077772E" w:rsidP="0077772E">
      <w:pPr>
        <w:spacing w:line="360" w:lineRule="auto"/>
        <w:jc w:val="center"/>
        <w:rPr>
          <w:rFonts w:ascii="David" w:hAnsi="David"/>
          <w:b/>
          <w:bCs/>
          <w:color w:val="000000"/>
          <w:sz w:val="28"/>
          <w:szCs w:val="28"/>
          <w:u w:val="single"/>
          <w:shd w:val="clear" w:color="auto" w:fill="FFFFFF"/>
          <w:rtl/>
        </w:rPr>
      </w:pPr>
    </w:p>
    <w:p w14:paraId="00459929" w14:textId="77777777" w:rsidR="0077772E" w:rsidRDefault="0077772E" w:rsidP="0077772E">
      <w:pPr>
        <w:spacing w:line="360" w:lineRule="auto"/>
        <w:jc w:val="center"/>
        <w:rPr>
          <w:rFonts w:ascii="David" w:hAnsi="David"/>
          <w:b/>
          <w:bCs/>
          <w:color w:val="000000"/>
          <w:sz w:val="28"/>
          <w:szCs w:val="28"/>
          <w:u w:val="single"/>
          <w:shd w:val="clear" w:color="auto" w:fill="FFFFFF"/>
          <w:rtl/>
        </w:rPr>
      </w:pPr>
      <w:r>
        <w:rPr>
          <w:rFonts w:ascii="David" w:hAnsi="David"/>
          <w:b/>
          <w:bCs/>
          <w:color w:val="000000"/>
          <w:sz w:val="28"/>
          <w:szCs w:val="28"/>
          <w:u w:val="single"/>
          <w:shd w:val="clear" w:color="auto" w:fill="FFFFFF"/>
          <w:rtl/>
        </w:rPr>
        <w:t>דיון והכרעה</w:t>
      </w:r>
    </w:p>
    <w:p w14:paraId="09116F79" w14:textId="77777777" w:rsidR="0077772E" w:rsidRDefault="0077772E" w:rsidP="0077772E">
      <w:pPr>
        <w:spacing w:line="360" w:lineRule="auto"/>
        <w:jc w:val="both"/>
        <w:rPr>
          <w:rFonts w:ascii="David" w:hAnsi="David"/>
          <w:b/>
          <w:bCs/>
          <w:color w:val="000000"/>
          <w:sz w:val="26"/>
          <w:szCs w:val="26"/>
          <w:u w:val="single"/>
          <w:shd w:val="clear" w:color="auto" w:fill="FFFFFF"/>
          <w:rtl/>
        </w:rPr>
      </w:pPr>
      <w:r>
        <w:rPr>
          <w:rFonts w:ascii="David" w:hAnsi="David"/>
          <w:b/>
          <w:bCs/>
          <w:color w:val="000000"/>
          <w:sz w:val="26"/>
          <w:szCs w:val="26"/>
          <w:u w:val="single"/>
          <w:shd w:val="clear" w:color="auto" w:fill="FFFFFF"/>
          <w:rtl/>
        </w:rPr>
        <w:t xml:space="preserve">מתחם העונש ההולם  </w:t>
      </w:r>
    </w:p>
    <w:p w14:paraId="7CEE238F" w14:textId="77777777" w:rsidR="0077772E" w:rsidRDefault="0077772E" w:rsidP="0077772E">
      <w:pPr>
        <w:spacing w:line="360" w:lineRule="auto"/>
        <w:jc w:val="both"/>
        <w:rPr>
          <w:rFonts w:ascii="David" w:hAnsi="David"/>
          <w:b/>
          <w:bCs/>
          <w:color w:val="000000"/>
          <w:u w:val="single"/>
          <w:shd w:val="clear" w:color="auto" w:fill="FFFFFF"/>
          <w:rtl/>
        </w:rPr>
      </w:pPr>
      <w:r>
        <w:rPr>
          <w:rFonts w:ascii="David" w:hAnsi="David"/>
          <w:color w:val="000000"/>
          <w:shd w:val="clear" w:color="auto" w:fill="FFFFFF"/>
          <w:rtl/>
        </w:rPr>
        <w:t>קביעת מתחם העונש ההולם למעשי העבירות תעשה בהתאם לעקרון ההלימה, אשר בגדרו יש להתחשב בערך החברתי שנפגע, מידת הפגיעה בו, מדיניות הענישה הנוהגת ובנסיבות הקשורות בביצוע העבירה.</w:t>
      </w:r>
    </w:p>
    <w:p w14:paraId="56D732C7" w14:textId="77777777" w:rsidR="0077772E" w:rsidRDefault="0077772E" w:rsidP="0077772E">
      <w:pPr>
        <w:spacing w:line="360" w:lineRule="auto"/>
        <w:jc w:val="both"/>
        <w:rPr>
          <w:rFonts w:ascii="David" w:hAnsi="David"/>
          <w:b/>
          <w:bCs/>
          <w:color w:val="000000"/>
          <w:u w:val="single"/>
          <w:shd w:val="clear" w:color="auto" w:fill="FFFFFF"/>
          <w:rtl/>
        </w:rPr>
      </w:pPr>
    </w:p>
    <w:p w14:paraId="18C3E75E" w14:textId="77777777" w:rsidR="0077772E" w:rsidRDefault="0077772E" w:rsidP="0077772E">
      <w:pPr>
        <w:spacing w:after="160" w:line="360" w:lineRule="auto"/>
        <w:jc w:val="both"/>
        <w:rPr>
          <w:rFonts w:ascii="David" w:hAnsi="David"/>
          <w:color w:val="000000"/>
          <w:shd w:val="clear" w:color="auto" w:fill="FFFFFF"/>
          <w:rtl/>
        </w:rPr>
      </w:pPr>
      <w:r>
        <w:rPr>
          <w:rFonts w:ascii="David" w:hAnsi="David"/>
          <w:color w:val="000000"/>
          <w:shd w:val="clear" w:color="auto" w:fill="FFFFFF"/>
          <w:rtl/>
        </w:rPr>
        <w:t>4.</w:t>
      </w:r>
      <w:r>
        <w:rPr>
          <w:rFonts w:ascii="David" w:hAnsi="David"/>
          <w:color w:val="000000"/>
          <w:shd w:val="clear" w:color="auto" w:fill="FFFFFF"/>
          <w:rtl/>
        </w:rPr>
        <w:tab/>
        <w:t xml:space="preserve">הערכים המוגנים בבסיס האיסור על החזקת נשק הם שמירה על הגוף והחיים, שמירה על הסדר הציבורי והביטחון האישי. </w:t>
      </w:r>
    </w:p>
    <w:p w14:paraId="2E8FCA48" w14:textId="77777777" w:rsidR="0077772E" w:rsidRDefault="0077772E" w:rsidP="0077772E">
      <w:pPr>
        <w:spacing w:after="160" w:line="360" w:lineRule="auto"/>
        <w:jc w:val="both"/>
        <w:rPr>
          <w:rFonts w:ascii="David" w:eastAsia="Calibri" w:hAnsi="David"/>
          <w:color w:val="000000"/>
          <w:shd w:val="clear" w:color="auto" w:fill="FFFFFF"/>
          <w:rtl/>
        </w:rPr>
      </w:pPr>
      <w:r>
        <w:rPr>
          <w:rFonts w:ascii="David" w:eastAsia="Calibri" w:hAnsi="David"/>
          <w:color w:val="000000"/>
          <w:shd w:val="clear" w:color="auto" w:fill="FFFFFF"/>
          <w:rtl/>
        </w:rPr>
        <w:t>ב</w:t>
      </w:r>
      <w:hyperlink r:id="rId32" w:history="1">
        <w:r w:rsidR="00676E55" w:rsidRPr="00676E55">
          <w:rPr>
            <w:rFonts w:ascii="David" w:eastAsia="Calibri" w:hAnsi="David"/>
            <w:color w:val="0000FF"/>
            <w:u w:val="single"/>
            <w:shd w:val="clear" w:color="auto" w:fill="FFFFFF"/>
            <w:rtl/>
          </w:rPr>
          <w:t>ע"פ 4215/18</w:t>
        </w:r>
      </w:hyperlink>
      <w:r>
        <w:rPr>
          <w:rFonts w:ascii="David" w:eastAsia="Calibri" w:hAnsi="David"/>
          <w:color w:val="000000"/>
          <w:shd w:val="clear" w:color="auto" w:fill="FFFFFF"/>
          <w:rtl/>
        </w:rPr>
        <w:t xml:space="preserve"> </w:t>
      </w:r>
      <w:r>
        <w:rPr>
          <w:rFonts w:ascii="David" w:eastAsia="Calibri" w:hAnsi="David"/>
          <w:b/>
          <w:bCs/>
          <w:color w:val="000000"/>
          <w:shd w:val="clear" w:color="auto" w:fill="FFFFFF"/>
          <w:rtl/>
        </w:rPr>
        <w:t>חטיב נ' מדינת ישראל</w:t>
      </w:r>
      <w:r>
        <w:rPr>
          <w:rFonts w:ascii="David" w:eastAsia="Calibri" w:hAnsi="David"/>
          <w:color w:val="000000"/>
          <w:shd w:val="clear" w:color="auto" w:fill="FFFFFF"/>
          <w:rtl/>
        </w:rPr>
        <w:t xml:space="preserve"> (8/7/18), חזר והדגיש בית המשפט העליון בסכנה הפוטנציאלית הגלומה בעבירות נשק, בציינו כי עבירות מסוג זה מחייבות ענישה משמעותית, גם כשמדובר בנאשמים נעדרי עבר פלילי. </w:t>
      </w:r>
    </w:p>
    <w:p w14:paraId="5D4FEA6C"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וב</w:t>
      </w:r>
      <w:hyperlink r:id="rId33" w:history="1">
        <w:r w:rsidR="00676E55" w:rsidRPr="00676E55">
          <w:rPr>
            <w:rFonts w:ascii="David" w:hAnsi="David"/>
            <w:color w:val="0000FF"/>
            <w:u w:val="single"/>
            <w:shd w:val="clear" w:color="auto" w:fill="FFFFFF"/>
            <w:rtl/>
          </w:rPr>
          <w:t>ע"פ 4406/19</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סוחב</w:t>
      </w:r>
      <w:r>
        <w:rPr>
          <w:rFonts w:ascii="David" w:hAnsi="David"/>
          <w:color w:val="000000"/>
          <w:shd w:val="clear" w:color="auto" w:fill="FFFFFF"/>
          <w:rtl/>
        </w:rPr>
        <w:t xml:space="preserve"> (05.11.19) נקבע כי הענישה הקיימת בנוגע לעבירת נשק אינה משקפת נכונה את חומרת התופעה שהפכה ל "מכת מדינה" ועל כן נכון ומוצדק להעלות את רף הענישה. ראו גם ב</w:t>
      </w:r>
      <w:hyperlink r:id="rId34" w:history="1">
        <w:r w:rsidR="00676E55" w:rsidRPr="00676E55">
          <w:rPr>
            <w:rFonts w:ascii="David" w:hAnsi="David"/>
            <w:color w:val="0000FF"/>
            <w:u w:val="single"/>
            <w:shd w:val="clear" w:color="auto" w:fill="FFFFFF"/>
            <w:rtl/>
          </w:rPr>
          <w:t>ע"פ 1729/19</w:t>
        </w:r>
      </w:hyperlink>
      <w:r>
        <w:rPr>
          <w:rFonts w:ascii="David" w:hAnsi="David"/>
          <w:color w:val="000000"/>
          <w:shd w:val="clear" w:color="auto" w:fill="FFFFFF"/>
          <w:rtl/>
        </w:rPr>
        <w:t xml:space="preserve"> </w:t>
      </w:r>
      <w:r>
        <w:rPr>
          <w:rFonts w:ascii="David" w:hAnsi="David"/>
          <w:b/>
          <w:bCs/>
          <w:color w:val="000000"/>
          <w:shd w:val="clear" w:color="auto" w:fill="FFFFFF"/>
          <w:rtl/>
        </w:rPr>
        <w:t xml:space="preserve">עבאהרה נ' מדינת ישראל, </w:t>
      </w:r>
      <w:r>
        <w:rPr>
          <w:rFonts w:ascii="David" w:hAnsi="David"/>
          <w:color w:val="000000"/>
          <w:shd w:val="clear" w:color="auto" w:fill="FFFFFF"/>
          <w:rtl/>
        </w:rPr>
        <w:t>וסקירת פסיקה ב</w:t>
      </w:r>
      <w:hyperlink r:id="rId35" w:history="1">
        <w:r w:rsidR="00676E55" w:rsidRPr="00676E55">
          <w:rPr>
            <w:rFonts w:ascii="David" w:hAnsi="David"/>
            <w:color w:val="0000FF"/>
            <w:u w:val="single"/>
            <w:shd w:val="clear" w:color="auto" w:fill="FFFFFF"/>
            <w:rtl/>
          </w:rPr>
          <w:t>ע"פ 3169/21</w:t>
        </w:r>
      </w:hyperlink>
      <w:r>
        <w:rPr>
          <w:rFonts w:ascii="David" w:hAnsi="David"/>
          <w:b/>
          <w:bCs/>
          <w:color w:val="000000"/>
          <w:shd w:val="clear" w:color="auto" w:fill="FFFFFF"/>
          <w:rtl/>
        </w:rPr>
        <w:t xml:space="preserve"> מדינת ישראל נ' אגבריה </w:t>
      </w:r>
      <w:r>
        <w:rPr>
          <w:rFonts w:ascii="David" w:hAnsi="David"/>
          <w:color w:val="000000"/>
          <w:shd w:val="clear" w:color="auto" w:fill="FFFFFF"/>
          <w:rtl/>
        </w:rPr>
        <w:t>(21.06.23).</w:t>
      </w:r>
    </w:p>
    <w:p w14:paraId="5DE108E6" w14:textId="77777777" w:rsidR="0077772E" w:rsidRDefault="0077772E" w:rsidP="0077772E">
      <w:pPr>
        <w:spacing w:before="240" w:line="360" w:lineRule="auto"/>
        <w:jc w:val="both"/>
        <w:rPr>
          <w:rFonts w:ascii="David" w:hAnsi="David"/>
          <w:color w:val="000000"/>
          <w:shd w:val="clear" w:color="auto" w:fill="FFFFFF"/>
          <w:rtl/>
        </w:rPr>
      </w:pPr>
      <w:r>
        <w:rPr>
          <w:rFonts w:ascii="David" w:hAnsi="David"/>
          <w:color w:val="000000"/>
          <w:shd w:val="clear" w:color="auto" w:fill="FFFFFF"/>
          <w:rtl/>
        </w:rPr>
        <w:t>נוכח התפשטות התופעה והשלכותיה הקשות על הסדר והביטחון הציבורי נדרשה התערבות המחוקק בהוראת השעה שבתיקון 140 ב</w:t>
      </w:r>
      <w:hyperlink r:id="rId36" w:history="1">
        <w:r w:rsidR="00676E55" w:rsidRPr="00676E55">
          <w:rPr>
            <w:rFonts w:ascii="David" w:hAnsi="David"/>
            <w:color w:val="0000FF"/>
            <w:u w:val="single"/>
            <w:shd w:val="clear" w:color="auto" w:fill="FFFFFF"/>
            <w:rtl/>
          </w:rPr>
          <w:t>חוק העונשין</w:t>
        </w:r>
      </w:hyperlink>
      <w:r>
        <w:rPr>
          <w:rFonts w:ascii="David" w:hAnsi="David"/>
          <w:color w:val="000000"/>
          <w:shd w:val="clear" w:color="auto" w:fill="FFFFFF"/>
          <w:rtl/>
        </w:rPr>
        <w:t>, תשפ"ב – 2021</w:t>
      </w:r>
      <w:r w:rsidR="00676E55">
        <w:rPr>
          <w:rFonts w:ascii="David" w:hAnsi="David"/>
          <w:color w:val="000000"/>
          <w:shd w:val="clear" w:color="auto" w:fill="FFFFFF"/>
          <w:rtl/>
        </w:rPr>
        <w:t xml:space="preserve"> </w:t>
      </w:r>
      <w:r>
        <w:rPr>
          <w:rFonts w:ascii="David" w:hAnsi="David"/>
          <w:color w:val="000000"/>
          <w:shd w:val="clear" w:color="auto" w:fill="FFFFFF"/>
          <w:rtl/>
        </w:rPr>
        <w:t xml:space="preserve"> (</w:t>
      </w:r>
      <w:r>
        <w:rPr>
          <w:rFonts w:ascii="David" w:hAnsi="David"/>
          <w:b/>
          <w:bCs/>
          <w:color w:val="000000"/>
          <w:shd w:val="clear" w:color="auto" w:fill="FFFFFF"/>
          <w:rtl/>
        </w:rPr>
        <w:t>להלן: התיקון לחוק</w:t>
      </w:r>
      <w:r>
        <w:rPr>
          <w:rFonts w:ascii="David" w:hAnsi="David"/>
          <w:color w:val="000000"/>
          <w:shd w:val="clear" w:color="auto" w:fill="FFFFFF"/>
          <w:rtl/>
        </w:rPr>
        <w:t xml:space="preserve">) אשר באופן מכוון קורא להחמרת הענישה תוך קביעת עונש מינימום. על פי התיקון לחוק, משהורשע אדם בעבירה לפי </w:t>
      </w:r>
      <w:hyperlink r:id="rId37" w:history="1">
        <w:r w:rsidR="00EB22A4" w:rsidRPr="00EB22A4">
          <w:rPr>
            <w:rFonts w:ascii="David" w:hAnsi="David"/>
            <w:color w:val="0000FF"/>
            <w:u w:val="single"/>
            <w:shd w:val="clear" w:color="auto" w:fill="FFFFFF"/>
            <w:rtl/>
          </w:rPr>
          <w:t>סעיף (א)</w:t>
        </w:r>
      </w:hyperlink>
      <w:r>
        <w:rPr>
          <w:rFonts w:ascii="David" w:hAnsi="David"/>
          <w:color w:val="000000"/>
          <w:shd w:val="clear" w:color="auto" w:fill="FFFFFF"/>
          <w:rtl/>
        </w:rPr>
        <w:t xml:space="preserve"> רישא </w:t>
      </w:r>
      <w:hyperlink r:id="rId38" w:history="1">
        <w:r w:rsidR="00EB22A4" w:rsidRPr="00EB22A4">
          <w:rPr>
            <w:rFonts w:ascii="David" w:hAnsi="David"/>
            <w:color w:val="0000FF"/>
            <w:u w:val="single"/>
            <w:shd w:val="clear" w:color="auto" w:fill="FFFFFF"/>
            <w:rtl/>
          </w:rPr>
          <w:t>(ב 2)</w:t>
        </w:r>
      </w:hyperlink>
      <w:r>
        <w:rPr>
          <w:rFonts w:ascii="David" w:hAnsi="David"/>
          <w:color w:val="000000"/>
          <w:shd w:val="clear" w:color="auto" w:fill="FFFFFF"/>
          <w:rtl/>
        </w:rPr>
        <w:t xml:space="preserve"> או </w:t>
      </w:r>
      <w:hyperlink r:id="rId39" w:history="1">
        <w:r w:rsidR="00EB22A4" w:rsidRPr="00EB22A4">
          <w:rPr>
            <w:rFonts w:ascii="David" w:hAnsi="David"/>
            <w:color w:val="0000FF"/>
            <w:u w:val="single"/>
            <w:shd w:val="clear" w:color="auto" w:fill="FFFFFF"/>
            <w:rtl/>
          </w:rPr>
          <w:t>(ב 3)</w:t>
        </w:r>
      </w:hyperlink>
      <w:r>
        <w:rPr>
          <w:rFonts w:ascii="David" w:hAnsi="David"/>
          <w:color w:val="000000"/>
          <w:shd w:val="clear" w:color="auto" w:fill="FFFFFF"/>
          <w:rtl/>
        </w:rPr>
        <w:t xml:space="preserve">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1D1F4D54" w14:textId="77777777" w:rsidR="0077772E" w:rsidRDefault="0077772E" w:rsidP="0077772E">
      <w:pPr>
        <w:spacing w:before="240" w:line="360" w:lineRule="auto"/>
        <w:jc w:val="both"/>
        <w:rPr>
          <w:rFonts w:ascii="David" w:hAnsi="David"/>
          <w:color w:val="000000"/>
          <w:shd w:val="clear" w:color="auto" w:fill="FFFFFF"/>
          <w:rtl/>
        </w:rPr>
      </w:pPr>
      <w:r>
        <w:rPr>
          <w:rFonts w:ascii="David" w:hAnsi="David"/>
          <w:color w:val="000000"/>
          <w:shd w:val="clear" w:color="auto" w:fill="FFFFFF"/>
          <w:rtl/>
        </w:rPr>
        <w:t>הדברים האמורים מקבלים ביטוי בפסיקה שלאחר התיקון. כך למשל, בדברי בית המשפט ב</w:t>
      </w:r>
      <w:hyperlink r:id="rId40" w:history="1">
        <w:r w:rsidR="00676E55" w:rsidRPr="00676E55">
          <w:rPr>
            <w:rFonts w:ascii="David" w:hAnsi="David"/>
            <w:color w:val="0000FF"/>
            <w:u w:val="single"/>
            <w:shd w:val="clear" w:color="auto" w:fill="FFFFFF"/>
            <w:rtl/>
          </w:rPr>
          <w:t>ע"פ 2482/22</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קדורה</w:t>
      </w:r>
      <w:r>
        <w:rPr>
          <w:rFonts w:ascii="David" w:hAnsi="David"/>
          <w:color w:val="000000"/>
          <w:shd w:val="clear" w:color="auto" w:fill="FFFFFF"/>
          <w:rtl/>
        </w:rPr>
        <w:t xml:space="preserve"> (14.4.2022), המתמצתים את הפגיעה בערכים המוגנים שבעבירות הנשק, במידת פגיעתן ההולכת ומעמיקה בחברה הישראלית ובעיקר בחובת בתי המשפט לענישה מכבידה להרתיע:</w:t>
      </w:r>
    </w:p>
    <w:p w14:paraId="54E646F6" w14:textId="77777777" w:rsidR="0077772E" w:rsidRDefault="0077772E" w:rsidP="0077772E">
      <w:pPr>
        <w:spacing w:before="240" w:line="360" w:lineRule="auto"/>
        <w:ind w:left="850" w:right="993"/>
        <w:jc w:val="both"/>
        <w:rPr>
          <w:rFonts w:ascii="David" w:hAnsi="David"/>
          <w:color w:val="000000"/>
          <w:sz w:val="22"/>
          <w:szCs w:val="22"/>
          <w:shd w:val="clear" w:color="auto" w:fill="FFFFFF"/>
          <w:rtl/>
        </w:rPr>
      </w:pPr>
      <w:r>
        <w:rPr>
          <w:rFonts w:ascii="David" w:hAnsi="David"/>
          <w:color w:val="000000"/>
          <w:shd w:val="clear" w:color="auto" w:fill="FFFFFF"/>
          <w:rtl/>
        </w:rPr>
        <w:t>"החזקת נשק שלא כדין מאיימת על שלום הציבור ובטחונו [...].</w:t>
      </w:r>
      <w:r>
        <w:rPr>
          <w:rFonts w:ascii="David" w:hAnsi="David"/>
          <w:b/>
          <w:bCs/>
          <w:color w:val="000000"/>
          <w:shd w:val="clear" w:color="auto" w:fill="FFFFFF"/>
          <w:rtl/>
        </w:rPr>
        <w:t xml:space="preserve"> ענייננו ב'מכת מדינה' שהצורך להילחם בה על מנת להגן על הציבור, מצריך מענה הולם והטלת עונשי מאסר משמעותיים</w:t>
      </w:r>
      <w:r>
        <w:rPr>
          <w:rFonts w:ascii="David" w:hAnsi="David"/>
          <w:color w:val="000000"/>
          <w:shd w:val="clear" w:color="auto" w:fill="FFFFFF"/>
          <w:rtl/>
        </w:rPr>
        <w:t xml:space="preserve"> [...]. ידע כל מי שמחזיק בנשק בלתי חוקי כי צפוי הוא להיענש בחומרה</w:t>
      </w:r>
      <w:r>
        <w:rPr>
          <w:rFonts w:ascii="David" w:hAnsi="David"/>
          <w:b/>
          <w:bCs/>
          <w:color w:val="000000"/>
          <w:shd w:val="clear" w:color="auto" w:fill="FFFFFF"/>
          <w:rtl/>
        </w:rPr>
        <w:t>, בבחינת 'אם מחזיקים – למאסר נשלחים".</w:t>
      </w:r>
    </w:p>
    <w:p w14:paraId="213D3518" w14:textId="77777777" w:rsidR="0077772E" w:rsidRDefault="0077772E" w:rsidP="0077772E">
      <w:pPr>
        <w:spacing w:before="240" w:line="360" w:lineRule="auto"/>
        <w:ind w:left="-58"/>
        <w:jc w:val="both"/>
        <w:rPr>
          <w:rFonts w:ascii="David" w:hAnsi="David"/>
          <w:color w:val="000000"/>
          <w:shd w:val="clear" w:color="auto" w:fill="FFFFFF"/>
        </w:rPr>
      </w:pPr>
      <w:r>
        <w:rPr>
          <w:rFonts w:ascii="David" w:hAnsi="David"/>
          <w:color w:val="000000"/>
          <w:shd w:val="clear" w:color="auto" w:fill="FFFFFF"/>
          <w:rtl/>
        </w:rPr>
        <w:t>אשר להחזקת מטעני חבלה ראו בהרחבה ב</w:t>
      </w:r>
      <w:hyperlink r:id="rId41" w:history="1">
        <w:r w:rsidR="00676E55" w:rsidRPr="00676E55">
          <w:rPr>
            <w:rFonts w:ascii="David" w:hAnsi="David"/>
            <w:color w:val="0000FF"/>
            <w:u w:val="single"/>
            <w:shd w:val="clear" w:color="auto" w:fill="FFFFFF"/>
            <w:rtl/>
          </w:rPr>
          <w:t>ע"פ 8017/20</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פאדי גריפאת</w:t>
      </w:r>
      <w:r>
        <w:rPr>
          <w:rFonts w:ascii="David" w:hAnsi="David"/>
          <w:color w:val="000000"/>
          <w:shd w:val="clear" w:color="auto" w:fill="FFFFFF"/>
          <w:rtl/>
        </w:rPr>
        <w:t xml:space="preserve"> ( 22.12.20), שם עומד בית המשפט על החומרה היתרה בהחזקת מטעני חבלה ועל הצורך בענישה מכבידה, גם על נעדרי עבר פלילי. </w:t>
      </w:r>
    </w:p>
    <w:p w14:paraId="442A9882" w14:textId="77777777" w:rsidR="0077772E" w:rsidRDefault="0077772E" w:rsidP="0077772E">
      <w:pPr>
        <w:spacing w:line="360" w:lineRule="auto"/>
        <w:jc w:val="both"/>
        <w:rPr>
          <w:rFonts w:ascii="David" w:hAnsi="David"/>
          <w:color w:val="000000"/>
          <w:shd w:val="clear" w:color="auto" w:fill="FFFFFF"/>
          <w:rtl/>
        </w:rPr>
      </w:pPr>
    </w:p>
    <w:p w14:paraId="3129954F" w14:textId="77777777" w:rsidR="0077772E" w:rsidRDefault="0077772E" w:rsidP="0077772E">
      <w:pPr>
        <w:spacing w:line="360" w:lineRule="auto"/>
        <w:jc w:val="both"/>
        <w:rPr>
          <w:rFonts w:ascii="David" w:hAnsi="David"/>
          <w:color w:val="000000"/>
          <w:shd w:val="clear" w:color="auto" w:fill="FFFFFF"/>
        </w:rPr>
      </w:pPr>
      <w:r>
        <w:rPr>
          <w:rFonts w:ascii="David" w:hAnsi="David"/>
          <w:color w:val="000000"/>
          <w:shd w:val="clear" w:color="auto" w:fill="FFFFFF"/>
          <w:rtl/>
        </w:rPr>
        <w:t xml:space="preserve">הערכים המוגנים בבסיס האיסור על עבירות סמים נועדו להגן על שלומו ובריאותו של הציבור. </w:t>
      </w:r>
      <w:r>
        <w:rPr>
          <w:rFonts w:ascii="David" w:hAnsi="David"/>
          <w:rtl/>
        </w:rPr>
        <w:t xml:space="preserve">לעבירות הסמים פוטנציאל נזק גדול במיוחד. מלבד הפגיעה החמורה בצרכני הסם עצמם, השימוש בהם, גורר ומחולל נזקים נלווים בדמות עבירות רכוש ואלימות המבוצעות על ידי המפיצים והצרכנים, בין היתר, לשם השגת המימון לרכישת הסמים.  מכאן ולא בכדי, </w:t>
      </w:r>
      <w:r>
        <w:rPr>
          <w:rFonts w:ascii="David" w:hAnsi="David"/>
          <w:color w:val="000000"/>
          <w:shd w:val="clear" w:color="auto" w:fill="FFFFFF"/>
          <w:rtl/>
        </w:rPr>
        <w:t>לשיקולי ההרתעה והגמול בעבירה של החזקת סמים שלא לצריכה עצמית, כמו לסחר בסמים, ניתן משקל נכבד במכלול השיקולים לעונש. כך בדברי בית המשפט, ב</w:t>
      </w:r>
      <w:hyperlink r:id="rId42" w:history="1">
        <w:r w:rsidR="00676E55" w:rsidRPr="00676E55">
          <w:rPr>
            <w:rFonts w:ascii="David" w:hAnsi="David"/>
            <w:color w:val="0000FF"/>
            <w:u w:val="single"/>
            <w:shd w:val="clear" w:color="auto" w:fill="FFFFFF"/>
            <w:rtl/>
          </w:rPr>
          <w:t>ע"פ 9482/09</w:t>
        </w:r>
      </w:hyperlink>
      <w:r>
        <w:rPr>
          <w:rFonts w:ascii="David" w:hAnsi="David"/>
          <w:color w:val="000000"/>
          <w:shd w:val="clear" w:color="auto" w:fill="FFFFFF"/>
          <w:rtl/>
        </w:rPr>
        <w:t xml:space="preserve"> </w:t>
      </w:r>
      <w:r>
        <w:rPr>
          <w:rFonts w:ascii="David" w:hAnsi="David"/>
          <w:b/>
          <w:bCs/>
          <w:color w:val="000000"/>
          <w:shd w:val="clear" w:color="auto" w:fill="FFFFFF"/>
          <w:rtl/>
        </w:rPr>
        <w:t>ביטון נגד מדינת ישראל</w:t>
      </w:r>
      <w:r>
        <w:rPr>
          <w:rFonts w:ascii="David" w:hAnsi="David"/>
          <w:color w:val="000000"/>
          <w:shd w:val="clear" w:color="auto" w:fill="FFFFFF"/>
          <w:rtl/>
        </w:rPr>
        <w:t xml:space="preserve"> (2011), כך גם ב</w:t>
      </w:r>
      <w:hyperlink r:id="rId43" w:history="1">
        <w:r w:rsidR="00676E55" w:rsidRPr="00676E55">
          <w:rPr>
            <w:rFonts w:ascii="David" w:hAnsi="David"/>
            <w:color w:val="0000FF"/>
            <w:u w:val="single"/>
            <w:shd w:val="clear" w:color="auto" w:fill="FFFFFF"/>
            <w:rtl/>
          </w:rPr>
          <w:t>ע"פ 211/09</w:t>
        </w:r>
      </w:hyperlink>
      <w:r>
        <w:rPr>
          <w:rFonts w:ascii="David" w:hAnsi="David"/>
          <w:color w:val="000000"/>
          <w:shd w:val="clear" w:color="auto" w:fill="FFFFFF"/>
          <w:rtl/>
        </w:rPr>
        <w:t xml:space="preserve"> </w:t>
      </w:r>
      <w:r>
        <w:rPr>
          <w:rFonts w:ascii="David" w:hAnsi="David"/>
          <w:b/>
          <w:bCs/>
          <w:color w:val="000000"/>
          <w:shd w:val="clear" w:color="auto" w:fill="FFFFFF"/>
          <w:rtl/>
        </w:rPr>
        <w:t>אזולאי נ' מדינת</w:t>
      </w:r>
      <w:r>
        <w:rPr>
          <w:rFonts w:ascii="David" w:hAnsi="David"/>
          <w:color w:val="000000"/>
          <w:shd w:val="clear" w:color="auto" w:fill="FFFFFF"/>
          <w:rtl/>
        </w:rPr>
        <w:t xml:space="preserve"> </w:t>
      </w:r>
      <w:r>
        <w:rPr>
          <w:rFonts w:ascii="David" w:hAnsi="David"/>
          <w:b/>
          <w:bCs/>
          <w:color w:val="000000"/>
          <w:shd w:val="clear" w:color="auto" w:fill="FFFFFF"/>
          <w:rtl/>
        </w:rPr>
        <w:t>ישראל</w:t>
      </w:r>
      <w:r>
        <w:rPr>
          <w:rFonts w:ascii="David" w:hAnsi="David"/>
          <w:color w:val="000000"/>
          <w:shd w:val="clear" w:color="auto" w:fill="FFFFFF"/>
          <w:rtl/>
        </w:rPr>
        <w:t xml:space="preserve"> (22.6.2010):</w:t>
      </w:r>
    </w:p>
    <w:p w14:paraId="2351C8A0" w14:textId="77777777" w:rsidR="0077772E" w:rsidRDefault="0077772E" w:rsidP="0077772E">
      <w:pPr>
        <w:spacing w:line="360" w:lineRule="auto"/>
        <w:jc w:val="both"/>
        <w:rPr>
          <w:rFonts w:ascii="David" w:hAnsi="David"/>
          <w:color w:val="000000"/>
          <w:shd w:val="clear" w:color="auto" w:fill="FFFFFF"/>
          <w:rtl/>
        </w:rPr>
      </w:pPr>
    </w:p>
    <w:p w14:paraId="138A5C33" w14:textId="77777777" w:rsidR="0077772E" w:rsidRDefault="0077772E" w:rsidP="0077772E">
      <w:pPr>
        <w:spacing w:line="360" w:lineRule="auto"/>
        <w:ind w:left="1218" w:right="851"/>
        <w:jc w:val="both"/>
        <w:rPr>
          <w:rFonts w:ascii="David" w:hAnsi="David"/>
          <w:color w:val="000000"/>
          <w:shd w:val="clear" w:color="auto" w:fill="FFFFFF"/>
          <w:rtl/>
        </w:rPr>
      </w:pPr>
      <w:r>
        <w:rPr>
          <w:rFonts w:ascii="David" w:hAnsi="David"/>
          <w:color w:val="000000"/>
          <w:shd w:val="clear" w:color="auto" w:fill="FFFFFF"/>
          <w:rtl/>
        </w:rPr>
        <w:t>"הענישה בעבירות מסוג זה נועדה, קודם לכל, לשרת את מטרת הגמול לעבריין ...;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3DFFBB3D" w14:textId="77777777" w:rsidR="0077772E" w:rsidRDefault="0077772E" w:rsidP="0077772E">
      <w:pPr>
        <w:spacing w:line="360" w:lineRule="auto"/>
        <w:ind w:left="850" w:right="993"/>
        <w:jc w:val="both"/>
        <w:rPr>
          <w:rFonts w:ascii="David" w:hAnsi="David"/>
          <w:color w:val="000000"/>
          <w:sz w:val="22"/>
          <w:szCs w:val="22"/>
          <w:shd w:val="clear" w:color="auto" w:fill="FFFFFF"/>
          <w:rtl/>
        </w:rPr>
      </w:pPr>
    </w:p>
    <w:p w14:paraId="16BEDB2B"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b/>
          <w:bCs/>
          <w:color w:val="000000"/>
          <w:shd w:val="clear" w:color="auto" w:fill="FFFFFF"/>
          <w:rtl/>
        </w:rPr>
        <w:t xml:space="preserve">בחינת נסיבות הקשורות בביצוע העבירות </w:t>
      </w:r>
      <w:r>
        <w:rPr>
          <w:rFonts w:ascii="David" w:hAnsi="David"/>
          <w:color w:val="000000"/>
          <w:shd w:val="clear" w:color="auto" w:fill="FFFFFF"/>
          <w:rtl/>
        </w:rPr>
        <w:t xml:space="preserve">בעניין הנדון מעלה כי מידת פגיעתו של הנאשם בערכים המוגנים הינה משמעותית. </w:t>
      </w:r>
    </w:p>
    <w:p w14:paraId="32EAC974" w14:textId="77777777" w:rsidR="0077772E" w:rsidRDefault="0077772E" w:rsidP="0077772E">
      <w:pPr>
        <w:spacing w:line="360" w:lineRule="auto"/>
        <w:jc w:val="both"/>
        <w:rPr>
          <w:rFonts w:ascii="David" w:hAnsi="David"/>
          <w:rtl/>
        </w:rPr>
      </w:pPr>
      <w:r>
        <w:rPr>
          <w:rFonts w:ascii="David" w:hAnsi="David"/>
          <w:rtl/>
        </w:rPr>
        <w:t xml:space="preserve">מבלי שיש לו היתר, החזיק הנאשם, בביתו, כלי נשק וסמים מסוכנים.  לצד החזקת מטען חבלה מאולתר, החזיק הנאשם חלקי אקדח שבכוחו להרוג, ואם לא די בכך, החזיק 2 סוגי סמים מסוכנים שאחד מהם נמנה עם רשימת המסוכנים מאוד שבפקודת הסמים. </w:t>
      </w:r>
    </w:p>
    <w:p w14:paraId="743F2FE5" w14:textId="77777777" w:rsidR="0077772E" w:rsidRDefault="0077772E" w:rsidP="0077772E">
      <w:pPr>
        <w:spacing w:after="160" w:line="360" w:lineRule="auto"/>
        <w:ind w:left="-57"/>
        <w:jc w:val="both"/>
        <w:rPr>
          <w:rFonts w:ascii="David" w:hAnsi="David"/>
          <w:noProof/>
          <w:rtl/>
        </w:rPr>
      </w:pPr>
      <w:r>
        <w:rPr>
          <w:rFonts w:ascii="David" w:hAnsi="David"/>
          <w:color w:val="000000"/>
          <w:shd w:val="clear" w:color="auto" w:fill="FFFFFF"/>
          <w:rtl/>
        </w:rPr>
        <w:t xml:space="preserve">מטען חבלה הינו נשק קטלני שכל עשייה בו נועדה למטרה אחת – שימוש " התקפי", כדי לפגוע פגיעה אנושה באחר ולכל הפחות לפגוע ברכושו כאמצעי לחץ ואיום והכל תוך סיכון חייהם של חפים מפשע ולא </w:t>
      </w:r>
      <w:r>
        <w:rPr>
          <w:rFonts w:ascii="David" w:hAnsi="David"/>
          <w:rtl/>
        </w:rPr>
        <w:t xml:space="preserve">בכדי קבע המחוקק עונש של עד 7 שנות מאסר לצד עבירה זו. </w:t>
      </w:r>
    </w:p>
    <w:p w14:paraId="371D4C58"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מכתב האישום וטיעוני הצדדים עולה כי במקרה הנדון מדובר במטען חבלה מאולתר, שכטענת ההגנה, לא ידוע גודלו ומשקל חומר הנפץ שבו, אם כי אין חולק, שבכפוף להימצאות אמצעי ייזום ומערכת הפעלה - בכוחו להמית. </w:t>
      </w:r>
    </w:p>
    <w:p w14:paraId="7A069206" w14:textId="77777777" w:rsidR="0077772E" w:rsidRDefault="0077772E" w:rsidP="0077772E">
      <w:pPr>
        <w:spacing w:after="160" w:line="360" w:lineRule="auto"/>
        <w:ind w:left="-57"/>
        <w:jc w:val="both"/>
        <w:rPr>
          <w:rFonts w:ascii="David" w:hAnsi="David"/>
          <w:rtl/>
        </w:rPr>
      </w:pPr>
      <w:r>
        <w:rPr>
          <w:rFonts w:ascii="David" w:hAnsi="David"/>
          <w:color w:val="000000"/>
          <w:shd w:val="clear" w:color="auto" w:fill="FFFFFF"/>
          <w:rtl/>
        </w:rPr>
        <w:t xml:space="preserve">במילים אחרות, למטען החבלה המאולתר בענייננו לא נמצא אמצעי ייזום ולא מנגנון הפעלה. יחד עם זאת, ברי כי </w:t>
      </w:r>
      <w:r>
        <w:rPr>
          <w:rFonts w:ascii="David" w:hAnsi="David"/>
          <w:rtl/>
        </w:rPr>
        <w:t xml:space="preserve">בהחזקתו את מטען החבלה בביתו, יצר הנאשם סיכון פוטנציאלי לנזק ממשי כלפי מבקרי ביתו ,בעלי דירות סמוכות, ואנשים שצעדו בקרבת המקום. הדברים מקבלים משנה תוקף בהינתן החזקת המטען על ידי מי שאינו מורשה ובוודאי אינו מיומן בהחזקה וטיפול בנשק מסוג זה. </w:t>
      </w:r>
    </w:p>
    <w:p w14:paraId="691CEA03"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בנוסף לאמור, החזיק הנאשם בביתו, חלקי אקדח  מסוג "סטאר" ומחסנית תואמת. האקדח אמנם נמצא לא תקין ( תקול) אם כי  עדיין מסוגל להרוג. בכל מקרה, יש להביא בחשבון כי המדינה מייחסת לנאשם החזקת חלקי נשק על פי הסיפא של הוראת החיקוק.  </w:t>
      </w:r>
    </w:p>
    <w:p w14:paraId="154A5C6B"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 בנוסף, החזיק במספר מקומות 2 סוגי סמים, משקל אלקטרוני ושקיות חלוקה. </w:t>
      </w:r>
    </w:p>
    <w:p w14:paraId="60C83ADA"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לעומת סם קנבוס שהינו סם מסוכן אולם אינו נמנה עם הסמים הקשים שבפקודת הסמים- סם </w:t>
      </w:r>
      <w:r>
        <w:rPr>
          <w:rFonts w:ascii="David" w:eastAsia="Calibri" w:hAnsi="David"/>
          <w:rtl/>
        </w:rPr>
        <w:t>מתילמתקאטינון</w:t>
      </w:r>
      <w:r>
        <w:rPr>
          <w:rFonts w:ascii="David" w:hAnsi="David"/>
          <w:color w:val="000000"/>
          <w:shd w:val="clear" w:color="auto" w:fill="FFFFFF"/>
          <w:rtl/>
        </w:rPr>
        <w:t xml:space="preserve">, הידוע בכינוי </w:t>
      </w:r>
      <w:r>
        <w:rPr>
          <w:rFonts w:ascii="David" w:eastAsia="Calibri" w:hAnsi="David"/>
          <w:rtl/>
        </w:rPr>
        <w:t>"דוקטור</w:t>
      </w:r>
      <w:r w:rsidRPr="00683F82">
        <w:rPr>
          <w:rFonts w:ascii="David" w:eastAsia="Calibri" w:hAnsi="David"/>
          <w:rtl/>
        </w:rPr>
        <w:t xml:space="preserve">" </w:t>
      </w:r>
      <w:r w:rsidRPr="00683F82">
        <w:rPr>
          <w:rFonts w:ascii="David" w:eastAsia="Calibri" w:hAnsi="David"/>
          <w:sz w:val="22"/>
          <w:szCs w:val="22"/>
          <w:rtl/>
        </w:rPr>
        <w:t>(</w:t>
      </w:r>
      <w:r w:rsidRPr="00683F82">
        <w:rPr>
          <w:rFonts w:ascii="David" w:eastAsia="Calibri" w:hAnsi="David"/>
          <w:sz w:val="22"/>
          <w:szCs w:val="22"/>
        </w:rPr>
        <w:t xml:space="preserve">( MMC-4 </w:t>
      </w:r>
      <w:r w:rsidRPr="00683F82">
        <w:rPr>
          <w:rFonts w:ascii="David" w:eastAsia="Calibri" w:hAnsi="David"/>
          <w:rtl/>
        </w:rPr>
        <w:t>הוא</w:t>
      </w:r>
      <w:r>
        <w:rPr>
          <w:rFonts w:ascii="David" w:eastAsia="Calibri" w:hAnsi="David"/>
          <w:rtl/>
        </w:rPr>
        <w:t xml:space="preserve"> סם סינטטי מהמסוכנים שבפקודת הסמים. הסם ידוע כממריץ ומעורר הגורם לתחושת אופוריה והשפעותיו דומות לאלו של סמים כמו אמפטמינים ואקסטזי. הסם פופולרי במיוחד במסיבות ומועדונים ועלול לגרום לתופעות לוואי חמורות כמו דפיקות לב מואצות, עליה בלחץ הדם, חרדה, פרנויה והזיות. שימוש ממושך עלול להוביל להתמכרות פיזית ונפשית ולגרום לנזקים ארוכי טווח לבריאות המשתמש . </w:t>
      </w:r>
      <w:r w:rsidR="00676E55">
        <w:rPr>
          <w:rFonts w:ascii="David" w:eastAsia="Calibri" w:hAnsi="David"/>
          <w:rtl/>
        </w:rPr>
        <w:t xml:space="preserve"> </w:t>
      </w:r>
    </w:p>
    <w:p w14:paraId="7C86B00F" w14:textId="77777777" w:rsidR="0077772E" w:rsidRDefault="0077772E" w:rsidP="0077772E">
      <w:pPr>
        <w:spacing w:line="360" w:lineRule="auto"/>
        <w:jc w:val="both"/>
        <w:rPr>
          <w:rFonts w:ascii="David" w:hAnsi="David"/>
          <w:rtl/>
        </w:rPr>
      </w:pPr>
      <w:r>
        <w:rPr>
          <w:rFonts w:ascii="David" w:hAnsi="David"/>
          <w:rtl/>
        </w:rPr>
        <w:t xml:space="preserve">החזקת 70 גרם  של סם "דוקטור"  לצד משקל אלקטרוני ושקיות חלוקה, מצביע במובהק על כוונה של סחר והפצה של הסם, ומחמיר במעשי הנאשם ולרבות בפוטנציאל הנזק הטמון במעשיו. </w:t>
      </w:r>
    </w:p>
    <w:p w14:paraId="561D1ABF" w14:textId="77777777" w:rsidR="0077772E" w:rsidRDefault="0077772E" w:rsidP="0077772E">
      <w:pPr>
        <w:spacing w:line="360" w:lineRule="auto"/>
        <w:jc w:val="both"/>
        <w:rPr>
          <w:rFonts w:ascii="David" w:hAnsi="David"/>
          <w:highlight w:val="green"/>
          <w:rtl/>
        </w:rPr>
      </w:pPr>
    </w:p>
    <w:p w14:paraId="3597EF6C" w14:textId="77777777" w:rsidR="0077772E" w:rsidRDefault="0077772E" w:rsidP="0077772E">
      <w:pPr>
        <w:spacing w:line="360" w:lineRule="auto"/>
        <w:jc w:val="both"/>
        <w:rPr>
          <w:rFonts w:ascii="David" w:hAnsi="David"/>
          <w:rtl/>
        </w:rPr>
      </w:pPr>
      <w:r>
        <w:rPr>
          <w:rFonts w:ascii="David" w:hAnsi="David"/>
          <w:rtl/>
        </w:rPr>
        <w:t xml:space="preserve">הנאשם, אין חולק, הבין את הפסול במעשיו וחלקו בביצוע כלל העבירות הינו מלא ובלעדי. </w:t>
      </w:r>
    </w:p>
    <w:p w14:paraId="20C8DA81" w14:textId="77777777" w:rsidR="0077772E" w:rsidRDefault="0077772E" w:rsidP="0077772E">
      <w:pPr>
        <w:spacing w:after="160" w:line="254" w:lineRule="auto"/>
        <w:rPr>
          <w:rFonts w:ascii="Calibri" w:eastAsia="Calibri" w:hAnsi="Calibri" w:cs="Calibri"/>
          <w:sz w:val="22"/>
          <w:szCs w:val="22"/>
          <w:rtl/>
        </w:rPr>
      </w:pPr>
    </w:p>
    <w:p w14:paraId="5473394A" w14:textId="77777777" w:rsidR="0077772E" w:rsidRDefault="0077772E" w:rsidP="0077772E">
      <w:pPr>
        <w:spacing w:line="360" w:lineRule="auto"/>
        <w:jc w:val="both"/>
        <w:rPr>
          <w:b/>
          <w:bCs/>
          <w:noProof/>
          <w:color w:val="000000"/>
          <w:u w:val="single"/>
          <w:shd w:val="clear" w:color="auto" w:fill="FFFFFF"/>
          <w:rtl/>
        </w:rPr>
      </w:pPr>
      <w:r>
        <w:rPr>
          <w:b/>
          <w:bCs/>
          <w:color w:val="000000"/>
          <w:shd w:val="clear" w:color="auto" w:fill="FFFFFF"/>
          <w:rtl/>
        </w:rPr>
        <w:t xml:space="preserve">ענישה נוהגת - </w:t>
      </w:r>
      <w:r>
        <w:rPr>
          <w:rFonts w:ascii="Arial" w:hAnsi="Arial"/>
          <w:color w:val="000000"/>
          <w:shd w:val="clear" w:color="auto" w:fill="FFFFFF"/>
          <w:rtl/>
        </w:rPr>
        <w:t xml:space="preserve">עיון בפסיקה הנוהגת </w:t>
      </w:r>
      <w:r>
        <w:rPr>
          <w:rFonts w:ascii="David" w:hAnsi="David"/>
          <w:color w:val="000000"/>
          <w:shd w:val="clear" w:color="auto" w:fill="FFFFFF"/>
          <w:rtl/>
        </w:rPr>
        <w:t xml:space="preserve">במקרים שנסיבותיהם דומות או קרובות למקרה הנדון, מלמדת על ענישה משמעותית מאחורי סורג ובריח, כפי העולה מהמקרים אליהם הפנו הצדדים עצמם ומהמקרים הבאים: </w:t>
      </w:r>
    </w:p>
    <w:p w14:paraId="6369AF16" w14:textId="77777777" w:rsidR="0077772E" w:rsidRDefault="0077772E" w:rsidP="0077772E">
      <w:pPr>
        <w:spacing w:line="360" w:lineRule="auto"/>
        <w:jc w:val="both"/>
        <w:rPr>
          <w:b/>
          <w:bCs/>
          <w:color w:val="000000"/>
          <w:u w:val="single"/>
          <w:shd w:val="clear" w:color="auto" w:fill="FFFFFF"/>
          <w:rtl/>
        </w:rPr>
      </w:pPr>
    </w:p>
    <w:p w14:paraId="686ECBB6"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44" w:history="1">
        <w:r w:rsidR="00676E55" w:rsidRPr="00676E55">
          <w:rPr>
            <w:color w:val="0000FF"/>
            <w:u w:val="single"/>
            <w:shd w:val="clear" w:color="auto" w:fill="FFFFFF"/>
            <w:rtl/>
          </w:rPr>
          <w:t>רע"פ 2406/16</w:t>
        </w:r>
      </w:hyperlink>
      <w:r>
        <w:rPr>
          <w:color w:val="000000"/>
          <w:shd w:val="clear" w:color="auto" w:fill="FFFFFF"/>
          <w:rtl/>
        </w:rPr>
        <w:t xml:space="preserve"> </w:t>
      </w:r>
      <w:r>
        <w:rPr>
          <w:b/>
          <w:bCs/>
          <w:color w:val="000000"/>
          <w:shd w:val="clear" w:color="auto" w:fill="FFFFFF"/>
          <w:rtl/>
        </w:rPr>
        <w:t>אייל יונגר נ' מדינת ישראל</w:t>
      </w:r>
      <w:r>
        <w:rPr>
          <w:color w:val="000000"/>
          <w:shd w:val="clear" w:color="auto" w:fill="FFFFFF"/>
          <w:rtl/>
        </w:rPr>
        <w:t xml:space="preserve"> (29.09.16), (אליו הפנתה המאשימה ושנסיבותיו חמורות מהמקרה הנדון) נדחתה בקשה לערעור על פסק דינו של בית המשפט המחוזי שדחה ערעורו על חומרת העונש. בית המשפט השלום קבע </w:t>
      </w:r>
      <w:r>
        <w:rPr>
          <w:b/>
          <w:bCs/>
          <w:color w:val="000000"/>
          <w:shd w:val="clear" w:color="auto" w:fill="FFFFFF"/>
          <w:rtl/>
        </w:rPr>
        <w:t>מתחם הולם בין 2 ל-5 שנות מאסר בפועל</w:t>
      </w:r>
      <w:r>
        <w:rPr>
          <w:color w:val="000000"/>
          <w:shd w:val="clear" w:color="auto" w:fill="FFFFFF"/>
          <w:rtl/>
        </w:rPr>
        <w:t xml:space="preserve"> וגזר על המבקש 4 שנות מאסר, בנסיבות בהן הורשע המערער בהחזקת מטען חבלה מאולתר שבכוחו להמית, במחסן הצמוד למשרדו הנמצא מתחת ליציע של אולם ספורט אשר שימש ילדים רבים, ובנוסף החזיק סם קנבוס במשקל של 7.98  גרם. בדחותו את הבקשה, ציין בית המשפט המחוזי "עונש זה אינו מצדיק התערבות ערכאת ערעור".  </w:t>
      </w:r>
    </w:p>
    <w:p w14:paraId="7D89F475" w14:textId="77777777" w:rsidR="0077772E" w:rsidRDefault="0077772E" w:rsidP="0077772E">
      <w:pPr>
        <w:spacing w:line="360" w:lineRule="auto"/>
        <w:jc w:val="both"/>
        <w:rPr>
          <w:color w:val="000000"/>
          <w:shd w:val="clear" w:color="auto" w:fill="FFFFFF"/>
          <w:rtl/>
        </w:rPr>
      </w:pPr>
    </w:p>
    <w:p w14:paraId="3074298F"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ב</w:t>
      </w:r>
      <w:hyperlink r:id="rId45" w:history="1">
        <w:r w:rsidR="00676E55" w:rsidRPr="00676E55">
          <w:rPr>
            <w:rFonts w:ascii="David" w:hAnsi="David"/>
            <w:color w:val="0000FF"/>
            <w:u w:val="single"/>
            <w:shd w:val="clear" w:color="auto" w:fill="FFFFFF"/>
            <w:rtl/>
          </w:rPr>
          <w:t>עפ"ג (מחוזי ב"ש) 21078-07-23</w:t>
        </w:r>
      </w:hyperlink>
      <w:r>
        <w:rPr>
          <w:rFonts w:ascii="David" w:hAnsi="David"/>
          <w:color w:val="000000"/>
          <w:shd w:val="clear" w:color="auto" w:fill="FFFFFF"/>
          <w:rtl/>
        </w:rPr>
        <w:t xml:space="preserve"> </w:t>
      </w:r>
      <w:r>
        <w:rPr>
          <w:rFonts w:ascii="David" w:hAnsi="David"/>
          <w:b/>
          <w:bCs/>
          <w:color w:val="000000"/>
          <w:shd w:val="clear" w:color="auto" w:fill="FFFFFF"/>
          <w:rtl/>
        </w:rPr>
        <w:t>אלקטנאי נ' מדינת ישראל</w:t>
      </w:r>
      <w:r>
        <w:rPr>
          <w:rFonts w:ascii="David" w:hAnsi="David"/>
          <w:color w:val="000000"/>
          <w:shd w:val="clear" w:color="auto" w:fill="FFFFFF"/>
          <w:rtl/>
        </w:rPr>
        <w:t xml:space="preserve"> ( 22.05.24), התקבל הערעור על חומרת העונש, כך שעונש מאסר בן 36 חודשי מאסר בפועל הופחת בהסכמת המאשימה ל-30 חודשי מאסר בפועל. בית המשפט השלום (</w:t>
      </w:r>
      <w:hyperlink r:id="rId46" w:history="1">
        <w:r w:rsidR="00676E55" w:rsidRPr="00676E55">
          <w:rPr>
            <w:rFonts w:ascii="David" w:hAnsi="David"/>
            <w:color w:val="0000FF"/>
            <w:u w:val="single"/>
            <w:shd w:val="clear" w:color="auto" w:fill="FFFFFF"/>
            <w:rtl/>
          </w:rPr>
          <w:t>ת"פ 56900-11-18</w:t>
        </w:r>
      </w:hyperlink>
      <w:r>
        <w:rPr>
          <w:rFonts w:ascii="David" w:hAnsi="David"/>
          <w:color w:val="000000"/>
          <w:shd w:val="clear" w:color="auto" w:fill="FFFFFF"/>
          <w:rtl/>
        </w:rPr>
        <w:t xml:space="preserve">) קבע </w:t>
      </w:r>
      <w:r>
        <w:rPr>
          <w:rFonts w:ascii="David" w:hAnsi="David"/>
          <w:b/>
          <w:bCs/>
          <w:color w:val="000000"/>
          <w:shd w:val="clear" w:color="auto" w:fill="FFFFFF"/>
          <w:rtl/>
        </w:rPr>
        <w:t>מתחם הולם בין 32 ל-64 חודשי מאסר בפועל</w:t>
      </w:r>
      <w:r>
        <w:rPr>
          <w:rFonts w:ascii="David" w:hAnsi="David"/>
          <w:color w:val="000000"/>
          <w:shd w:val="clear" w:color="auto" w:fill="FFFFFF"/>
          <w:rtl/>
        </w:rPr>
        <w:t xml:space="preserve"> במקרה בו הורשע המערער בעבירות של החזקת נשק והחזקת תחמושת, בנסיבות בהן הועבר אליו על ידי אחר, תיק שהכיל :  מטען חבלה ללא מקורות מתח הבנוי מקלט אלחוטי, נפץ חבלה חשמלי, חומר נפץ מרסק בשקל 250 מיליגרם, המאוגדים באמצעות סרט בידוד בצבע שחור; 4 מחסניות </w:t>
      </w:r>
      <w:r>
        <w:rPr>
          <w:rFonts w:ascii="David" w:hAnsi="David"/>
          <w:color w:val="000000"/>
          <w:shd w:val="clear" w:color="auto" w:fill="FFFFFF"/>
        </w:rPr>
        <w:t>M16</w:t>
      </w:r>
      <w:r>
        <w:rPr>
          <w:rFonts w:ascii="David" w:hAnsi="David"/>
          <w:color w:val="000000"/>
          <w:shd w:val="clear" w:color="auto" w:fill="FFFFFF"/>
          <w:rtl/>
        </w:rPr>
        <w:t xml:space="preserve"> </w:t>
      </w:r>
      <w:r>
        <w:rPr>
          <w:rFonts w:ascii="David" w:hAnsi="David" w:hint="cs"/>
          <w:color w:val="000000"/>
          <w:shd w:val="clear" w:color="auto" w:fill="FFFFFF"/>
          <w:rtl/>
        </w:rPr>
        <w:t xml:space="preserve">שהכילו  188 כדורים ועוד 179 כדורים ( 5.56 מילימטר בתפזורת); זוג מחסניות </w:t>
      </w:r>
      <w:r>
        <w:rPr>
          <w:rFonts w:ascii="David" w:hAnsi="David"/>
          <w:color w:val="000000"/>
          <w:shd w:val="clear" w:color="auto" w:fill="FFFFFF"/>
        </w:rPr>
        <w:t>M16</w:t>
      </w:r>
      <w:r>
        <w:rPr>
          <w:rFonts w:ascii="David" w:hAnsi="David"/>
          <w:color w:val="000000"/>
          <w:shd w:val="clear" w:color="auto" w:fill="FFFFFF"/>
          <w:rtl/>
        </w:rPr>
        <w:t xml:space="preserve"> ריקות; </w:t>
      </w:r>
      <w:r>
        <w:rPr>
          <w:rFonts w:ascii="David" w:hAnsi="David"/>
          <w:b/>
          <w:bCs/>
          <w:color w:val="000000"/>
          <w:shd w:val="clear" w:color="auto" w:fill="FFFFFF"/>
          <w:rtl/>
        </w:rPr>
        <w:t>רימון</w:t>
      </w:r>
      <w:r>
        <w:rPr>
          <w:rFonts w:ascii="David" w:hAnsi="David"/>
          <w:color w:val="000000"/>
          <w:shd w:val="clear" w:color="auto" w:fill="FFFFFF"/>
          <w:rtl/>
        </w:rPr>
        <w:t xml:space="preserve"> </w:t>
      </w:r>
      <w:r>
        <w:rPr>
          <w:rFonts w:ascii="David" w:hAnsi="David"/>
          <w:color w:val="000000"/>
          <w:shd w:val="clear" w:color="auto" w:fill="FFFFFF"/>
        </w:rPr>
        <w:t>M7290</w:t>
      </w:r>
      <w:r>
        <w:rPr>
          <w:rFonts w:ascii="David" w:hAnsi="David"/>
          <w:color w:val="000000"/>
          <w:shd w:val="clear" w:color="auto" w:fill="FFFFFF"/>
          <w:rtl/>
        </w:rPr>
        <w:t xml:space="preserve">. </w:t>
      </w:r>
    </w:p>
    <w:p w14:paraId="736B32EE" w14:textId="77777777" w:rsidR="0077772E" w:rsidRDefault="0077772E" w:rsidP="0077772E">
      <w:pPr>
        <w:spacing w:line="360" w:lineRule="auto"/>
        <w:jc w:val="both"/>
        <w:rPr>
          <w:color w:val="000000"/>
          <w:shd w:val="clear" w:color="auto" w:fill="FFFFFF"/>
          <w:rtl/>
        </w:rPr>
      </w:pPr>
    </w:p>
    <w:p w14:paraId="728DC872"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47" w:history="1">
        <w:r w:rsidR="00676E55" w:rsidRPr="00676E55">
          <w:rPr>
            <w:color w:val="0000FF"/>
            <w:u w:val="single"/>
            <w:shd w:val="clear" w:color="auto" w:fill="FFFFFF"/>
            <w:rtl/>
          </w:rPr>
          <w:t>עפ"ג (מחוזי ב"ש) 22076-02-23</w:t>
        </w:r>
      </w:hyperlink>
      <w:r>
        <w:rPr>
          <w:color w:val="000000"/>
          <w:shd w:val="clear" w:color="auto" w:fill="FFFFFF"/>
          <w:rtl/>
        </w:rPr>
        <w:t xml:space="preserve"> </w:t>
      </w:r>
      <w:r>
        <w:rPr>
          <w:b/>
          <w:bCs/>
          <w:color w:val="000000"/>
          <w:shd w:val="clear" w:color="auto" w:fill="FFFFFF"/>
          <w:rtl/>
        </w:rPr>
        <w:t>זר נ' מדינת ישראל</w:t>
      </w:r>
      <w:r>
        <w:rPr>
          <w:color w:val="000000"/>
          <w:shd w:val="clear" w:color="auto" w:fill="FFFFFF"/>
          <w:rtl/>
        </w:rPr>
        <w:t xml:space="preserve"> (03.05.23), התקבל ערעור על חומרת העונש, 69 חודשי מאסר בפועל (כולל 9 חודשי מאסר שהופעלו במצטבר) שהופחתו ל 59 חודשים. בית המשפט השלום קבע </w:t>
      </w:r>
      <w:r>
        <w:rPr>
          <w:b/>
          <w:bCs/>
          <w:color w:val="000000"/>
          <w:shd w:val="clear" w:color="auto" w:fill="FFFFFF"/>
          <w:rtl/>
        </w:rPr>
        <w:t>מתחם הולם בין 4 ל-6 שנות מאסר</w:t>
      </w:r>
      <w:r>
        <w:rPr>
          <w:color w:val="000000"/>
          <w:shd w:val="clear" w:color="auto" w:fill="FFFFFF"/>
          <w:rtl/>
        </w:rPr>
        <w:t>, במקרה בו הורשע המערער בהחזקת נשק וסם מסוכן, בנסיבות בהן החזיק במכוניתו – לבנת חבלה מתוצרת 'רפאל' ועל גופו 3 גרם קוקאין ו</w:t>
      </w:r>
      <w:r>
        <w:rPr>
          <w:color w:val="000000"/>
          <w:shd w:val="clear" w:color="auto" w:fill="FFFFFF"/>
        </w:rPr>
        <w:t>MDMA</w:t>
      </w:r>
      <w:r>
        <w:rPr>
          <w:color w:val="000000"/>
          <w:shd w:val="clear" w:color="auto" w:fill="FFFFFF"/>
          <w:rtl/>
        </w:rPr>
        <w:t xml:space="preserve"> ו – 60 גרם קטמין. </w:t>
      </w:r>
    </w:p>
    <w:p w14:paraId="444FC483" w14:textId="77777777" w:rsidR="0077772E" w:rsidRDefault="0077772E" w:rsidP="0077772E">
      <w:pPr>
        <w:spacing w:line="360" w:lineRule="auto"/>
        <w:jc w:val="both"/>
        <w:rPr>
          <w:color w:val="000000"/>
          <w:shd w:val="clear" w:color="auto" w:fill="FFFFFF"/>
          <w:rtl/>
        </w:rPr>
      </w:pPr>
    </w:p>
    <w:p w14:paraId="43329C3F" w14:textId="77777777" w:rsidR="0077772E" w:rsidRDefault="0077772E" w:rsidP="0077772E">
      <w:pPr>
        <w:spacing w:line="360" w:lineRule="auto"/>
        <w:jc w:val="both"/>
        <w:rPr>
          <w:b/>
          <w:bCs/>
          <w:color w:val="000000"/>
          <w:shd w:val="clear" w:color="auto" w:fill="FFFFFF"/>
          <w:rtl/>
        </w:rPr>
      </w:pPr>
      <w:r>
        <w:rPr>
          <w:color w:val="000000"/>
          <w:shd w:val="clear" w:color="auto" w:fill="FFFFFF"/>
          <w:rtl/>
        </w:rPr>
        <w:t>ב</w:t>
      </w:r>
      <w:hyperlink r:id="rId48" w:history="1">
        <w:r w:rsidR="00676E55" w:rsidRPr="00676E55">
          <w:rPr>
            <w:color w:val="0000FF"/>
            <w:u w:val="single"/>
            <w:shd w:val="clear" w:color="auto" w:fill="FFFFFF"/>
            <w:rtl/>
          </w:rPr>
          <w:t>עפ"ג (מחוזי י-ם) 9367-01-21</w:t>
        </w:r>
      </w:hyperlink>
      <w:r>
        <w:rPr>
          <w:color w:val="000000"/>
          <w:shd w:val="clear" w:color="auto" w:fill="FFFFFF"/>
          <w:rtl/>
        </w:rPr>
        <w:t xml:space="preserve"> </w:t>
      </w:r>
      <w:r>
        <w:rPr>
          <w:b/>
          <w:bCs/>
          <w:color w:val="000000"/>
          <w:shd w:val="clear" w:color="auto" w:fill="FFFFFF"/>
          <w:rtl/>
        </w:rPr>
        <w:t>עבאסי נ' מדינת ישראל</w:t>
      </w:r>
      <w:r>
        <w:rPr>
          <w:color w:val="000000"/>
          <w:shd w:val="clear" w:color="auto" w:fill="FFFFFF"/>
          <w:rtl/>
        </w:rPr>
        <w:t xml:space="preserve"> (11.05.21), ( אליו הפנתה ההגנה) דחה בית המשפט ערעור על חומרת העונש. בית משפט השלום קבע מתחם הולם </w:t>
      </w:r>
      <w:r>
        <w:rPr>
          <w:b/>
          <w:bCs/>
          <w:color w:val="000000"/>
          <w:shd w:val="clear" w:color="auto" w:fill="FFFFFF"/>
          <w:rtl/>
        </w:rPr>
        <w:t>בין 20 חודשי מאסר ל-4 שנות מאסר בפועל</w:t>
      </w:r>
      <w:r>
        <w:rPr>
          <w:color w:val="000000"/>
          <w:shd w:val="clear" w:color="auto" w:fill="FFFFFF"/>
          <w:rtl/>
        </w:rPr>
        <w:t xml:space="preserve">, במקרה בו הורשע המערער בעבירה של </w:t>
      </w:r>
      <w:r>
        <w:rPr>
          <w:b/>
          <w:bCs/>
          <w:color w:val="000000"/>
          <w:shd w:val="clear" w:color="auto" w:fill="FFFFFF"/>
          <w:rtl/>
        </w:rPr>
        <w:t xml:space="preserve">ניסיון </w:t>
      </w:r>
      <w:r>
        <w:rPr>
          <w:color w:val="000000"/>
          <w:shd w:val="clear" w:color="auto" w:fill="FFFFFF"/>
          <w:rtl/>
        </w:rPr>
        <w:t xml:space="preserve">להחזקת נשק, בנסיבות בהן קיבל המערער מסוכן סמוי שקית ובה שני חפצים שנחזו להיות מטעני חבלה שהכילו חומר נפץ. </w:t>
      </w:r>
      <w:r>
        <w:rPr>
          <w:b/>
          <w:bCs/>
          <w:color w:val="000000"/>
          <w:shd w:val="clear" w:color="auto" w:fill="FFFFFF"/>
          <w:rtl/>
        </w:rPr>
        <w:t>ונגזר עליו 32 חודשי מאסר בפועל.</w:t>
      </w:r>
    </w:p>
    <w:p w14:paraId="07A101BE" w14:textId="77777777" w:rsidR="0077772E" w:rsidRDefault="0077772E" w:rsidP="0077772E">
      <w:pPr>
        <w:spacing w:line="360" w:lineRule="auto"/>
        <w:jc w:val="both"/>
        <w:rPr>
          <w:b/>
          <w:bCs/>
          <w:color w:val="000000"/>
          <w:shd w:val="clear" w:color="auto" w:fill="FFFFFF"/>
          <w:rtl/>
        </w:rPr>
      </w:pPr>
    </w:p>
    <w:p w14:paraId="46CC9C3B" w14:textId="77777777" w:rsidR="0077772E" w:rsidRDefault="0077772E" w:rsidP="0077772E">
      <w:pPr>
        <w:spacing w:line="360" w:lineRule="auto"/>
        <w:jc w:val="both"/>
        <w:rPr>
          <w:rFonts w:ascii="David" w:hAnsi="David"/>
          <w:color w:val="000000"/>
          <w:shd w:val="clear" w:color="auto" w:fill="FFFFFF"/>
          <w:rtl/>
        </w:rPr>
      </w:pPr>
      <w:r>
        <w:rPr>
          <w:color w:val="000000"/>
          <w:shd w:val="clear" w:color="auto" w:fill="FFFFFF"/>
          <w:rtl/>
        </w:rPr>
        <w:t>ב</w:t>
      </w:r>
      <w:hyperlink r:id="rId49" w:history="1">
        <w:r w:rsidR="00676E55" w:rsidRPr="00676E55">
          <w:rPr>
            <w:color w:val="0000FF"/>
            <w:u w:val="single"/>
            <w:shd w:val="clear" w:color="auto" w:fill="FFFFFF"/>
            <w:rtl/>
          </w:rPr>
          <w:t>ת"פ (מחוזי חיפה) 12158-04-23</w:t>
        </w:r>
      </w:hyperlink>
      <w:r>
        <w:rPr>
          <w:color w:val="000000"/>
          <w:shd w:val="clear" w:color="auto" w:fill="FFFFFF"/>
          <w:rtl/>
        </w:rPr>
        <w:t xml:space="preserve"> </w:t>
      </w:r>
      <w:r>
        <w:rPr>
          <w:b/>
          <w:bCs/>
          <w:color w:val="000000"/>
          <w:shd w:val="clear" w:color="auto" w:fill="FFFFFF"/>
          <w:rtl/>
        </w:rPr>
        <w:t>מדינת ישראל נ' אליאב אסולין</w:t>
      </w:r>
      <w:r>
        <w:rPr>
          <w:color w:val="000000"/>
          <w:shd w:val="clear" w:color="auto" w:fill="FFFFFF"/>
          <w:rtl/>
        </w:rPr>
        <w:t xml:space="preserve"> (30.01.24) (אליו הפנתה ההגנה), </w:t>
      </w:r>
      <w:bookmarkStart w:id="8" w:name="_Hlk156161087"/>
      <w:r>
        <w:rPr>
          <w:color w:val="000000"/>
          <w:shd w:val="clear" w:color="auto" w:fill="FFFFFF"/>
          <w:rtl/>
        </w:rPr>
        <w:t>החזיק הנאשם במטען חבלה מאולתר</w:t>
      </w:r>
      <w:r w:rsidR="00676E55">
        <w:rPr>
          <w:rFonts w:ascii="David" w:hAnsi="David"/>
          <w:color w:val="000000"/>
          <w:shd w:val="clear" w:color="auto" w:fill="FFFFFF"/>
          <w:rtl/>
        </w:rPr>
        <w:t xml:space="preserve"> </w:t>
      </w:r>
      <w:r>
        <w:rPr>
          <w:rFonts w:ascii="David" w:hAnsi="David"/>
          <w:color w:val="000000"/>
          <w:shd w:val="clear" w:color="auto" w:fill="FFFFFF"/>
          <w:rtl/>
        </w:rPr>
        <w:t>בעל מערכת הפעלה אלחוטי, שבכוחו להמית</w:t>
      </w:r>
      <w:r>
        <w:rPr>
          <w:rFonts w:ascii="David" w:hAnsi="David"/>
          <w:color w:val="000000"/>
          <w:shd w:val="clear" w:color="auto" w:fill="FFFFFF"/>
        </w:rPr>
        <w:t>.</w:t>
      </w:r>
      <w:r w:rsidR="00676E55">
        <w:rPr>
          <w:rFonts w:ascii="David" w:hAnsi="David"/>
          <w:color w:val="000000"/>
          <w:shd w:val="clear" w:color="auto" w:fill="FFFFFF"/>
          <w:rtl/>
        </w:rPr>
        <w:t xml:space="preserve"> </w:t>
      </w:r>
      <w:bookmarkEnd w:id="8"/>
      <w:r>
        <w:rPr>
          <w:rFonts w:ascii="David" w:hAnsi="David"/>
          <w:color w:val="000000"/>
          <w:shd w:val="clear" w:color="auto" w:fill="FFFFFF"/>
          <w:rtl/>
        </w:rPr>
        <w:t>בית המשפט</w:t>
      </w:r>
      <w:r>
        <w:rPr>
          <w:rFonts w:ascii="David" w:hAnsi="David"/>
          <w:color w:val="000000"/>
          <w:shd w:val="clear" w:color="auto" w:fill="FFFFFF"/>
        </w:rPr>
        <w:t xml:space="preserve"> </w:t>
      </w:r>
      <w:r>
        <w:rPr>
          <w:rFonts w:ascii="David" w:hAnsi="David"/>
          <w:color w:val="000000"/>
          <w:shd w:val="clear" w:color="auto" w:fill="FFFFFF"/>
          <w:rtl/>
        </w:rPr>
        <w:t xml:space="preserve">קבע את מתחם העונש לעבירת הנשק (הנאשם הורשע גם בעבירת סמים קלה) </w:t>
      </w:r>
      <w:r>
        <w:rPr>
          <w:rFonts w:ascii="David" w:hAnsi="David"/>
          <w:b/>
          <w:bCs/>
          <w:color w:val="000000"/>
          <w:shd w:val="clear" w:color="auto" w:fill="FFFFFF"/>
          <w:rtl/>
        </w:rPr>
        <w:t>בין 20</w:t>
      </w:r>
      <w:r>
        <w:rPr>
          <w:rFonts w:ascii="David" w:hAnsi="David"/>
          <w:b/>
          <w:bCs/>
          <w:color w:val="000000"/>
          <w:shd w:val="clear" w:color="auto" w:fill="FFFFFF"/>
        </w:rPr>
        <w:t xml:space="preserve"> </w:t>
      </w:r>
      <w:r>
        <w:rPr>
          <w:rFonts w:ascii="David" w:hAnsi="David"/>
          <w:b/>
          <w:bCs/>
          <w:color w:val="000000"/>
          <w:shd w:val="clear" w:color="auto" w:fill="FFFFFF"/>
          <w:rtl/>
        </w:rPr>
        <w:t>ל-48 חודשי מאסר</w:t>
      </w:r>
      <w:r>
        <w:rPr>
          <w:rFonts w:ascii="David" w:hAnsi="David"/>
          <w:color w:val="000000"/>
          <w:shd w:val="clear" w:color="auto" w:fill="FFFFFF"/>
          <w:rtl/>
        </w:rPr>
        <w:t xml:space="preserve">, וגזר על הנאשם 28 חודשי מאסר בפועל . </w:t>
      </w:r>
    </w:p>
    <w:p w14:paraId="329264D7" w14:textId="77777777" w:rsidR="0077772E" w:rsidRDefault="0077772E" w:rsidP="0077772E">
      <w:pPr>
        <w:spacing w:line="360" w:lineRule="auto"/>
        <w:jc w:val="both"/>
        <w:rPr>
          <w:rFonts w:ascii="David" w:hAnsi="David"/>
          <w:color w:val="000000"/>
          <w:shd w:val="clear" w:color="auto" w:fill="FFFFFF"/>
          <w:rtl/>
        </w:rPr>
      </w:pPr>
    </w:p>
    <w:p w14:paraId="35336B0A"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50" w:history="1">
        <w:r w:rsidR="00676E55" w:rsidRPr="00676E55">
          <w:rPr>
            <w:color w:val="0000FF"/>
            <w:u w:val="single"/>
            <w:shd w:val="clear" w:color="auto" w:fill="FFFFFF"/>
            <w:rtl/>
          </w:rPr>
          <w:t>ת"פ (שלום נתניה) 70231-02-19</w:t>
        </w:r>
      </w:hyperlink>
      <w:r>
        <w:rPr>
          <w:color w:val="000000"/>
          <w:shd w:val="clear" w:color="auto" w:fill="FFFFFF"/>
          <w:rtl/>
        </w:rPr>
        <w:t xml:space="preserve"> </w:t>
      </w:r>
      <w:r>
        <w:rPr>
          <w:b/>
          <w:bCs/>
          <w:color w:val="000000"/>
          <w:shd w:val="clear" w:color="auto" w:fill="FFFFFF"/>
          <w:rtl/>
        </w:rPr>
        <w:t>מדינת ישראל נ' אלימליח</w:t>
      </w:r>
      <w:r>
        <w:rPr>
          <w:color w:val="000000"/>
          <w:shd w:val="clear" w:color="auto" w:fill="FFFFFF"/>
          <w:rtl/>
        </w:rPr>
        <w:t xml:space="preserve"> (12.12.23), </w:t>
      </w:r>
      <w:r>
        <w:rPr>
          <w:b/>
          <w:bCs/>
          <w:color w:val="000000"/>
          <w:shd w:val="clear" w:color="auto" w:fill="FFFFFF"/>
          <w:rtl/>
        </w:rPr>
        <w:t>נקבע מתחם הולם בין 3 ל-5 שנות מאסר בפועל</w:t>
      </w:r>
      <w:r>
        <w:rPr>
          <w:color w:val="000000"/>
          <w:shd w:val="clear" w:color="auto" w:fill="FFFFFF"/>
          <w:rtl/>
        </w:rPr>
        <w:t xml:space="preserve">. הנאשם הורשע הנאשם בעבירות החזקת נשק לפי </w:t>
      </w:r>
      <w:hyperlink r:id="rId51" w:history="1">
        <w:r w:rsidR="00EB22A4" w:rsidRPr="00EB22A4">
          <w:rPr>
            <w:color w:val="0000FF"/>
            <w:u w:val="single"/>
            <w:shd w:val="clear" w:color="auto" w:fill="FFFFFF"/>
            <w:rtl/>
          </w:rPr>
          <w:t>סעיף 144א</w:t>
        </w:r>
      </w:hyperlink>
      <w:r>
        <w:rPr>
          <w:color w:val="000000"/>
          <w:shd w:val="clear" w:color="auto" w:fill="FFFFFF"/>
          <w:rtl/>
        </w:rPr>
        <w:t xml:space="preserve"> רישא, והחזקת תחמושת לפי </w:t>
      </w:r>
      <w:hyperlink r:id="rId52" w:history="1">
        <w:r w:rsidR="00EB22A4" w:rsidRPr="00EB22A4">
          <w:rPr>
            <w:color w:val="0000FF"/>
            <w:u w:val="single"/>
            <w:shd w:val="clear" w:color="auto" w:fill="FFFFFF"/>
            <w:rtl/>
          </w:rPr>
          <w:t>סעיף 144א</w:t>
        </w:r>
      </w:hyperlink>
      <w:r>
        <w:rPr>
          <w:color w:val="000000"/>
          <w:shd w:val="clear" w:color="auto" w:fill="FFFFFF"/>
          <w:rtl/>
        </w:rPr>
        <w:t xml:space="preserve"> סיפא; החזקת סמים שלא לצריכה עצמית; החזקת כלים  והחזקת שטר כסף מזויף. המדובר בנאשם שהחזיק ברכב שבבעלותו מטען חבלה מאולתר שבכוחו להמית, אליו הוצמד טלפון סלולרי. בנוסף החזיק במחסנית וקופסת כדורי 9 מ"מ, סם קנבוס במשקל של 711 גרם שחולק לשקיות, שני משקלים ו-8 שטרות של 100 מזויפים. עונשו של הנאשם נגזר ל 45 חודשי מאסר בפועל. ערעור שהגיש הנאשם טרם נדון. </w:t>
      </w:r>
    </w:p>
    <w:p w14:paraId="109E3DCC" w14:textId="77777777" w:rsidR="0077772E" w:rsidRDefault="0077772E" w:rsidP="0077772E">
      <w:pPr>
        <w:spacing w:line="360" w:lineRule="auto"/>
        <w:jc w:val="both"/>
        <w:rPr>
          <w:color w:val="000000"/>
          <w:shd w:val="clear" w:color="auto" w:fill="FFFFFF"/>
          <w:rtl/>
        </w:rPr>
      </w:pPr>
    </w:p>
    <w:p w14:paraId="21B56273" w14:textId="77777777" w:rsidR="0077772E" w:rsidRDefault="0077772E" w:rsidP="0077772E">
      <w:pPr>
        <w:spacing w:line="360" w:lineRule="auto"/>
        <w:jc w:val="both"/>
        <w:rPr>
          <w:color w:val="000000"/>
          <w:shd w:val="clear" w:color="auto" w:fill="FFFFFF"/>
        </w:rPr>
      </w:pPr>
      <w:r>
        <w:rPr>
          <w:color w:val="000000"/>
          <w:shd w:val="clear" w:color="auto" w:fill="FFFFFF"/>
          <w:rtl/>
        </w:rPr>
        <w:t>ב</w:t>
      </w:r>
      <w:hyperlink r:id="rId53" w:history="1">
        <w:r w:rsidR="00676E55" w:rsidRPr="00676E55">
          <w:rPr>
            <w:color w:val="0000FF"/>
            <w:u w:val="single"/>
            <w:shd w:val="clear" w:color="auto" w:fill="FFFFFF"/>
            <w:rtl/>
          </w:rPr>
          <w:t>ת"פ (שלום כפר סבא) 58061-02-19</w:t>
        </w:r>
      </w:hyperlink>
      <w:r>
        <w:rPr>
          <w:color w:val="000000"/>
          <w:shd w:val="clear" w:color="auto" w:fill="FFFFFF"/>
          <w:rtl/>
        </w:rPr>
        <w:t xml:space="preserve"> </w:t>
      </w:r>
      <w:r>
        <w:rPr>
          <w:b/>
          <w:bCs/>
          <w:color w:val="000000"/>
          <w:shd w:val="clear" w:color="auto" w:fill="FFFFFF"/>
          <w:rtl/>
        </w:rPr>
        <w:t>מדינת ישראל נ' מוטי קזס</w:t>
      </w:r>
      <w:r>
        <w:rPr>
          <w:color w:val="000000"/>
          <w:shd w:val="clear" w:color="auto" w:fill="FFFFFF"/>
          <w:rtl/>
        </w:rPr>
        <w:t xml:space="preserve"> (09.09.19), שם נקבע מתחם שנע בין </w:t>
      </w:r>
      <w:r>
        <w:rPr>
          <w:b/>
          <w:bCs/>
          <w:color w:val="000000"/>
          <w:shd w:val="clear" w:color="auto" w:fill="FFFFFF"/>
          <w:rtl/>
        </w:rPr>
        <w:t>10 ל-26 חודשי מאסר בפועל.</w:t>
      </w:r>
      <w:r>
        <w:rPr>
          <w:color w:val="000000"/>
          <w:shd w:val="clear" w:color="auto" w:fill="FFFFFF"/>
          <w:rtl/>
        </w:rPr>
        <w:t xml:space="preserve"> בנסיבות בהן הורשע הנאשם בעבירה של החזקת נשק. מדובר בנאשם שהחזיק בביתו משך 13 שנים מטען חבלה מאולתר המורכב מצינור בקוטר 2.5 ס"מ ובאורך 20 ס"מ, שהכיל כדוריות, פתיל הצתה ותערובת נפץ. בנוסף החזיק 470 כדורי תחמושת התואמים לכלי ירייה מסוגים שונים. עונשו של הנאשם (קודם לתיקון בחוק) הועמד על 10 חודשי מאסר בפועל.</w:t>
      </w:r>
    </w:p>
    <w:p w14:paraId="468E971D" w14:textId="77777777" w:rsidR="0077772E" w:rsidRDefault="0077772E" w:rsidP="0077772E">
      <w:pPr>
        <w:spacing w:line="360" w:lineRule="auto"/>
        <w:jc w:val="both"/>
        <w:rPr>
          <w:color w:val="000000"/>
          <w:shd w:val="clear" w:color="auto" w:fill="FFFFFF"/>
          <w:rtl/>
        </w:rPr>
      </w:pPr>
    </w:p>
    <w:p w14:paraId="67481C5C" w14:textId="77777777" w:rsidR="0077772E" w:rsidRDefault="0077772E" w:rsidP="0077772E">
      <w:pPr>
        <w:spacing w:line="360" w:lineRule="auto"/>
        <w:jc w:val="both"/>
        <w:rPr>
          <w:rFonts w:ascii="David" w:hAnsi="David"/>
          <w:rtl/>
        </w:rPr>
      </w:pPr>
      <w:r>
        <w:rPr>
          <w:rFonts w:ascii="David" w:hAnsi="David"/>
          <w:rtl/>
        </w:rPr>
        <w:t>כאן המקום להוסיף כי ב</w:t>
      </w:r>
      <w:hyperlink r:id="rId54" w:history="1">
        <w:r w:rsidR="00676E55" w:rsidRPr="00676E55">
          <w:rPr>
            <w:rFonts w:ascii="David" w:hAnsi="David"/>
            <w:color w:val="0000FF"/>
            <w:u w:val="single"/>
            <w:rtl/>
          </w:rPr>
          <w:t>ת"פ (שלום ב"ש) 4658-05-21</w:t>
        </w:r>
      </w:hyperlink>
      <w:r>
        <w:rPr>
          <w:rtl/>
        </w:rPr>
        <w:t xml:space="preserve"> </w:t>
      </w:r>
      <w:r>
        <w:rPr>
          <w:b/>
          <w:bCs/>
          <w:rtl/>
        </w:rPr>
        <w:t>מדינת ישראל נ' אבו רקיק</w:t>
      </w:r>
      <w:r>
        <w:rPr>
          <w:rtl/>
        </w:rPr>
        <w:t xml:space="preserve"> (13.12.22, אליו הפנתה ההגנה בטענתה למתחם עונש הולם שנקבע בין </w:t>
      </w:r>
      <w:r>
        <w:rPr>
          <w:b/>
          <w:bCs/>
          <w:rtl/>
        </w:rPr>
        <w:t>מאסר על תנאי ל-6 חודשי מאסר שיוכלו וירוצו בעבודות</w:t>
      </w:r>
      <w:r>
        <w:rPr>
          <w:rtl/>
        </w:rPr>
        <w:t xml:space="preserve"> שירות</w:t>
      </w:r>
      <w:r>
        <w:rPr>
          <w:rFonts w:ascii="David" w:hAnsi="David"/>
          <w:color w:val="000000"/>
          <w:shd w:val="clear" w:color="auto" w:fill="FFFFFF"/>
          <w:rtl/>
        </w:rPr>
        <w:t xml:space="preserve"> – דובר </w:t>
      </w:r>
      <w:r>
        <w:rPr>
          <w:rtl/>
        </w:rPr>
        <w:t xml:space="preserve">במקרה שנסיבותיו שונות לחלוטין ואשר ברי כי אינו יכול להוות אמת מידה למקרה הנדון . אבו רקיק, הורשע בעבירה של </w:t>
      </w:r>
      <w:r>
        <w:rPr>
          <w:rFonts w:ascii="David" w:hAnsi="David"/>
          <w:rtl/>
        </w:rPr>
        <w:t xml:space="preserve">החזקת חלק של נשק/ תחמושת,  לפי </w:t>
      </w:r>
      <w:hyperlink r:id="rId55" w:history="1">
        <w:r w:rsidR="00EB22A4" w:rsidRPr="00EB22A4">
          <w:rPr>
            <w:rFonts w:ascii="David" w:hAnsi="David"/>
            <w:color w:val="0000FF"/>
            <w:u w:val="single"/>
            <w:rtl/>
          </w:rPr>
          <w:t>סעיף 144</w:t>
        </w:r>
      </w:hyperlink>
      <w:r>
        <w:rPr>
          <w:rFonts w:ascii="David" w:hAnsi="David"/>
          <w:rtl/>
        </w:rPr>
        <w:t xml:space="preserve"> (א) סיפא, בנסיבות בהן החזיק אבו רקייק שנהג לאסוף ברזל לצורך מכירתו, 23 חלקי מתכת פנימיים אשר שימשו גופי מחסניות של אקדח אוטומטי מסוג גלוק, וחלק מתכת אשר שימש מדפס לרובה סער הגליל. </w:t>
      </w:r>
    </w:p>
    <w:p w14:paraId="5474D3AE" w14:textId="77777777" w:rsidR="0077772E" w:rsidRDefault="0077772E" w:rsidP="0077772E">
      <w:pPr>
        <w:spacing w:line="360" w:lineRule="auto"/>
        <w:jc w:val="both"/>
        <w:rPr>
          <w:rFonts w:ascii="David" w:hAnsi="David"/>
          <w:rtl/>
        </w:rPr>
      </w:pPr>
    </w:p>
    <w:p w14:paraId="20E9A762" w14:textId="77777777" w:rsidR="0077772E" w:rsidRDefault="0077772E" w:rsidP="0077772E">
      <w:pPr>
        <w:spacing w:line="360" w:lineRule="auto"/>
        <w:jc w:val="both"/>
        <w:rPr>
          <w:rFonts w:ascii="David" w:hAnsi="David"/>
          <w:b/>
          <w:bCs/>
          <w:rtl/>
        </w:rPr>
      </w:pPr>
      <w:r>
        <w:rPr>
          <w:rFonts w:ascii="David" w:hAnsi="David"/>
          <w:rtl/>
        </w:rPr>
        <w:t>אשר למקרים אליהם הפנתה המאשימה, יש לומר</w:t>
      </w:r>
      <w:r>
        <w:rPr>
          <w:rFonts w:ascii="David" w:hAnsi="David" w:hint="cs"/>
          <w:rtl/>
        </w:rPr>
        <w:t>,</w:t>
      </w:r>
      <w:r>
        <w:rPr>
          <w:rFonts w:ascii="David" w:hAnsi="David"/>
          <w:rtl/>
        </w:rPr>
        <w:t xml:space="preserve"> כי אלה אינם תומכים במתחם העונש לו עתרה. כך למשל, ב</w:t>
      </w:r>
      <w:hyperlink r:id="rId56" w:history="1">
        <w:r w:rsidR="00676E55" w:rsidRPr="00676E55">
          <w:rPr>
            <w:rFonts w:ascii="David" w:hAnsi="David"/>
            <w:color w:val="0000FF"/>
            <w:u w:val="single"/>
            <w:rtl/>
          </w:rPr>
          <w:t>ת"פ (שלום ב"ש) 27417-07-23</w:t>
        </w:r>
      </w:hyperlink>
      <w:r>
        <w:rPr>
          <w:rFonts w:ascii="David" w:hAnsi="David"/>
          <w:rtl/>
        </w:rPr>
        <w:t xml:space="preserve"> </w:t>
      </w:r>
      <w:r>
        <w:rPr>
          <w:rFonts w:ascii="David" w:hAnsi="David"/>
          <w:b/>
          <w:bCs/>
          <w:rtl/>
        </w:rPr>
        <w:t xml:space="preserve">מדינת ישראל נ' יוחאי ביטון, (ניתן על ידי מותב זה) </w:t>
      </w:r>
      <w:r>
        <w:rPr>
          <w:rFonts w:ascii="David" w:hAnsi="David"/>
          <w:rtl/>
        </w:rPr>
        <w:t>דובר בנסיבות חמורות פי כמה מנסיבות המקרה הנדון, גם בהקשר של התנהלות הנאשם, עברו הפלילי ועוד</w:t>
      </w:r>
      <w:r>
        <w:rPr>
          <w:rFonts w:ascii="David" w:hAnsi="David"/>
          <w:b/>
          <w:bCs/>
          <w:rtl/>
        </w:rPr>
        <w:t xml:space="preserve">. </w:t>
      </w:r>
    </w:p>
    <w:p w14:paraId="3EC72707" w14:textId="77777777" w:rsidR="0077772E" w:rsidRDefault="0077772E" w:rsidP="0077772E">
      <w:pPr>
        <w:spacing w:line="360" w:lineRule="auto"/>
        <w:jc w:val="both"/>
        <w:rPr>
          <w:rFonts w:ascii="David" w:hAnsi="David"/>
          <w:rtl/>
        </w:rPr>
      </w:pPr>
      <w:r>
        <w:rPr>
          <w:rFonts w:ascii="David" w:hAnsi="David"/>
          <w:rtl/>
        </w:rPr>
        <w:t>ובאשר</w:t>
      </w:r>
      <w:r>
        <w:rPr>
          <w:rFonts w:ascii="David" w:hAnsi="David"/>
          <w:b/>
          <w:bCs/>
          <w:rtl/>
        </w:rPr>
        <w:t xml:space="preserve"> </w:t>
      </w:r>
      <w:r>
        <w:rPr>
          <w:rFonts w:ascii="David" w:hAnsi="David"/>
          <w:rtl/>
        </w:rPr>
        <w:t>ל</w:t>
      </w:r>
      <w:hyperlink r:id="rId57" w:history="1">
        <w:r w:rsidR="00676E55" w:rsidRPr="00676E55">
          <w:rPr>
            <w:rFonts w:ascii="David" w:hAnsi="David"/>
            <w:color w:val="0000FF"/>
            <w:u w:val="single"/>
            <w:rtl/>
          </w:rPr>
          <w:t>ת"פ (שלום ב"ש) 16541-01-21</w:t>
        </w:r>
      </w:hyperlink>
      <w:r>
        <w:rPr>
          <w:rFonts w:ascii="David" w:hAnsi="David"/>
          <w:rtl/>
        </w:rPr>
        <w:t xml:space="preserve"> </w:t>
      </w:r>
      <w:r>
        <w:rPr>
          <w:rFonts w:ascii="David" w:hAnsi="David"/>
          <w:b/>
          <w:bCs/>
          <w:rtl/>
        </w:rPr>
        <w:t xml:space="preserve">מדינת ישראל נ' אדם אלנעאמני </w:t>
      </w:r>
      <w:r>
        <w:rPr>
          <w:rFonts w:ascii="David" w:hAnsi="David"/>
          <w:rtl/>
        </w:rPr>
        <w:t xml:space="preserve">(24.1.22), הרי שם נקבע מתחם עונש בין 22 ל -48 חודשי מאסר בפועל, בנסיבות בהן החזיק הנאשם בביתו אקדח, רובה לא תקין, מחסניות וכדורים, וכן 273 גרם קנאבוס. </w:t>
      </w:r>
    </w:p>
    <w:p w14:paraId="79311BDE" w14:textId="77777777" w:rsidR="0077772E" w:rsidRDefault="0077772E" w:rsidP="0077772E">
      <w:pPr>
        <w:spacing w:line="360" w:lineRule="auto"/>
        <w:jc w:val="both"/>
        <w:rPr>
          <w:rFonts w:ascii="David" w:hAnsi="David"/>
          <w:rtl/>
        </w:rPr>
      </w:pPr>
    </w:p>
    <w:p w14:paraId="6C071C2A" w14:textId="77777777" w:rsidR="0077772E" w:rsidRDefault="0077772E" w:rsidP="0077772E">
      <w:pPr>
        <w:spacing w:line="360" w:lineRule="auto"/>
        <w:jc w:val="both"/>
        <w:rPr>
          <w:rFonts w:ascii="David" w:hAnsi="David"/>
          <w:b/>
          <w:bCs/>
          <w:color w:val="000000"/>
          <w:shd w:val="clear" w:color="auto" w:fill="FFFFFF"/>
          <w:rtl/>
        </w:rPr>
      </w:pPr>
      <w:r>
        <w:rPr>
          <w:rFonts w:ascii="David" w:hAnsi="David"/>
          <w:b/>
          <w:bCs/>
          <w:color w:val="000000"/>
          <w:shd w:val="clear" w:color="auto" w:fill="FFFFFF"/>
          <w:rtl/>
        </w:rPr>
        <w:t>סיכום כלל הדברים האמורים, בהינתן העבירות בנסיבות ביצוען, מידת פגיעת הנאשם בערכים המוגנים לצד הענישה הנוהגת,  אני קובעת את מתחם העונש כך שינוע בין 30 ל 60 חודשי מאסר בפועל.</w:t>
      </w:r>
    </w:p>
    <w:p w14:paraId="67D075A9" w14:textId="77777777" w:rsidR="0077772E" w:rsidRDefault="0077772E" w:rsidP="0077772E">
      <w:pPr>
        <w:spacing w:line="360" w:lineRule="auto"/>
        <w:ind w:left="84"/>
        <w:contextualSpacing/>
        <w:jc w:val="both"/>
        <w:rPr>
          <w:rFonts w:ascii="David" w:hAnsi="David"/>
          <w:b/>
          <w:bCs/>
          <w:color w:val="000000"/>
          <w:sz w:val="26"/>
          <w:szCs w:val="26"/>
          <w:u w:val="single"/>
          <w:shd w:val="clear" w:color="auto" w:fill="FFFFFF"/>
          <w:rtl/>
        </w:rPr>
      </w:pPr>
    </w:p>
    <w:p w14:paraId="433EBEB8" w14:textId="77777777" w:rsidR="0077772E" w:rsidRDefault="0077772E" w:rsidP="0077772E">
      <w:pPr>
        <w:spacing w:line="360" w:lineRule="auto"/>
        <w:ind w:left="84"/>
        <w:contextualSpacing/>
        <w:jc w:val="both"/>
        <w:rPr>
          <w:rFonts w:ascii="David" w:hAnsi="David"/>
          <w:b/>
          <w:bCs/>
          <w:color w:val="000000"/>
          <w:sz w:val="26"/>
          <w:szCs w:val="26"/>
          <w:u w:val="single"/>
          <w:shd w:val="clear" w:color="auto" w:fill="FFFFFF"/>
        </w:rPr>
      </w:pPr>
      <w:r>
        <w:rPr>
          <w:rFonts w:ascii="David" w:hAnsi="David"/>
          <w:b/>
          <w:bCs/>
          <w:color w:val="000000"/>
          <w:sz w:val="26"/>
          <w:szCs w:val="26"/>
          <w:u w:val="single"/>
          <w:shd w:val="clear" w:color="auto" w:fill="FFFFFF"/>
          <w:rtl/>
        </w:rPr>
        <w:t>עונשו של הנאשם</w:t>
      </w:r>
    </w:p>
    <w:p w14:paraId="59276904"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5.</w:t>
      </w:r>
      <w:r>
        <w:rPr>
          <w:rFonts w:ascii="David" w:hAnsi="David"/>
          <w:color w:val="000000"/>
          <w:shd w:val="clear" w:color="auto" w:fill="FFFFFF"/>
          <w:rtl/>
        </w:rPr>
        <w:tab/>
        <w:t xml:space="preserve">בהעדר שיקולי שיקום, עונשו של הנאשם ייקבע בגדרי מתחם העונש ההולם שנקבע כאמור. בגזירת העונש אתחשב בנסיבות ושיקולים שאינם קשורים לנסיבות ביצוע העבירה. </w:t>
      </w:r>
    </w:p>
    <w:p w14:paraId="57F4A5EE" w14:textId="77777777" w:rsidR="0077772E" w:rsidRDefault="0077772E" w:rsidP="0077772E">
      <w:pPr>
        <w:spacing w:line="360" w:lineRule="auto"/>
        <w:jc w:val="both"/>
        <w:rPr>
          <w:rFonts w:ascii="David" w:hAnsi="David"/>
          <w:color w:val="000000"/>
          <w:shd w:val="clear" w:color="auto" w:fill="FFFFFF"/>
          <w:rtl/>
        </w:rPr>
      </w:pPr>
    </w:p>
    <w:p w14:paraId="5F8E6F61"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הנאשם הנותן את הדין היום בן 24, רווק. בהעדר תסקיר שירות המבחן, על קורותיו ניתן ללמוד אך מדברי באת כוחו ורישומו הפלילי. </w:t>
      </w:r>
    </w:p>
    <w:p w14:paraId="7653C6DC" w14:textId="77777777" w:rsidR="0077772E" w:rsidRDefault="0077772E" w:rsidP="0077772E">
      <w:pPr>
        <w:spacing w:line="360" w:lineRule="auto"/>
        <w:jc w:val="both"/>
        <w:rPr>
          <w:rFonts w:ascii="David" w:hAnsi="David"/>
          <w:color w:val="000000"/>
          <w:shd w:val="clear" w:color="auto" w:fill="FFFFFF"/>
          <w:rtl/>
        </w:rPr>
      </w:pPr>
    </w:p>
    <w:p w14:paraId="0700D1F9"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הרישום הפלילי כולל הרשעות. האחרונה מספטמבר 2020 בעבירות של חבלה במזיד ברכב ותקיפה וחבלה ממשית ע"י שניים או יותר, בגינן נגזרו עליו 10 חודשי מאסר בפועל, ומאסר על תנאי בעבירות אלימות. הרשעה נוספת מינואר 2020 מבית המשפט לנוער, בעבירות תקיפת שוטר כדי להכשילו בתפקידו, תקיפת שוטר ע"י שלושה או יותר, הפרעת שוטר במילוי תפקידו (2 עבירות), פציעה, חבלה כשעבריין מזוין, תקיפה וחבלה ממשית ע"י שניים או יותר – בגינן הושת עליו מאסר על תנאי. </w:t>
      </w:r>
    </w:p>
    <w:p w14:paraId="4583EE3C"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עברו התעבורתי כולל 5 הרשעות תעבורה, האחרונה מספטמבר 2023 במספר עבירות, בניהן, עבירות  של נהיגה בשכרות ונהיגה בקלות ראש. הרשעה נוספת מיולי 2021 גם היא בעבירות נהיגה בקלות ראש ונהיגה בשכרות.  </w:t>
      </w:r>
    </w:p>
    <w:p w14:paraId="71575726" w14:textId="77777777" w:rsidR="0077772E" w:rsidRDefault="0077772E" w:rsidP="0077772E">
      <w:pPr>
        <w:spacing w:line="360" w:lineRule="auto"/>
        <w:jc w:val="both"/>
        <w:rPr>
          <w:rFonts w:ascii="David" w:hAnsi="David"/>
          <w:color w:val="000000"/>
          <w:shd w:val="clear" w:color="auto" w:fill="FFFFFF"/>
          <w:rtl/>
        </w:rPr>
      </w:pPr>
    </w:p>
    <w:p w14:paraId="3EB74776"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מטבע הדברים, עברו הפלילי של הנאשם במצטרף לחלקו המלא והבלעדי בעבירות החמורות המלמדות על אופיו והעדר מוראו מחוק - מוביל לגזירת עונשו הרחק מחלקו התחתון של מתחם העונש אותו קבעתי. יחד עם זאת, יינתן משקל לא מבוטל, לגילו הצעיר, תקופת מעצרו הממושכת </w:t>
      </w:r>
      <w:r>
        <w:rPr>
          <w:rFonts w:ascii="David" w:hAnsi="David"/>
          <w:b/>
          <w:bCs/>
          <w:color w:val="000000"/>
          <w:shd w:val="clear" w:color="auto" w:fill="FFFFFF"/>
          <w:rtl/>
        </w:rPr>
        <w:t>ובעיקר לנטילת אחריות על מעשיו והודאתו שחסכה זמן שיפוטי יקר לכלל הגורמים הנוגעים בתיק.</w:t>
      </w:r>
      <w:r>
        <w:rPr>
          <w:rFonts w:ascii="David" w:hAnsi="David"/>
          <w:color w:val="000000"/>
          <w:shd w:val="clear" w:color="auto" w:fill="FFFFFF"/>
          <w:rtl/>
        </w:rPr>
        <w:t xml:space="preserve">  </w:t>
      </w:r>
    </w:p>
    <w:p w14:paraId="183D610C" w14:textId="77777777" w:rsidR="0077772E" w:rsidRDefault="0077772E" w:rsidP="0077772E">
      <w:pPr>
        <w:spacing w:line="360" w:lineRule="auto"/>
        <w:jc w:val="both"/>
        <w:rPr>
          <w:rFonts w:ascii="David" w:hAnsi="David"/>
          <w:color w:val="000000"/>
          <w:shd w:val="clear" w:color="auto" w:fill="FFFFFF"/>
          <w:rtl/>
        </w:rPr>
      </w:pPr>
    </w:p>
    <w:p w14:paraId="05C0C169" w14:textId="77777777" w:rsidR="0077772E" w:rsidRDefault="0077772E" w:rsidP="0077772E">
      <w:pPr>
        <w:spacing w:line="360" w:lineRule="auto"/>
        <w:jc w:val="both"/>
        <w:rPr>
          <w:rFonts w:ascii="David" w:hAnsi="David"/>
          <w:noProof/>
          <w:rtl/>
        </w:rPr>
      </w:pPr>
      <w:r>
        <w:rPr>
          <w:rFonts w:ascii="David" w:hAnsi="David"/>
          <w:rtl/>
        </w:rPr>
        <w:t xml:space="preserve">בשים לב לשיקולי הרתעת היחיד והרבים, לרבות הפגיעה במוטיבציה הכלכלית שבבסיסה של עבירת הסמים, לצד טענות ב"כ הנאשם בהקשר לרכיב הענישה הכלכלי לרבות גילו הצעיר של הנאשם ומשך תקופת המאסר הצפויה לו, קביעת שיעור הקנס תהא מדתית. </w:t>
      </w:r>
    </w:p>
    <w:p w14:paraId="4EC88786" w14:textId="77777777" w:rsidR="0077772E" w:rsidRDefault="0077772E" w:rsidP="0077772E">
      <w:pPr>
        <w:spacing w:line="360" w:lineRule="auto"/>
        <w:jc w:val="both"/>
        <w:rPr>
          <w:rFonts w:ascii="David" w:hAnsi="David"/>
          <w:rtl/>
        </w:rPr>
      </w:pPr>
      <w:r>
        <w:rPr>
          <w:rFonts w:ascii="David" w:hAnsi="David"/>
          <w:rtl/>
        </w:rPr>
        <w:t xml:space="preserve">אשר לרכיב הפסילה, בהינתן שהנאשם לא עשה כל שימוש ברכב בביצוע העבירות בכלל ועבירת הסמים בפרט, סבורני, כי בפעם זו, ניתן להסתפק בפסילתו על תנאי לנהיגה. </w:t>
      </w:r>
    </w:p>
    <w:p w14:paraId="7E040A39" w14:textId="77777777" w:rsidR="0077772E" w:rsidRDefault="0077772E" w:rsidP="0077772E">
      <w:pPr>
        <w:spacing w:line="360" w:lineRule="auto"/>
        <w:jc w:val="both"/>
        <w:rPr>
          <w:rFonts w:ascii="David" w:hAnsi="David"/>
          <w:color w:val="000000"/>
          <w:shd w:val="clear" w:color="auto" w:fill="FFFFFF"/>
          <w:rtl/>
        </w:rPr>
      </w:pPr>
    </w:p>
    <w:p w14:paraId="7C093825" w14:textId="77777777" w:rsidR="0077772E" w:rsidRPr="00BB62D3" w:rsidRDefault="0077772E" w:rsidP="0077772E">
      <w:pPr>
        <w:spacing w:after="160" w:line="254" w:lineRule="auto"/>
        <w:rPr>
          <w:rFonts w:ascii="David" w:eastAsia="Calibri" w:hAnsi="David"/>
          <w:rtl/>
        </w:rPr>
      </w:pPr>
      <w:r w:rsidRPr="00BB62D3">
        <w:rPr>
          <w:rFonts w:ascii="David" w:eastAsia="Calibri" w:hAnsi="David"/>
          <w:b/>
          <w:bCs/>
          <w:rtl/>
        </w:rPr>
        <w:t xml:space="preserve">סוף דבר – </w:t>
      </w:r>
      <w:r w:rsidRPr="00BB62D3">
        <w:rPr>
          <w:rFonts w:ascii="David" w:eastAsia="Calibri" w:hAnsi="David"/>
          <w:rtl/>
        </w:rPr>
        <w:t xml:space="preserve">לאחר שקלול מכלול השיקולים הצריכים לבחינת עונשו של הנאשם בתוך המתחם, אני גוזרת עליו את העונשים הבאים: </w:t>
      </w:r>
    </w:p>
    <w:p w14:paraId="08BBE4FF" w14:textId="77777777" w:rsidR="0077772E" w:rsidRDefault="0077772E" w:rsidP="0077772E">
      <w:pPr>
        <w:numPr>
          <w:ilvl w:val="0"/>
          <w:numId w:val="2"/>
        </w:numPr>
        <w:spacing w:after="160" w:line="360" w:lineRule="auto"/>
        <w:contextualSpacing/>
        <w:jc w:val="both"/>
        <w:rPr>
          <w:rFonts w:ascii="Arial" w:hAnsi="Arial"/>
          <w:noProof/>
          <w:color w:val="000000"/>
          <w:shd w:val="clear" w:color="auto" w:fill="FFFFFF"/>
          <w:rtl/>
        </w:rPr>
      </w:pPr>
      <w:r>
        <w:rPr>
          <w:rFonts w:ascii="Arial" w:hAnsi="Arial"/>
          <w:color w:val="000000"/>
          <w:shd w:val="clear" w:color="auto" w:fill="FFFFFF"/>
          <w:rtl/>
        </w:rPr>
        <w:t>3</w:t>
      </w:r>
      <w:r>
        <w:rPr>
          <w:rFonts w:ascii="Arial" w:hAnsi="Arial" w:hint="cs"/>
          <w:color w:val="000000"/>
          <w:shd w:val="clear" w:color="auto" w:fill="FFFFFF"/>
          <w:rtl/>
        </w:rPr>
        <w:t>3</w:t>
      </w:r>
      <w:r>
        <w:rPr>
          <w:rFonts w:ascii="Arial" w:hAnsi="Arial"/>
          <w:color w:val="000000"/>
          <w:shd w:val="clear" w:color="auto" w:fill="FFFFFF"/>
          <w:rtl/>
        </w:rPr>
        <w:t xml:space="preserve"> חודשי מאסר בפועל, בניכוי ימי מעצרו על פי רישומי שב"ס.</w:t>
      </w:r>
    </w:p>
    <w:p w14:paraId="2B4CC05D"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tl/>
        </w:rPr>
      </w:pPr>
      <w:r>
        <w:rPr>
          <w:rFonts w:ascii="Arial" w:hAnsi="Arial"/>
          <w:color w:val="000000"/>
          <w:shd w:val="clear" w:color="auto" w:fill="FFFFFF"/>
          <w:rtl/>
        </w:rPr>
        <w:t xml:space="preserve">12 חודשי מאסר על תנאי, לתקופה של 3 שנים מיום שחרורו מהמאסר, והתנאי הוא שהנאשם לא יעבור עבירת נשק מסוג פשע. </w:t>
      </w:r>
    </w:p>
    <w:p w14:paraId="3A7C6C54"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Pr>
      </w:pPr>
      <w:r>
        <w:rPr>
          <w:rFonts w:ascii="Arial" w:hAnsi="Arial"/>
          <w:color w:val="000000"/>
          <w:shd w:val="clear" w:color="auto" w:fill="FFFFFF"/>
          <w:rtl/>
        </w:rPr>
        <w:t xml:space="preserve">6 חודשי מאסר על תנאי, לתקופה של 3 שנים מיום שחרורו מהמאסר, והתנאי הוא שהנאשם לא יעבור עבירת נשק מסוג עוון. </w:t>
      </w:r>
    </w:p>
    <w:p w14:paraId="5254A35D"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tl/>
        </w:rPr>
      </w:pPr>
      <w:r>
        <w:rPr>
          <w:rFonts w:ascii="Arial" w:hAnsi="Arial"/>
          <w:color w:val="000000"/>
          <w:shd w:val="clear" w:color="auto" w:fill="FFFFFF"/>
          <w:rtl/>
        </w:rPr>
        <w:t xml:space="preserve">8 חודשי מאסר על תנאי, לתקופה של 3 שנים מיום שחרורו מהמאסר, והתנאי הוא שהנאשם לא יעבור עבירת סמים מסוג פשע. </w:t>
      </w:r>
    </w:p>
    <w:p w14:paraId="140C0041"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Pr>
      </w:pPr>
      <w:r w:rsidRPr="00323478">
        <w:rPr>
          <w:rFonts w:ascii="Arial" w:hAnsi="Arial"/>
          <w:color w:val="000000"/>
          <w:shd w:val="clear" w:color="auto" w:fill="FFFFFF"/>
          <w:rtl/>
        </w:rPr>
        <w:t xml:space="preserve">קנס בסך 8,000 ₪ או 20 ימי מאסר תמורתו. הקנס שולם </w:t>
      </w:r>
      <w:r w:rsidRPr="00323478">
        <w:rPr>
          <w:rFonts w:ascii="Arial" w:hAnsi="Arial" w:hint="cs"/>
          <w:color w:val="000000"/>
          <w:shd w:val="clear" w:color="auto" w:fill="FFFFFF"/>
          <w:rtl/>
        </w:rPr>
        <w:t xml:space="preserve">תוך 90 ימים מהיום. </w:t>
      </w:r>
    </w:p>
    <w:p w14:paraId="2B726C72" w14:textId="77777777" w:rsidR="0077772E" w:rsidRDefault="0077772E" w:rsidP="0077772E">
      <w:pPr>
        <w:spacing w:after="160" w:line="360" w:lineRule="auto"/>
        <w:contextualSpacing/>
        <w:jc w:val="both"/>
        <w:rPr>
          <w:rFonts w:ascii="Arial" w:hAnsi="Arial"/>
          <w:color w:val="000000"/>
          <w:shd w:val="clear" w:color="auto" w:fill="FFFFFF"/>
          <w:rtl/>
        </w:rPr>
      </w:pPr>
    </w:p>
    <w:p w14:paraId="5FB7190B" w14:textId="77777777" w:rsidR="0077772E" w:rsidRDefault="0077772E" w:rsidP="0077772E">
      <w:pPr>
        <w:spacing w:after="160" w:line="360" w:lineRule="auto"/>
        <w:contextualSpacing/>
        <w:jc w:val="both"/>
        <w:rPr>
          <w:rFonts w:ascii="Arial" w:hAnsi="Arial"/>
          <w:color w:val="000000"/>
          <w:shd w:val="clear" w:color="auto" w:fill="FFFFFF"/>
          <w:rtl/>
        </w:rPr>
      </w:pPr>
    </w:p>
    <w:p w14:paraId="0E48ADB7" w14:textId="77777777" w:rsidR="0077772E" w:rsidRDefault="0077772E" w:rsidP="0077772E">
      <w:pPr>
        <w:spacing w:after="160" w:line="360" w:lineRule="auto"/>
        <w:contextualSpacing/>
        <w:jc w:val="both"/>
        <w:rPr>
          <w:rFonts w:ascii="Arial" w:hAnsi="Arial"/>
          <w:color w:val="000000"/>
          <w:shd w:val="clear" w:color="auto" w:fill="FFFFFF"/>
        </w:rPr>
      </w:pPr>
    </w:p>
    <w:p w14:paraId="153CFC7B" w14:textId="77777777" w:rsidR="0077772E" w:rsidRPr="00323478" w:rsidRDefault="0077772E" w:rsidP="0077772E">
      <w:pPr>
        <w:numPr>
          <w:ilvl w:val="0"/>
          <w:numId w:val="2"/>
        </w:numPr>
        <w:spacing w:after="160" w:line="360" w:lineRule="auto"/>
        <w:contextualSpacing/>
        <w:jc w:val="both"/>
        <w:rPr>
          <w:rFonts w:ascii="Arial" w:hAnsi="Arial"/>
          <w:color w:val="000000"/>
          <w:shd w:val="clear" w:color="auto" w:fill="FFFFFF"/>
          <w:rtl/>
        </w:rPr>
      </w:pPr>
      <w:r w:rsidRPr="00323478">
        <w:rPr>
          <w:rFonts w:ascii="Arial" w:hAnsi="Arial"/>
          <w:color w:val="000000"/>
          <w:shd w:val="clear" w:color="auto" w:fill="FFFFFF"/>
          <w:rtl/>
        </w:rPr>
        <w:t>7  חודשי פסילה על תנאי מלקבל או מלהחזיק רישיון נהיגה, והתנאי הוא שהנאשם לא יעבור עבירות סמים מסוג פשע, משך 3 שנים מיום שחרורו מהמאסר.</w:t>
      </w:r>
    </w:p>
    <w:p w14:paraId="5FAEBA99" w14:textId="77777777" w:rsidR="0077772E" w:rsidRDefault="0077772E" w:rsidP="0077772E">
      <w:pPr>
        <w:spacing w:line="360" w:lineRule="auto"/>
        <w:jc w:val="both"/>
        <w:rPr>
          <w:rFonts w:ascii="Arial" w:hAnsi="Arial"/>
          <w:color w:val="000000"/>
          <w:shd w:val="clear" w:color="auto" w:fill="FFFFFF"/>
        </w:rPr>
      </w:pPr>
    </w:p>
    <w:p w14:paraId="4D395719" w14:textId="77777777" w:rsidR="0077772E" w:rsidRDefault="0077772E" w:rsidP="0077772E">
      <w:pPr>
        <w:spacing w:line="360" w:lineRule="auto"/>
        <w:jc w:val="both"/>
        <w:rPr>
          <w:rFonts w:ascii="David" w:hAnsi="David"/>
          <w:b/>
          <w:bCs/>
          <w:rtl/>
        </w:rPr>
      </w:pPr>
    </w:p>
    <w:p w14:paraId="2BCF39EB" w14:textId="77777777" w:rsidR="0077772E" w:rsidRDefault="00676E55" w:rsidP="0077772E">
      <w:pPr>
        <w:spacing w:line="360" w:lineRule="auto"/>
        <w:jc w:val="both"/>
        <w:rPr>
          <w:rFonts w:ascii="Arial" w:hAnsi="Arial"/>
        </w:rPr>
      </w:pPr>
      <w:r w:rsidRPr="00676E55">
        <w:rPr>
          <w:rFonts w:ascii="David" w:hAnsi="David"/>
          <w:b/>
          <w:bCs/>
          <w:color w:val="FFFFFF"/>
          <w:sz w:val="2"/>
          <w:szCs w:val="2"/>
          <w:rtl/>
        </w:rPr>
        <w:t>5129371</w:t>
      </w:r>
      <w:r w:rsidR="0077772E">
        <w:rPr>
          <w:rFonts w:ascii="David" w:hAnsi="David"/>
          <w:b/>
          <w:bCs/>
          <w:rtl/>
        </w:rPr>
        <w:t>צו כללי להשמדת מוצג סמים</w:t>
      </w:r>
      <w:r w:rsidR="0077772E">
        <w:rPr>
          <w:rFonts w:ascii="David" w:hAnsi="David" w:hint="cs"/>
          <w:b/>
          <w:bCs/>
          <w:rtl/>
        </w:rPr>
        <w:t xml:space="preserve"> ונשק.</w:t>
      </w:r>
    </w:p>
    <w:p w14:paraId="47EDAC0F" w14:textId="77777777" w:rsidR="0077772E" w:rsidRPr="000F2247" w:rsidRDefault="00676E55" w:rsidP="0077772E">
      <w:pPr>
        <w:spacing w:line="360" w:lineRule="auto"/>
        <w:jc w:val="both"/>
        <w:rPr>
          <w:rFonts w:ascii="Arial" w:hAnsi="Arial"/>
          <w:b/>
          <w:bCs/>
          <w:sz w:val="26"/>
          <w:szCs w:val="26"/>
          <w:rtl/>
        </w:rPr>
      </w:pPr>
      <w:r w:rsidRPr="00676E55">
        <w:rPr>
          <w:rFonts w:ascii="Arial" w:hAnsi="Arial"/>
          <w:b/>
          <w:bCs/>
          <w:color w:val="FFFFFF"/>
          <w:sz w:val="2"/>
          <w:szCs w:val="2"/>
          <w:rtl/>
        </w:rPr>
        <w:t>54678313</w:t>
      </w:r>
      <w:r w:rsidR="0077772E">
        <w:rPr>
          <w:rFonts w:ascii="Arial" w:hAnsi="Arial"/>
          <w:b/>
          <w:bCs/>
          <w:rtl/>
        </w:rPr>
        <w:t>זכות הערעור הודעה.</w:t>
      </w:r>
    </w:p>
    <w:p w14:paraId="03EEA46E" w14:textId="77777777" w:rsidR="0077772E" w:rsidRPr="000F2247" w:rsidRDefault="0077772E" w:rsidP="0077772E">
      <w:pPr>
        <w:rPr>
          <w:rFonts w:ascii="Arial" w:hAnsi="Arial"/>
          <w:b/>
          <w:bCs/>
          <w:sz w:val="26"/>
          <w:szCs w:val="26"/>
          <w:rtl/>
        </w:rPr>
      </w:pPr>
    </w:p>
    <w:p w14:paraId="7526AF6E" w14:textId="77777777" w:rsidR="0077772E" w:rsidRPr="000F2247" w:rsidRDefault="00676E55" w:rsidP="0077772E">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י"ג חשוון תשפ"ה, 14 נובמבר 2024, במעמד הצדדים. </w:t>
      </w:r>
      <w:bookmarkEnd w:id="9"/>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hint="cs"/>
          <w:b/>
          <w:bCs/>
          <w:sz w:val="26"/>
          <w:szCs w:val="26"/>
          <w:rtl/>
        </w:rPr>
        <w:t xml:space="preserve">         </w:t>
      </w:r>
    </w:p>
    <w:p w14:paraId="6824F3E3" w14:textId="77777777" w:rsidR="00676E55" w:rsidRDefault="00676E55" w:rsidP="00676E55">
      <w:pPr>
        <w:rPr>
          <w:rtl/>
        </w:rPr>
      </w:pPr>
    </w:p>
    <w:p w14:paraId="6CAD3F14" w14:textId="77777777" w:rsidR="00676E55" w:rsidRDefault="00676E55" w:rsidP="00676E55">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D59C685" w14:textId="77777777" w:rsidR="004503F1" w:rsidRPr="004503F1" w:rsidRDefault="004503F1" w:rsidP="004503F1">
      <w:pPr>
        <w:keepNext/>
        <w:rPr>
          <w:rFonts w:ascii="David" w:hAnsi="David"/>
          <w:color w:val="000000"/>
          <w:sz w:val="22"/>
          <w:szCs w:val="22"/>
          <w:rtl/>
        </w:rPr>
      </w:pPr>
    </w:p>
    <w:p w14:paraId="0821B7A8" w14:textId="77777777" w:rsidR="004503F1" w:rsidRPr="004503F1" w:rsidRDefault="004503F1" w:rsidP="004503F1">
      <w:pPr>
        <w:keepNext/>
        <w:rPr>
          <w:rFonts w:ascii="David" w:hAnsi="David"/>
          <w:color w:val="000000"/>
          <w:sz w:val="22"/>
          <w:szCs w:val="22"/>
          <w:rtl/>
        </w:rPr>
      </w:pPr>
      <w:r w:rsidRPr="004503F1">
        <w:rPr>
          <w:rFonts w:ascii="David" w:hAnsi="David"/>
          <w:color w:val="000000"/>
          <w:sz w:val="22"/>
          <w:szCs w:val="22"/>
          <w:rtl/>
        </w:rPr>
        <w:t>שוש שטרית 54678313-/</w:t>
      </w:r>
    </w:p>
    <w:p w14:paraId="108F6B9F" w14:textId="77777777" w:rsidR="00676E55" w:rsidRPr="00676E55" w:rsidRDefault="004503F1" w:rsidP="004503F1">
      <w:pPr>
        <w:rPr>
          <w:color w:val="0000FF"/>
          <w:u w:val="single"/>
        </w:rPr>
      </w:pPr>
      <w:r w:rsidRPr="004503F1">
        <w:rPr>
          <w:color w:val="000000"/>
          <w:u w:val="single"/>
          <w:rtl/>
        </w:rPr>
        <w:t>נוסח מסמך זה כפוף לשינויי ניסוח ועריכה</w:t>
      </w:r>
    </w:p>
    <w:sectPr w:rsidR="00676E55" w:rsidRPr="00676E55" w:rsidSect="004503F1">
      <w:headerReference w:type="even" r:id="rId59"/>
      <w:headerReference w:type="default" r:id="rId60"/>
      <w:footerReference w:type="even" r:id="rId61"/>
      <w:footerReference w:type="default" r:id="rId62"/>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B8E4" w14:textId="77777777" w:rsidR="00C330CB" w:rsidRDefault="00C330CB" w:rsidP="005B7748">
      <w:r>
        <w:separator/>
      </w:r>
    </w:p>
  </w:endnote>
  <w:endnote w:type="continuationSeparator" w:id="0">
    <w:p w14:paraId="583E5FDC" w14:textId="77777777" w:rsidR="00C330CB" w:rsidRDefault="00C330CB" w:rsidP="005B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DC2D" w14:textId="77777777" w:rsidR="004503F1" w:rsidRDefault="004503F1" w:rsidP="004503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ACA2C2" w14:textId="77777777" w:rsidR="00C6644F" w:rsidRPr="004503F1" w:rsidRDefault="004503F1" w:rsidP="004503F1">
    <w:pPr>
      <w:pStyle w:val="a5"/>
      <w:pBdr>
        <w:top w:val="single" w:sz="4" w:space="1" w:color="auto"/>
        <w:between w:val="single" w:sz="4" w:space="0" w:color="auto"/>
      </w:pBdr>
      <w:spacing w:after="60"/>
      <w:jc w:val="center"/>
      <w:rPr>
        <w:rFonts w:ascii="FrankRuehl" w:hAnsi="FrankRuehl" w:cs="FrankRuehl"/>
        <w:color w:val="000000"/>
      </w:rPr>
    </w:pPr>
    <w:r w:rsidRPr="004503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889F4" w14:textId="77777777" w:rsidR="004503F1" w:rsidRDefault="004503F1" w:rsidP="004503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25DF">
      <w:rPr>
        <w:rFonts w:ascii="FrankRuehl" w:hAnsi="FrankRuehl" w:cs="FrankRuehl"/>
        <w:noProof/>
        <w:rtl/>
      </w:rPr>
      <w:t>1</w:t>
    </w:r>
    <w:r>
      <w:rPr>
        <w:rFonts w:ascii="FrankRuehl" w:hAnsi="FrankRuehl" w:cs="FrankRuehl"/>
        <w:rtl/>
      </w:rPr>
      <w:fldChar w:fldCharType="end"/>
    </w:r>
  </w:p>
  <w:p w14:paraId="1F012345" w14:textId="77777777" w:rsidR="00C6644F" w:rsidRPr="004503F1" w:rsidRDefault="004503F1" w:rsidP="004503F1">
    <w:pPr>
      <w:pStyle w:val="a5"/>
      <w:pBdr>
        <w:top w:val="single" w:sz="4" w:space="1" w:color="auto"/>
        <w:between w:val="single" w:sz="4" w:space="0" w:color="auto"/>
      </w:pBdr>
      <w:spacing w:after="60"/>
      <w:jc w:val="center"/>
      <w:rPr>
        <w:rFonts w:ascii="FrankRuehl" w:hAnsi="FrankRuehl" w:cs="FrankRuehl"/>
        <w:color w:val="000000"/>
      </w:rPr>
    </w:pPr>
    <w:r w:rsidRPr="004503F1">
      <w:rPr>
        <w:rFonts w:ascii="FrankRuehl" w:hAnsi="FrankRuehl" w:cs="FrankRuehl"/>
        <w:color w:val="000000"/>
      </w:rPr>
      <w:pict w14:anchorId="2B152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34E70" w14:textId="77777777" w:rsidR="00C330CB" w:rsidRDefault="00C330CB" w:rsidP="005B7748">
      <w:r>
        <w:separator/>
      </w:r>
    </w:p>
  </w:footnote>
  <w:footnote w:type="continuationSeparator" w:id="0">
    <w:p w14:paraId="4584322A" w14:textId="77777777" w:rsidR="00C330CB" w:rsidRDefault="00C330CB" w:rsidP="005B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DF71" w14:textId="77777777" w:rsidR="00676E55" w:rsidRPr="004503F1" w:rsidRDefault="004503F1" w:rsidP="00450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42118-11-23</w:t>
    </w:r>
    <w:r>
      <w:rPr>
        <w:rFonts w:ascii="David" w:hAnsi="David"/>
        <w:color w:val="000000"/>
        <w:sz w:val="22"/>
        <w:szCs w:val="22"/>
        <w:rtl/>
      </w:rPr>
      <w:tab/>
      <w:t xml:space="preserve"> מדינת ישראל פמ"ד נ' דניאל מאור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804F5" w14:textId="77777777" w:rsidR="00676E55" w:rsidRPr="004503F1" w:rsidRDefault="004503F1" w:rsidP="00450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42118-11-23</w:t>
    </w:r>
    <w:r>
      <w:rPr>
        <w:rFonts w:ascii="David" w:hAnsi="David"/>
        <w:color w:val="000000"/>
        <w:sz w:val="22"/>
        <w:szCs w:val="22"/>
        <w:rtl/>
      </w:rPr>
      <w:tab/>
      <w:t xml:space="preserve"> מדינת ישראל פמ"ד נ' דניאל מאור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4C52"/>
    <w:multiLevelType w:val="hybridMultilevel"/>
    <w:tmpl w:val="214EFB30"/>
    <w:lvl w:ilvl="0" w:tplc="66A6607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0F06D2"/>
    <w:multiLevelType w:val="hybridMultilevel"/>
    <w:tmpl w:val="6F2A30DA"/>
    <w:lvl w:ilvl="0" w:tplc="04090013">
      <w:start w:val="1"/>
      <w:numFmt w:val="hebrew1"/>
      <w:lvlText w:val="%1."/>
      <w:lvlJc w:val="center"/>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16cid:durableId="12461819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715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772E"/>
    <w:rsid w:val="002136E6"/>
    <w:rsid w:val="004503F1"/>
    <w:rsid w:val="005B7748"/>
    <w:rsid w:val="00642DCC"/>
    <w:rsid w:val="00676E55"/>
    <w:rsid w:val="0077772E"/>
    <w:rsid w:val="008525DF"/>
    <w:rsid w:val="008B4921"/>
    <w:rsid w:val="00904E58"/>
    <w:rsid w:val="00A245DF"/>
    <w:rsid w:val="00C330CB"/>
    <w:rsid w:val="00C6644F"/>
    <w:rsid w:val="00EB2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D0A420"/>
  <w15:chartTrackingRefBased/>
  <w15:docId w15:val="{BE73485B-68D5-4C45-BDAC-CCBF14BB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77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772E"/>
    <w:pPr>
      <w:tabs>
        <w:tab w:val="center" w:pos="4153"/>
        <w:tab w:val="right" w:pos="8306"/>
      </w:tabs>
    </w:pPr>
  </w:style>
  <w:style w:type="character" w:customStyle="1" w:styleId="a4">
    <w:name w:val="כותרת עליונה תו"/>
    <w:link w:val="a3"/>
    <w:rsid w:val="0077772E"/>
    <w:rPr>
      <w:rFonts w:ascii="Times New Roman" w:eastAsia="Times New Roman" w:hAnsi="Times New Roman" w:cs="David"/>
      <w:sz w:val="24"/>
      <w:szCs w:val="24"/>
    </w:rPr>
  </w:style>
  <w:style w:type="paragraph" w:styleId="a5">
    <w:name w:val="footer"/>
    <w:basedOn w:val="a"/>
    <w:link w:val="a6"/>
    <w:rsid w:val="0077772E"/>
    <w:pPr>
      <w:tabs>
        <w:tab w:val="center" w:pos="4153"/>
        <w:tab w:val="right" w:pos="8306"/>
      </w:tabs>
    </w:pPr>
  </w:style>
  <w:style w:type="character" w:customStyle="1" w:styleId="a6">
    <w:name w:val="כותרת תחתונה תו"/>
    <w:link w:val="a5"/>
    <w:rsid w:val="0077772E"/>
    <w:rPr>
      <w:rFonts w:ascii="Times New Roman" w:eastAsia="Times New Roman" w:hAnsi="Times New Roman" w:cs="David"/>
      <w:sz w:val="24"/>
      <w:szCs w:val="24"/>
    </w:rPr>
  </w:style>
  <w:style w:type="table" w:styleId="a7">
    <w:name w:val="Table Grid"/>
    <w:basedOn w:val="a1"/>
    <w:rsid w:val="007777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772E"/>
  </w:style>
  <w:style w:type="character" w:styleId="Hyperlink">
    <w:name w:val="Hyperlink"/>
    <w:rsid w:val="00676E5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44.a" TargetMode="External"/><Relationship Id="rId26" Type="http://schemas.openxmlformats.org/officeDocument/2006/relationships/hyperlink" Target="http://www.nevo.co.il/law/4216/144a" TargetMode="External"/><Relationship Id="rId39" Type="http://schemas.openxmlformats.org/officeDocument/2006/relationships/hyperlink" Target="http://www.nevo.co.il/law/70301/144.b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520167" TargetMode="External"/><Relationship Id="rId42" Type="http://schemas.openxmlformats.org/officeDocument/2006/relationships/hyperlink" Target="http://www.nevo.co.il/case/5726579" TargetMode="External"/><Relationship Id="rId47" Type="http://schemas.openxmlformats.org/officeDocument/2006/relationships/hyperlink" Target="http://www.nevo.co.il/case/29386593" TargetMode="External"/><Relationship Id="rId50" Type="http://schemas.openxmlformats.org/officeDocument/2006/relationships/hyperlink" Target="http://www.nevo.co.il/case/25494333" TargetMode="External"/><Relationship Id="rId55" Type="http://schemas.openxmlformats.org/officeDocument/2006/relationships/hyperlink" Target="http://www.nevo.co.il/law/70301/144"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7591239" TargetMode="External"/><Relationship Id="rId11" Type="http://schemas.openxmlformats.org/officeDocument/2006/relationships/hyperlink" Target="http://www.nevo.co.il/law/70301/144.b3"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4263578" TargetMode="External"/><Relationship Id="rId37" Type="http://schemas.openxmlformats.org/officeDocument/2006/relationships/hyperlink" Target="http://www.nevo.co.il/law/4216/144.a" TargetMode="External"/><Relationship Id="rId40" Type="http://schemas.openxmlformats.org/officeDocument/2006/relationships/hyperlink" Target="http://www.nevo.co.il/case/28513828" TargetMode="External"/><Relationship Id="rId45" Type="http://schemas.openxmlformats.org/officeDocument/2006/relationships/hyperlink" Target="http://www.nevo.co.il/case/29822029" TargetMode="External"/><Relationship Id="rId53" Type="http://schemas.openxmlformats.org/officeDocument/2006/relationships/hyperlink" Target="http://www.nevo.co.il/case/25479989"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144a" TargetMode="External"/><Relationship Id="rId14" Type="http://schemas.openxmlformats.org/officeDocument/2006/relationships/hyperlink" Target="http://www.nevo.co.il/law/4216/.c"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7171364" TargetMode="External"/><Relationship Id="rId30" Type="http://schemas.openxmlformats.org/officeDocument/2006/relationships/hyperlink" Target="http://www.nevo.co.il/case/29557951" TargetMode="External"/><Relationship Id="rId35" Type="http://schemas.openxmlformats.org/officeDocument/2006/relationships/hyperlink" Target="http://www.nevo.co.il/case/27603872" TargetMode="External"/><Relationship Id="rId43" Type="http://schemas.openxmlformats.org/officeDocument/2006/relationships/hyperlink" Target="http://www.nevo.co.il/case/5698919" TargetMode="External"/><Relationship Id="rId48" Type="http://schemas.openxmlformats.org/officeDocument/2006/relationships/hyperlink" Target="http://www.nevo.co.il/case/27303553" TargetMode="External"/><Relationship Id="rId56" Type="http://schemas.openxmlformats.org/officeDocument/2006/relationships/hyperlink" Target="http://www.nevo.co.il/case/29829608" TargetMode="External"/><Relationship Id="rId64" Type="http://schemas.openxmlformats.org/officeDocument/2006/relationships/theme" Target="theme/theme1.xml"/><Relationship Id="rId8" Type="http://schemas.openxmlformats.org/officeDocument/2006/relationships/hyperlink" Target="http://www.nevo.co.il/law/70301/144" TargetMode="External"/><Relationship Id="rId51"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4216/144" TargetMode="External"/><Relationship Id="rId25" Type="http://schemas.openxmlformats.org/officeDocument/2006/relationships/hyperlink" Target="http://www.nevo.co.il/law/4216/144"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5174295" TargetMode="External"/><Relationship Id="rId59" Type="http://schemas.openxmlformats.org/officeDocument/2006/relationships/header" Target="header1.xml"/><Relationship Id="rId20" Type="http://schemas.openxmlformats.org/officeDocument/2006/relationships/hyperlink" Target="http://www.nevo.co.il/law/70301/144.a" TargetMode="External"/><Relationship Id="rId41" Type="http://schemas.openxmlformats.org/officeDocument/2006/relationships/hyperlink" Target="http://www.nevo.co.il/case/27171364" TargetMode="External"/><Relationship Id="rId54" Type="http://schemas.openxmlformats.org/officeDocument/2006/relationships/hyperlink" Target="http://www.nevo.co.il/case/27591239"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c" TargetMode="External"/><Relationship Id="rId28" Type="http://schemas.openxmlformats.org/officeDocument/2006/relationships/hyperlink" Target="http://www.nevo.co.il/case/2759123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9557951" TargetMode="External"/><Relationship Id="rId57" Type="http://schemas.openxmlformats.org/officeDocument/2006/relationships/hyperlink" Target="http://www.nevo.co.il/case/27312457"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case/26769915" TargetMode="External"/><Relationship Id="rId44" Type="http://schemas.openxmlformats.org/officeDocument/2006/relationships/hyperlink" Target="http://www.nevo.co.il/case/21055840" TargetMode="External"/><Relationship Id="rId52" Type="http://schemas.openxmlformats.org/officeDocument/2006/relationships/hyperlink" Target="http://www.nevo.co.il/law/70301/144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3387</Words>
  <Characters>16940</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20287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3539062</vt:i4>
      </vt:variant>
      <vt:variant>
        <vt:i4>150</vt:i4>
      </vt:variant>
      <vt:variant>
        <vt:i4>0</vt:i4>
      </vt:variant>
      <vt:variant>
        <vt:i4>5</vt:i4>
      </vt:variant>
      <vt:variant>
        <vt:lpwstr>http://www.nevo.co.il/case/27312457</vt:lpwstr>
      </vt:variant>
      <vt:variant>
        <vt:lpwstr/>
      </vt:variant>
      <vt:variant>
        <vt:i4>3342457</vt:i4>
      </vt:variant>
      <vt:variant>
        <vt:i4>147</vt:i4>
      </vt:variant>
      <vt:variant>
        <vt:i4>0</vt:i4>
      </vt:variant>
      <vt:variant>
        <vt:i4>5</vt:i4>
      </vt:variant>
      <vt:variant>
        <vt:lpwstr>http://www.nevo.co.il/case/29829608</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3473528</vt:i4>
      </vt:variant>
      <vt:variant>
        <vt:i4>141</vt:i4>
      </vt:variant>
      <vt:variant>
        <vt:i4>0</vt:i4>
      </vt:variant>
      <vt:variant>
        <vt:i4>5</vt:i4>
      </vt:variant>
      <vt:variant>
        <vt:lpwstr>http://www.nevo.co.il/case/27591239</vt:lpwstr>
      </vt:variant>
      <vt:variant>
        <vt:lpwstr/>
      </vt:variant>
      <vt:variant>
        <vt:i4>3604607</vt:i4>
      </vt:variant>
      <vt:variant>
        <vt:i4>138</vt:i4>
      </vt:variant>
      <vt:variant>
        <vt:i4>0</vt:i4>
      </vt:variant>
      <vt:variant>
        <vt:i4>5</vt:i4>
      </vt:variant>
      <vt:variant>
        <vt:lpwstr>http://www.nevo.co.il/case/25479989</vt:lpwstr>
      </vt:variant>
      <vt:variant>
        <vt:lpwstr/>
      </vt:variant>
      <vt:variant>
        <vt:i4>80</vt:i4>
      </vt:variant>
      <vt:variant>
        <vt:i4>135</vt:i4>
      </vt:variant>
      <vt:variant>
        <vt:i4>0</vt:i4>
      </vt:variant>
      <vt:variant>
        <vt:i4>5</vt:i4>
      </vt:variant>
      <vt:variant>
        <vt:lpwstr>http://www.nevo.co.il/law/70301/144a</vt:lpwstr>
      </vt:variant>
      <vt:variant>
        <vt:lpwstr/>
      </vt:variant>
      <vt:variant>
        <vt:i4>80</vt:i4>
      </vt:variant>
      <vt:variant>
        <vt:i4>132</vt:i4>
      </vt:variant>
      <vt:variant>
        <vt:i4>0</vt:i4>
      </vt:variant>
      <vt:variant>
        <vt:i4>5</vt:i4>
      </vt:variant>
      <vt:variant>
        <vt:lpwstr>http://www.nevo.co.il/law/70301/144a</vt:lpwstr>
      </vt:variant>
      <vt:variant>
        <vt:lpwstr/>
      </vt:variant>
      <vt:variant>
        <vt:i4>3211387</vt:i4>
      </vt:variant>
      <vt:variant>
        <vt:i4>129</vt:i4>
      </vt:variant>
      <vt:variant>
        <vt:i4>0</vt:i4>
      </vt:variant>
      <vt:variant>
        <vt:i4>5</vt:i4>
      </vt:variant>
      <vt:variant>
        <vt:lpwstr>http://www.nevo.co.il/case/25494333</vt:lpwstr>
      </vt:variant>
      <vt:variant>
        <vt:lpwstr/>
      </vt:variant>
      <vt:variant>
        <vt:i4>3473521</vt:i4>
      </vt:variant>
      <vt:variant>
        <vt:i4>126</vt:i4>
      </vt:variant>
      <vt:variant>
        <vt:i4>0</vt:i4>
      </vt:variant>
      <vt:variant>
        <vt:i4>5</vt:i4>
      </vt:variant>
      <vt:variant>
        <vt:lpwstr>http://www.nevo.co.il/case/29557951</vt:lpwstr>
      </vt:variant>
      <vt:variant>
        <vt:lpwstr/>
      </vt:variant>
      <vt:variant>
        <vt:i4>3604598</vt:i4>
      </vt:variant>
      <vt:variant>
        <vt:i4>123</vt:i4>
      </vt:variant>
      <vt:variant>
        <vt:i4>0</vt:i4>
      </vt:variant>
      <vt:variant>
        <vt:i4>5</vt:i4>
      </vt:variant>
      <vt:variant>
        <vt:lpwstr>http://www.nevo.co.il/case/27303553</vt:lpwstr>
      </vt:variant>
      <vt:variant>
        <vt:lpwstr/>
      </vt:variant>
      <vt:variant>
        <vt:i4>4063344</vt:i4>
      </vt:variant>
      <vt:variant>
        <vt:i4>120</vt:i4>
      </vt:variant>
      <vt:variant>
        <vt:i4>0</vt:i4>
      </vt:variant>
      <vt:variant>
        <vt:i4>5</vt:i4>
      </vt:variant>
      <vt:variant>
        <vt:lpwstr>http://www.nevo.co.il/case/29386593</vt:lpwstr>
      </vt:variant>
      <vt:variant>
        <vt:lpwstr/>
      </vt:variant>
      <vt:variant>
        <vt:i4>4063348</vt:i4>
      </vt:variant>
      <vt:variant>
        <vt:i4>117</vt:i4>
      </vt:variant>
      <vt:variant>
        <vt:i4>0</vt:i4>
      </vt:variant>
      <vt:variant>
        <vt:i4>5</vt:i4>
      </vt:variant>
      <vt:variant>
        <vt:lpwstr>http://www.nevo.co.il/case/25174295</vt:lpwstr>
      </vt:variant>
      <vt:variant>
        <vt:lpwstr/>
      </vt:variant>
      <vt:variant>
        <vt:i4>3801215</vt:i4>
      </vt:variant>
      <vt:variant>
        <vt:i4>114</vt:i4>
      </vt:variant>
      <vt:variant>
        <vt:i4>0</vt:i4>
      </vt:variant>
      <vt:variant>
        <vt:i4>5</vt:i4>
      </vt:variant>
      <vt:variant>
        <vt:lpwstr>http://www.nevo.co.il/case/29822029</vt:lpwstr>
      </vt:variant>
      <vt:variant>
        <vt:lpwstr/>
      </vt:variant>
      <vt:variant>
        <vt:i4>3342456</vt:i4>
      </vt:variant>
      <vt:variant>
        <vt:i4>111</vt:i4>
      </vt:variant>
      <vt:variant>
        <vt:i4>0</vt:i4>
      </vt:variant>
      <vt:variant>
        <vt:i4>5</vt:i4>
      </vt:variant>
      <vt:variant>
        <vt:lpwstr>http://www.nevo.co.il/case/21055840</vt:lpwstr>
      </vt:variant>
      <vt:variant>
        <vt:lpwstr/>
      </vt:variant>
      <vt:variant>
        <vt:i4>3932283</vt:i4>
      </vt:variant>
      <vt:variant>
        <vt:i4>108</vt:i4>
      </vt:variant>
      <vt:variant>
        <vt:i4>0</vt:i4>
      </vt:variant>
      <vt:variant>
        <vt:i4>5</vt:i4>
      </vt:variant>
      <vt:variant>
        <vt:lpwstr>http://www.nevo.co.il/case/5698919</vt:lpwstr>
      </vt:variant>
      <vt:variant>
        <vt:lpwstr/>
      </vt:variant>
      <vt:variant>
        <vt:i4>3866738</vt:i4>
      </vt:variant>
      <vt:variant>
        <vt:i4>105</vt:i4>
      </vt:variant>
      <vt:variant>
        <vt:i4>0</vt:i4>
      </vt:variant>
      <vt:variant>
        <vt:i4>5</vt:i4>
      </vt:variant>
      <vt:variant>
        <vt:lpwstr>http://www.nevo.co.il/case/5726579</vt:lpwstr>
      </vt:variant>
      <vt:variant>
        <vt:lpwstr/>
      </vt:variant>
      <vt:variant>
        <vt:i4>3407991</vt:i4>
      </vt:variant>
      <vt:variant>
        <vt:i4>102</vt:i4>
      </vt:variant>
      <vt:variant>
        <vt:i4>0</vt:i4>
      </vt:variant>
      <vt:variant>
        <vt:i4>5</vt:i4>
      </vt:variant>
      <vt:variant>
        <vt:lpwstr>http://www.nevo.co.il/case/27171364</vt:lpwstr>
      </vt:variant>
      <vt:variant>
        <vt:lpwstr/>
      </vt:variant>
      <vt:variant>
        <vt:i4>3539061</vt:i4>
      </vt:variant>
      <vt:variant>
        <vt:i4>99</vt:i4>
      </vt:variant>
      <vt:variant>
        <vt:i4>0</vt:i4>
      </vt:variant>
      <vt:variant>
        <vt:i4>5</vt:i4>
      </vt:variant>
      <vt:variant>
        <vt:lpwstr>http://www.nevo.co.il/case/28513828</vt:lpwstr>
      </vt:variant>
      <vt:variant>
        <vt:lpwstr/>
      </vt:variant>
      <vt:variant>
        <vt:i4>8126514</vt:i4>
      </vt:variant>
      <vt:variant>
        <vt:i4>96</vt:i4>
      </vt:variant>
      <vt:variant>
        <vt:i4>0</vt:i4>
      </vt:variant>
      <vt:variant>
        <vt:i4>5</vt:i4>
      </vt:variant>
      <vt:variant>
        <vt:lpwstr>http://www.nevo.co.il/law/70301/144.b3</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1704016</vt:i4>
      </vt:variant>
      <vt:variant>
        <vt:i4>90</vt:i4>
      </vt:variant>
      <vt:variant>
        <vt:i4>0</vt:i4>
      </vt:variant>
      <vt:variant>
        <vt:i4>5</vt:i4>
      </vt:variant>
      <vt:variant>
        <vt:lpwstr>http://www.nevo.co.il/law/4216/144.a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3145851</vt:i4>
      </vt:variant>
      <vt:variant>
        <vt:i4>84</vt:i4>
      </vt:variant>
      <vt:variant>
        <vt:i4>0</vt:i4>
      </vt:variant>
      <vt:variant>
        <vt:i4>5</vt:i4>
      </vt:variant>
      <vt:variant>
        <vt:lpwstr>http://www.nevo.co.il/case/27603872</vt:lpwstr>
      </vt:variant>
      <vt:variant>
        <vt:lpwstr/>
      </vt:variant>
      <vt:variant>
        <vt:i4>3211378</vt:i4>
      </vt:variant>
      <vt:variant>
        <vt:i4>81</vt:i4>
      </vt:variant>
      <vt:variant>
        <vt:i4>0</vt:i4>
      </vt:variant>
      <vt:variant>
        <vt:i4>5</vt:i4>
      </vt:variant>
      <vt:variant>
        <vt:lpwstr>http://www.nevo.co.il/case/25520167</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3407987</vt:i4>
      </vt:variant>
      <vt:variant>
        <vt:i4>75</vt:i4>
      </vt:variant>
      <vt:variant>
        <vt:i4>0</vt:i4>
      </vt:variant>
      <vt:variant>
        <vt:i4>5</vt:i4>
      </vt:variant>
      <vt:variant>
        <vt:lpwstr>http://www.nevo.co.il/case/24263578</vt:lpwstr>
      </vt:variant>
      <vt:variant>
        <vt:lpwstr/>
      </vt:variant>
      <vt:variant>
        <vt:i4>3997821</vt:i4>
      </vt:variant>
      <vt:variant>
        <vt:i4>72</vt:i4>
      </vt:variant>
      <vt:variant>
        <vt:i4>0</vt:i4>
      </vt:variant>
      <vt:variant>
        <vt:i4>5</vt:i4>
      </vt:variant>
      <vt:variant>
        <vt:lpwstr>http://www.nevo.co.il/case/26769915</vt:lpwstr>
      </vt:variant>
      <vt:variant>
        <vt:lpwstr/>
      </vt:variant>
      <vt:variant>
        <vt:i4>3473521</vt:i4>
      </vt:variant>
      <vt:variant>
        <vt:i4>69</vt:i4>
      </vt:variant>
      <vt:variant>
        <vt:i4>0</vt:i4>
      </vt:variant>
      <vt:variant>
        <vt:i4>5</vt:i4>
      </vt:variant>
      <vt:variant>
        <vt:lpwstr>http://www.nevo.co.il/case/29557951</vt:lpwstr>
      </vt:variant>
      <vt:variant>
        <vt:lpwstr/>
      </vt:variant>
      <vt:variant>
        <vt:i4>3473528</vt:i4>
      </vt:variant>
      <vt:variant>
        <vt:i4>66</vt:i4>
      </vt:variant>
      <vt:variant>
        <vt:i4>0</vt:i4>
      </vt:variant>
      <vt:variant>
        <vt:i4>5</vt:i4>
      </vt:variant>
      <vt:variant>
        <vt:lpwstr>http://www.nevo.co.il/case/27591239</vt:lpwstr>
      </vt:variant>
      <vt:variant>
        <vt:lpwstr/>
      </vt:variant>
      <vt:variant>
        <vt:i4>3473528</vt:i4>
      </vt:variant>
      <vt:variant>
        <vt:i4>63</vt:i4>
      </vt:variant>
      <vt:variant>
        <vt:i4>0</vt:i4>
      </vt:variant>
      <vt:variant>
        <vt:i4>5</vt:i4>
      </vt:variant>
      <vt:variant>
        <vt:lpwstr>http://www.nevo.co.il/case/27591239</vt:lpwstr>
      </vt:variant>
      <vt:variant>
        <vt:lpwstr/>
      </vt:variant>
      <vt:variant>
        <vt:i4>3407991</vt:i4>
      </vt:variant>
      <vt:variant>
        <vt:i4>60</vt:i4>
      </vt:variant>
      <vt:variant>
        <vt:i4>0</vt:i4>
      </vt:variant>
      <vt:variant>
        <vt:i4>5</vt:i4>
      </vt:variant>
      <vt:variant>
        <vt:lpwstr>http://www.nevo.co.il/case/27171364</vt:lpwstr>
      </vt:variant>
      <vt:variant>
        <vt:lpwstr/>
      </vt:variant>
      <vt:variant>
        <vt:i4>8061054</vt:i4>
      </vt:variant>
      <vt:variant>
        <vt:i4>57</vt:i4>
      </vt:variant>
      <vt:variant>
        <vt:i4>0</vt:i4>
      </vt:variant>
      <vt:variant>
        <vt:i4>5</vt:i4>
      </vt:variant>
      <vt:variant>
        <vt:lpwstr>http://www.nevo.co.il/law/4216/144a</vt:lpwstr>
      </vt:variant>
      <vt:variant>
        <vt:lpwstr/>
      </vt:variant>
      <vt:variant>
        <vt:i4>8061054</vt:i4>
      </vt:variant>
      <vt:variant>
        <vt:i4>54</vt:i4>
      </vt:variant>
      <vt:variant>
        <vt:i4>0</vt:i4>
      </vt:variant>
      <vt:variant>
        <vt:i4>5</vt:i4>
      </vt:variant>
      <vt:variant>
        <vt:lpwstr>http://www.nevo.co.il/law/4216/144</vt:lpwstr>
      </vt:variant>
      <vt:variant>
        <vt:lpwstr/>
      </vt:variant>
      <vt:variant>
        <vt:i4>5177418</vt:i4>
      </vt:variant>
      <vt:variant>
        <vt:i4>51</vt:i4>
      </vt:variant>
      <vt:variant>
        <vt:i4>0</vt:i4>
      </vt:variant>
      <vt:variant>
        <vt:i4>5</vt:i4>
      </vt:variant>
      <vt:variant>
        <vt:lpwstr>http://www.nevo.co.il/law/4216/10</vt:lpwstr>
      </vt:variant>
      <vt:variant>
        <vt:lpwstr/>
      </vt:variant>
      <vt:variant>
        <vt:i4>5242954</vt:i4>
      </vt:variant>
      <vt:variant>
        <vt:i4>48</vt:i4>
      </vt:variant>
      <vt:variant>
        <vt:i4>0</vt:i4>
      </vt:variant>
      <vt:variant>
        <vt:i4>5</vt:i4>
      </vt:variant>
      <vt:variant>
        <vt:lpwstr>http://www.nevo.co.il/law/4216/.c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8061054</vt:i4>
      </vt:variant>
      <vt:variant>
        <vt:i4>36</vt:i4>
      </vt:variant>
      <vt:variant>
        <vt:i4>0</vt:i4>
      </vt:variant>
      <vt:variant>
        <vt:i4>5</vt:i4>
      </vt:variant>
      <vt:variant>
        <vt:lpwstr>http://www.nevo.co.il/law/4216/144a</vt:lpwstr>
      </vt:variant>
      <vt:variant>
        <vt:lpwstr/>
      </vt:variant>
      <vt:variant>
        <vt:i4>1704016</vt:i4>
      </vt:variant>
      <vt:variant>
        <vt:i4>33</vt:i4>
      </vt:variant>
      <vt:variant>
        <vt:i4>0</vt:i4>
      </vt:variant>
      <vt:variant>
        <vt:i4>5</vt:i4>
      </vt:variant>
      <vt:variant>
        <vt:lpwstr>http://www.nevo.co.il/law/4216/144.a</vt:lpwstr>
      </vt:variant>
      <vt:variant>
        <vt:lpwstr/>
      </vt:variant>
      <vt:variant>
        <vt:i4>8061054</vt:i4>
      </vt:variant>
      <vt:variant>
        <vt:i4>30</vt:i4>
      </vt:variant>
      <vt:variant>
        <vt:i4>0</vt:i4>
      </vt:variant>
      <vt:variant>
        <vt:i4>5</vt:i4>
      </vt:variant>
      <vt:variant>
        <vt:lpwstr>http://www.nevo.co.il/law/4216/144</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5242954</vt:i4>
      </vt:variant>
      <vt:variant>
        <vt:i4>21</vt:i4>
      </vt:variant>
      <vt:variant>
        <vt:i4>0</vt:i4>
      </vt:variant>
      <vt:variant>
        <vt:i4>5</vt:i4>
      </vt:variant>
      <vt:variant>
        <vt:lpwstr>http://www.nevo.co.il/law/4216/.c</vt:lpwstr>
      </vt:variant>
      <vt:variant>
        <vt:lpwstr/>
      </vt:variant>
      <vt:variant>
        <vt:i4>8257637</vt:i4>
      </vt:variant>
      <vt:variant>
        <vt:i4>18</vt:i4>
      </vt:variant>
      <vt:variant>
        <vt:i4>0</vt:i4>
      </vt:variant>
      <vt:variant>
        <vt:i4>5</vt:i4>
      </vt:variant>
      <vt:variant>
        <vt:lpwstr>http://www.nevo.co.il/law/4216</vt:lpwstr>
      </vt:variant>
      <vt:variant>
        <vt:lpwstr/>
      </vt:variant>
      <vt:variant>
        <vt:i4>80</vt:i4>
      </vt:variant>
      <vt:variant>
        <vt:i4>15</vt:i4>
      </vt:variant>
      <vt:variant>
        <vt:i4>0</vt:i4>
      </vt:variant>
      <vt:variant>
        <vt:i4>5</vt:i4>
      </vt:variant>
      <vt:variant>
        <vt:lpwstr>http://www.nevo.co.il/law/70301/144a</vt:lpwstr>
      </vt:variant>
      <vt:variant>
        <vt:lpwstr/>
      </vt:variant>
      <vt:variant>
        <vt:i4>8126514</vt:i4>
      </vt:variant>
      <vt:variant>
        <vt:i4>12</vt:i4>
      </vt:variant>
      <vt:variant>
        <vt:i4>0</vt:i4>
      </vt:variant>
      <vt:variant>
        <vt:i4>5</vt:i4>
      </vt:variant>
      <vt:variant>
        <vt:lpwstr>http://www.nevo.co.il/law/70301/144.b3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42118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פמ#ד</vt:lpwstr>
  </property>
  <property fmtid="{D5CDD505-2E9C-101B-9397-08002B2CF9AE}" pid="9" name="APPELLEE">
    <vt:lpwstr>דניאל מאור</vt:lpwstr>
  </property>
  <property fmtid="{D5CDD505-2E9C-101B-9397-08002B2CF9AE}" pid="10" name="LAWYER">
    <vt:lpwstr>אפרת צרפתי;שחר אלוש יפרח</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20241114</vt:lpwstr>
  </property>
  <property fmtid="{D5CDD505-2E9C-101B-9397-08002B2CF9AE}" pid="14" name="TYPE_N_DATE">
    <vt:lpwstr>38020241114</vt:lpwstr>
  </property>
  <property fmtid="{D5CDD505-2E9C-101B-9397-08002B2CF9AE}" pid="15" name="CASESLISTTMP1">
    <vt:lpwstr>27171364:2;27591239:3;29557951:2;26769915;24263578;25824863;25520167;27603872;28513828;5726579;5698919;21055840;29822029;25174295;29386593;27303553;25494333;25479989;29829608;27312457</vt:lpwstr>
  </property>
  <property fmtid="{D5CDD505-2E9C-101B-9397-08002B2CF9AE}" pid="16" name="WORDNUMPAGES">
    <vt:lpwstr>9</vt:lpwstr>
  </property>
  <property fmtid="{D5CDD505-2E9C-101B-9397-08002B2CF9AE}" pid="17" name="TYPE_ABS_DATE">
    <vt:lpwstr>380020241114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70301/144.a;144.b2;144.b3;144a:2;144</vt:lpwstr>
  </property>
  <property fmtid="{D5CDD505-2E9C-101B-9397-08002B2CF9AE}" pid="37" name="LAWLISTTMP2">
    <vt:lpwstr>4216/007.a;.c;010;144;144a;144.a</vt:lpwstr>
  </property>
</Properties>
</file>