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7049D4" w:rsidRPr="008B0F6F" w14:paraId="582A52DC" w14:textId="77777777" w:rsidTr="002B614D">
        <w:trPr>
          <w:trHeight w:hRule="exact" w:val="418"/>
          <w:jc w:val="center"/>
        </w:trPr>
        <w:tc>
          <w:tcPr>
            <w:tcW w:w="8721" w:type="dxa"/>
            <w:gridSpan w:val="2"/>
          </w:tcPr>
          <w:p w14:paraId="2CE13E93" w14:textId="77777777" w:rsidR="007049D4" w:rsidRPr="008B0F6F" w:rsidRDefault="007049D4" w:rsidP="0016587B">
            <w:pPr>
              <w:pStyle w:val="a5"/>
              <w:jc w:val="center"/>
              <w:rPr>
                <w:rFonts w:ascii="Tahoma" w:hAnsi="Tahoma" w:cs="Tahoma"/>
                <w:color w:val="000080"/>
                <w:rtl/>
              </w:rPr>
            </w:pPr>
            <w:bookmarkStart w:id="0" w:name="LastJudge"/>
            <w:r w:rsidRPr="008B0F6F">
              <w:rPr>
                <w:rFonts w:ascii="Tahoma" w:hAnsi="Tahoma" w:cs="Tahoma"/>
                <w:b/>
                <w:bCs/>
                <w:color w:val="000080"/>
                <w:rtl/>
              </w:rPr>
              <w:t>בית משפט השלום בבאר שבע</w:t>
            </w:r>
          </w:p>
        </w:tc>
      </w:tr>
      <w:tr w:rsidR="007049D4" w:rsidRPr="008B0F6F" w14:paraId="7657B5F2" w14:textId="77777777" w:rsidTr="002B614D">
        <w:trPr>
          <w:trHeight w:val="337"/>
          <w:jc w:val="center"/>
        </w:trPr>
        <w:tc>
          <w:tcPr>
            <w:tcW w:w="5060" w:type="dxa"/>
          </w:tcPr>
          <w:p w14:paraId="6AB9AA5F" w14:textId="77777777" w:rsidR="007049D4" w:rsidRPr="008B0F6F" w:rsidRDefault="007049D4" w:rsidP="0016587B">
            <w:pPr>
              <w:rPr>
                <w:rFonts w:cs="FrankRuehl"/>
                <w:sz w:val="28"/>
                <w:szCs w:val="28"/>
                <w:rtl/>
              </w:rPr>
            </w:pPr>
            <w:r w:rsidRPr="008B0F6F">
              <w:rPr>
                <w:rFonts w:cs="FrankRuehl"/>
                <w:sz w:val="28"/>
                <w:szCs w:val="28"/>
                <w:rtl/>
              </w:rPr>
              <w:t>ת"פ</w:t>
            </w:r>
            <w:r w:rsidRPr="008B0F6F">
              <w:rPr>
                <w:rFonts w:cs="FrankRuehl" w:hint="cs"/>
                <w:sz w:val="28"/>
                <w:szCs w:val="28"/>
                <w:rtl/>
              </w:rPr>
              <w:t xml:space="preserve"> </w:t>
            </w:r>
            <w:r w:rsidRPr="008B0F6F">
              <w:rPr>
                <w:rFonts w:cs="FrankRuehl"/>
                <w:sz w:val="28"/>
                <w:szCs w:val="28"/>
                <w:rtl/>
              </w:rPr>
              <w:t>66110-11-23</w:t>
            </w:r>
            <w:r w:rsidRPr="008B0F6F">
              <w:rPr>
                <w:rFonts w:cs="FrankRuehl" w:hint="cs"/>
                <w:sz w:val="28"/>
                <w:szCs w:val="28"/>
                <w:rtl/>
              </w:rPr>
              <w:t xml:space="preserve"> </w:t>
            </w:r>
            <w:r w:rsidRPr="008B0F6F">
              <w:rPr>
                <w:rFonts w:cs="FrankRuehl"/>
                <w:sz w:val="28"/>
                <w:szCs w:val="28"/>
                <w:rtl/>
              </w:rPr>
              <w:t>מדינת ישראל נ' דבאבסה(עציר)</w:t>
            </w:r>
          </w:p>
          <w:p w14:paraId="6FC9E04A" w14:textId="77777777" w:rsidR="007049D4" w:rsidRPr="008B0F6F" w:rsidRDefault="007049D4" w:rsidP="0016587B">
            <w:pPr>
              <w:pStyle w:val="a5"/>
              <w:rPr>
                <w:rFonts w:cs="FrankRuehl"/>
                <w:sz w:val="28"/>
                <w:szCs w:val="28"/>
                <w:rtl/>
              </w:rPr>
            </w:pPr>
          </w:p>
        </w:tc>
        <w:tc>
          <w:tcPr>
            <w:tcW w:w="3661" w:type="dxa"/>
          </w:tcPr>
          <w:p w14:paraId="2EAE78A9" w14:textId="77777777" w:rsidR="007049D4" w:rsidRPr="008B0F6F" w:rsidRDefault="007049D4" w:rsidP="0016587B">
            <w:pPr>
              <w:pStyle w:val="a5"/>
              <w:jc w:val="right"/>
              <w:rPr>
                <w:rFonts w:cs="FrankRuehl"/>
                <w:sz w:val="28"/>
                <w:szCs w:val="28"/>
                <w:rtl/>
              </w:rPr>
            </w:pPr>
          </w:p>
        </w:tc>
      </w:tr>
    </w:tbl>
    <w:p w14:paraId="1DEBFADB" w14:textId="77777777" w:rsidR="007049D4" w:rsidRPr="008B0F6F" w:rsidRDefault="007049D4" w:rsidP="007049D4">
      <w:pPr>
        <w:pStyle w:val="a5"/>
        <w:rPr>
          <w:rtl/>
        </w:rPr>
      </w:pPr>
      <w:r w:rsidRPr="008B0F6F">
        <w:rPr>
          <w:rFonts w:hint="cs"/>
          <w:rtl/>
        </w:rPr>
        <w:t xml:space="preserve"> </w:t>
      </w:r>
    </w:p>
    <w:p w14:paraId="01035371" w14:textId="77777777" w:rsidR="007049D4" w:rsidRPr="008B0F6F" w:rsidRDefault="007049D4" w:rsidP="007049D4">
      <w:pPr>
        <w:rPr>
          <w:rtl/>
        </w:rPr>
      </w:pPr>
    </w:p>
    <w:p w14:paraId="77A4CC25" w14:textId="77777777" w:rsidR="007049D4" w:rsidRPr="008B0F6F" w:rsidRDefault="007049D4" w:rsidP="007049D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7049D4" w:rsidRPr="008B0F6F" w14:paraId="4ADB6B9A" w14:textId="77777777" w:rsidTr="007049D4">
        <w:trPr>
          <w:trHeight w:val="295"/>
          <w:jc w:val="center"/>
        </w:trPr>
        <w:tc>
          <w:tcPr>
            <w:tcW w:w="923" w:type="dxa"/>
            <w:tcBorders>
              <w:top w:val="nil"/>
              <w:left w:val="nil"/>
              <w:bottom w:val="nil"/>
              <w:right w:val="nil"/>
            </w:tcBorders>
            <w:shd w:val="clear" w:color="auto" w:fill="auto"/>
          </w:tcPr>
          <w:p w14:paraId="0838AD31" w14:textId="77777777" w:rsidR="007049D4" w:rsidRPr="008B0F6F" w:rsidRDefault="007049D4" w:rsidP="007049D4">
            <w:pPr>
              <w:jc w:val="both"/>
              <w:rPr>
                <w:rFonts w:ascii="David" w:hAnsi="David"/>
                <w:sz w:val="26"/>
                <w:szCs w:val="26"/>
              </w:rPr>
            </w:pPr>
            <w:r w:rsidRPr="008B0F6F">
              <w:rPr>
                <w:rFonts w:ascii="David" w:hAnsi="David" w:hint="cs"/>
                <w:sz w:val="26"/>
                <w:szCs w:val="26"/>
                <w:rtl/>
              </w:rPr>
              <w:t>ל</w:t>
            </w:r>
            <w:r w:rsidRPr="008B0F6F">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0158F8A9" w14:textId="77777777" w:rsidR="007049D4" w:rsidRPr="008B0F6F" w:rsidRDefault="007049D4" w:rsidP="0016587B">
            <w:pPr>
              <w:rPr>
                <w:rFonts w:ascii="David" w:hAnsi="David"/>
                <w:b/>
                <w:bCs/>
                <w:sz w:val="26"/>
                <w:szCs w:val="26"/>
                <w:rtl/>
              </w:rPr>
            </w:pPr>
            <w:r w:rsidRPr="008B0F6F">
              <w:rPr>
                <w:rFonts w:ascii="David" w:hAnsi="David"/>
                <w:b/>
                <w:bCs/>
                <w:sz w:val="26"/>
                <w:szCs w:val="26"/>
                <w:rtl/>
              </w:rPr>
              <w:t>כבוד השופט  יריב בן דוד</w:t>
            </w:r>
          </w:p>
          <w:p w14:paraId="4D48264A" w14:textId="77777777" w:rsidR="007049D4" w:rsidRPr="008B0F6F" w:rsidRDefault="007049D4" w:rsidP="0016587B">
            <w:pPr>
              <w:rPr>
                <w:rFonts w:ascii="David" w:hAnsi="David"/>
                <w:sz w:val="26"/>
                <w:szCs w:val="26"/>
                <w:rtl/>
              </w:rPr>
            </w:pPr>
          </w:p>
          <w:p w14:paraId="63F1B5E1" w14:textId="77777777" w:rsidR="007049D4" w:rsidRPr="008B0F6F" w:rsidRDefault="007049D4" w:rsidP="007049D4">
            <w:pPr>
              <w:jc w:val="both"/>
              <w:rPr>
                <w:rFonts w:ascii="David" w:hAnsi="David"/>
                <w:sz w:val="26"/>
                <w:szCs w:val="26"/>
              </w:rPr>
            </w:pPr>
          </w:p>
        </w:tc>
      </w:tr>
      <w:tr w:rsidR="007049D4" w:rsidRPr="008B0F6F" w14:paraId="1A4FEC29" w14:textId="77777777" w:rsidTr="007049D4">
        <w:trPr>
          <w:trHeight w:val="355"/>
          <w:jc w:val="center"/>
        </w:trPr>
        <w:tc>
          <w:tcPr>
            <w:tcW w:w="923" w:type="dxa"/>
            <w:tcBorders>
              <w:top w:val="nil"/>
              <w:left w:val="nil"/>
              <w:bottom w:val="nil"/>
              <w:right w:val="nil"/>
            </w:tcBorders>
            <w:shd w:val="clear" w:color="auto" w:fill="auto"/>
          </w:tcPr>
          <w:p w14:paraId="5EBBDE3E" w14:textId="77777777" w:rsidR="007049D4" w:rsidRPr="008B0F6F" w:rsidRDefault="007049D4" w:rsidP="007049D4">
            <w:pPr>
              <w:jc w:val="both"/>
              <w:rPr>
                <w:rFonts w:ascii="David" w:hAnsi="David"/>
                <w:sz w:val="26"/>
                <w:szCs w:val="26"/>
              </w:rPr>
            </w:pPr>
            <w:bookmarkStart w:id="1" w:name="FirstAppellant"/>
            <w:r w:rsidRPr="008B0F6F">
              <w:rPr>
                <w:rFonts w:ascii="David" w:hAnsi="David"/>
                <w:sz w:val="26"/>
                <w:szCs w:val="26"/>
                <w:rtl/>
              </w:rPr>
              <w:t>בעניין:</w:t>
            </w:r>
          </w:p>
        </w:tc>
        <w:tc>
          <w:tcPr>
            <w:tcW w:w="3219" w:type="dxa"/>
            <w:tcBorders>
              <w:top w:val="nil"/>
              <w:left w:val="nil"/>
              <w:bottom w:val="nil"/>
              <w:right w:val="nil"/>
            </w:tcBorders>
            <w:shd w:val="clear" w:color="auto" w:fill="auto"/>
          </w:tcPr>
          <w:p w14:paraId="6849CE8E" w14:textId="77777777" w:rsidR="007049D4" w:rsidRPr="008B0F6F" w:rsidRDefault="007049D4" w:rsidP="007049D4">
            <w:pPr>
              <w:suppressLineNumbers/>
            </w:pPr>
            <w:r w:rsidRPr="008B0F6F">
              <w:rPr>
                <w:rFonts w:ascii="Arial" w:hAnsi="Arial" w:hint="cs"/>
                <w:b/>
                <w:bCs/>
                <w:sz w:val="26"/>
                <w:szCs w:val="26"/>
                <w:rtl/>
              </w:rPr>
              <w:t>ה</w:t>
            </w:r>
            <w:r w:rsidRPr="008B0F6F">
              <w:rPr>
                <w:rFonts w:ascii="Arial" w:hAnsi="Arial"/>
                <w:b/>
                <w:bCs/>
                <w:sz w:val="26"/>
                <w:szCs w:val="26"/>
                <w:rtl/>
              </w:rPr>
              <w:t>מאשימה</w:t>
            </w:r>
          </w:p>
          <w:p w14:paraId="72861C36" w14:textId="77777777" w:rsidR="007049D4" w:rsidRPr="008B0F6F" w:rsidRDefault="007049D4" w:rsidP="0016587B">
            <w:pPr>
              <w:rPr>
                <w:rFonts w:ascii="David" w:hAnsi="David"/>
                <w:sz w:val="26"/>
                <w:szCs w:val="26"/>
              </w:rPr>
            </w:pPr>
          </w:p>
        </w:tc>
        <w:tc>
          <w:tcPr>
            <w:tcW w:w="4678" w:type="dxa"/>
            <w:tcBorders>
              <w:top w:val="nil"/>
              <w:left w:val="nil"/>
              <w:bottom w:val="nil"/>
              <w:right w:val="nil"/>
            </w:tcBorders>
            <w:shd w:val="clear" w:color="auto" w:fill="auto"/>
            <w:vAlign w:val="center"/>
          </w:tcPr>
          <w:p w14:paraId="1DF542C6" w14:textId="77777777" w:rsidR="007049D4" w:rsidRPr="008B0F6F" w:rsidRDefault="007049D4" w:rsidP="007049D4">
            <w:pPr>
              <w:suppressLineNumbers/>
            </w:pPr>
            <w:r w:rsidRPr="008B0F6F">
              <w:rPr>
                <w:rFonts w:ascii="Arial" w:hAnsi="Arial"/>
                <w:b/>
                <w:bCs/>
                <w:sz w:val="26"/>
                <w:szCs w:val="26"/>
                <w:rtl/>
              </w:rPr>
              <w:t>מדינת ישראל</w:t>
            </w:r>
            <w:r w:rsidRPr="008B0F6F">
              <w:rPr>
                <w:rFonts w:ascii="Arial" w:hAnsi="Arial" w:hint="cs"/>
                <w:b/>
                <w:bCs/>
                <w:sz w:val="26"/>
                <w:szCs w:val="26"/>
                <w:rtl/>
              </w:rPr>
              <w:t xml:space="preserve"> </w:t>
            </w:r>
            <w:r w:rsidRPr="008B0F6F">
              <w:rPr>
                <w:rFonts w:ascii="Arial" w:hAnsi="Arial"/>
                <w:b/>
                <w:bCs/>
                <w:sz w:val="26"/>
                <w:szCs w:val="26"/>
                <w:rtl/>
              </w:rPr>
              <w:t>–</w:t>
            </w:r>
            <w:r w:rsidRPr="008B0F6F">
              <w:rPr>
                <w:rFonts w:ascii="Arial" w:hAnsi="Arial" w:hint="cs"/>
                <w:b/>
                <w:bCs/>
                <w:sz w:val="26"/>
                <w:szCs w:val="26"/>
                <w:rtl/>
              </w:rPr>
              <w:t xml:space="preserve"> תביעות נגב </w:t>
            </w:r>
          </w:p>
          <w:p w14:paraId="650F62D8" w14:textId="77777777" w:rsidR="007049D4" w:rsidRPr="008B0F6F" w:rsidRDefault="007049D4" w:rsidP="0016587B">
            <w:pPr>
              <w:rPr>
                <w:rFonts w:ascii="David" w:hAnsi="David"/>
                <w:sz w:val="26"/>
                <w:szCs w:val="26"/>
              </w:rPr>
            </w:pPr>
          </w:p>
        </w:tc>
      </w:tr>
      <w:bookmarkEnd w:id="1"/>
      <w:tr w:rsidR="007049D4" w:rsidRPr="008B0F6F" w14:paraId="6A38B6BB" w14:textId="77777777" w:rsidTr="007049D4">
        <w:trPr>
          <w:trHeight w:val="355"/>
          <w:jc w:val="center"/>
        </w:trPr>
        <w:tc>
          <w:tcPr>
            <w:tcW w:w="923" w:type="dxa"/>
            <w:tcBorders>
              <w:top w:val="nil"/>
              <w:left w:val="nil"/>
              <w:bottom w:val="nil"/>
              <w:right w:val="nil"/>
            </w:tcBorders>
            <w:shd w:val="clear" w:color="auto" w:fill="auto"/>
          </w:tcPr>
          <w:p w14:paraId="0723A5C2" w14:textId="77777777" w:rsidR="007049D4" w:rsidRPr="008B0F6F" w:rsidRDefault="007049D4" w:rsidP="007049D4">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D9AB42D" w14:textId="77777777" w:rsidR="007049D4" w:rsidRPr="008B0F6F" w:rsidRDefault="007049D4" w:rsidP="007049D4">
            <w:pPr>
              <w:jc w:val="center"/>
              <w:rPr>
                <w:rFonts w:ascii="David" w:hAnsi="David"/>
                <w:b/>
                <w:bCs/>
                <w:sz w:val="26"/>
                <w:szCs w:val="26"/>
                <w:rtl/>
              </w:rPr>
            </w:pPr>
          </w:p>
          <w:p w14:paraId="32FF2519" w14:textId="77777777" w:rsidR="007049D4" w:rsidRPr="008B0F6F" w:rsidRDefault="007049D4" w:rsidP="007049D4">
            <w:pPr>
              <w:jc w:val="center"/>
              <w:rPr>
                <w:rFonts w:ascii="David" w:hAnsi="David"/>
                <w:b/>
                <w:bCs/>
                <w:sz w:val="26"/>
                <w:szCs w:val="26"/>
                <w:rtl/>
              </w:rPr>
            </w:pPr>
            <w:r w:rsidRPr="008B0F6F">
              <w:rPr>
                <w:rFonts w:ascii="David" w:hAnsi="David"/>
                <w:b/>
                <w:bCs/>
                <w:sz w:val="26"/>
                <w:szCs w:val="26"/>
                <w:rtl/>
              </w:rPr>
              <w:t>נגד</w:t>
            </w:r>
          </w:p>
          <w:p w14:paraId="013F0894" w14:textId="77777777" w:rsidR="007049D4" w:rsidRPr="008B0F6F" w:rsidRDefault="007049D4" w:rsidP="007049D4">
            <w:pPr>
              <w:jc w:val="both"/>
              <w:rPr>
                <w:rFonts w:ascii="David" w:hAnsi="David"/>
                <w:sz w:val="26"/>
                <w:szCs w:val="26"/>
              </w:rPr>
            </w:pPr>
          </w:p>
        </w:tc>
      </w:tr>
      <w:tr w:rsidR="007049D4" w:rsidRPr="008B0F6F" w14:paraId="5932609B" w14:textId="77777777" w:rsidTr="007049D4">
        <w:trPr>
          <w:trHeight w:val="355"/>
          <w:jc w:val="center"/>
        </w:trPr>
        <w:tc>
          <w:tcPr>
            <w:tcW w:w="923" w:type="dxa"/>
            <w:tcBorders>
              <w:top w:val="nil"/>
              <w:left w:val="nil"/>
              <w:bottom w:val="nil"/>
              <w:right w:val="nil"/>
            </w:tcBorders>
            <w:shd w:val="clear" w:color="auto" w:fill="auto"/>
          </w:tcPr>
          <w:p w14:paraId="1CC72124" w14:textId="77777777" w:rsidR="007049D4" w:rsidRPr="008B0F6F" w:rsidRDefault="007049D4" w:rsidP="0016587B">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1E4F3507" w14:textId="77777777" w:rsidR="007049D4" w:rsidRPr="008B0F6F" w:rsidRDefault="007049D4" w:rsidP="0016587B">
            <w:pPr>
              <w:rPr>
                <w:rFonts w:ascii="Arial" w:hAnsi="Arial"/>
                <w:b/>
                <w:bCs/>
                <w:sz w:val="26"/>
                <w:szCs w:val="26"/>
                <w:rtl/>
              </w:rPr>
            </w:pPr>
            <w:r w:rsidRPr="008B0F6F">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FB203F0" w14:textId="77777777" w:rsidR="007049D4" w:rsidRPr="008B0F6F" w:rsidRDefault="007049D4" w:rsidP="007049D4">
            <w:pPr>
              <w:suppressLineNumbers/>
              <w:rPr>
                <w:rFonts w:ascii="Arial" w:hAnsi="Arial"/>
                <w:b/>
                <w:bCs/>
                <w:sz w:val="26"/>
                <w:szCs w:val="26"/>
                <w:rtl/>
              </w:rPr>
            </w:pPr>
            <w:r w:rsidRPr="008B0F6F">
              <w:rPr>
                <w:rFonts w:ascii="Arial" w:hAnsi="Arial"/>
                <w:b/>
                <w:bCs/>
                <w:sz w:val="26"/>
                <w:szCs w:val="26"/>
                <w:rtl/>
              </w:rPr>
              <w:t>אנור דבאבסה (עציר)</w:t>
            </w:r>
            <w:r w:rsidRPr="008B0F6F">
              <w:rPr>
                <w:rFonts w:ascii="Arial" w:hAnsi="Arial" w:hint="cs"/>
                <w:b/>
                <w:bCs/>
                <w:sz w:val="26"/>
                <w:szCs w:val="26"/>
                <w:rtl/>
              </w:rPr>
              <w:t xml:space="preserve"> </w:t>
            </w:r>
            <w:r w:rsidRPr="008B0F6F">
              <w:rPr>
                <w:rFonts w:ascii="Arial" w:hAnsi="Arial"/>
                <w:b/>
                <w:bCs/>
                <w:sz w:val="26"/>
                <w:szCs w:val="26"/>
                <w:rtl/>
              </w:rPr>
              <w:t>–</w:t>
            </w:r>
            <w:r w:rsidRPr="008B0F6F">
              <w:rPr>
                <w:rFonts w:ascii="Arial" w:hAnsi="Arial" w:hint="cs"/>
                <w:b/>
                <w:bCs/>
                <w:sz w:val="26"/>
                <w:szCs w:val="26"/>
                <w:rtl/>
              </w:rPr>
              <w:t xml:space="preserve"> בעצמו </w:t>
            </w:r>
          </w:p>
          <w:p w14:paraId="4B4E0972" w14:textId="77777777" w:rsidR="007049D4" w:rsidRPr="008B0F6F" w:rsidRDefault="007049D4" w:rsidP="007049D4">
            <w:pPr>
              <w:suppressLineNumbers/>
              <w:rPr>
                <w:b/>
                <w:bCs/>
                <w:sz w:val="26"/>
                <w:szCs w:val="26"/>
              </w:rPr>
            </w:pPr>
            <w:r w:rsidRPr="008B0F6F">
              <w:rPr>
                <w:rFonts w:ascii="Arial" w:hAnsi="Arial"/>
                <w:b/>
                <w:bCs/>
                <w:sz w:val="26"/>
                <w:szCs w:val="26"/>
                <w:rtl/>
              </w:rPr>
              <w:t>ע"י ב"כ עוה"ד</w:t>
            </w:r>
            <w:r w:rsidRPr="008B0F6F">
              <w:rPr>
                <w:rFonts w:hint="cs"/>
                <w:b/>
                <w:bCs/>
                <w:sz w:val="26"/>
                <w:szCs w:val="26"/>
                <w:rtl/>
              </w:rPr>
              <w:t xml:space="preserve"> שוקרי אבו טביק </w:t>
            </w:r>
          </w:p>
          <w:p w14:paraId="0BCD2C8A" w14:textId="77777777" w:rsidR="007049D4" w:rsidRPr="008B0F6F" w:rsidRDefault="007049D4" w:rsidP="0016587B">
            <w:pPr>
              <w:rPr>
                <w:rFonts w:ascii="David" w:hAnsi="David"/>
                <w:sz w:val="26"/>
                <w:szCs w:val="26"/>
              </w:rPr>
            </w:pPr>
          </w:p>
        </w:tc>
      </w:tr>
    </w:tbl>
    <w:p w14:paraId="7CB0F62B" w14:textId="77777777" w:rsidR="002B614D" w:rsidRPr="002B614D" w:rsidRDefault="002B614D" w:rsidP="002B614D">
      <w:pPr>
        <w:spacing w:before="120" w:after="120" w:line="240" w:lineRule="exact"/>
        <w:ind w:left="283" w:hanging="283"/>
        <w:jc w:val="both"/>
        <w:rPr>
          <w:rFonts w:ascii="FrankRuehl" w:hAnsi="FrankRuehl" w:cs="FrankRuehl"/>
          <w:rtl/>
        </w:rPr>
      </w:pPr>
      <w:bookmarkStart w:id="3" w:name="LawTable"/>
      <w:bookmarkEnd w:id="2"/>
      <w:bookmarkEnd w:id="3"/>
    </w:p>
    <w:p w14:paraId="2BE0C3FC" w14:textId="77777777" w:rsidR="002B614D" w:rsidRPr="002B614D" w:rsidRDefault="002B614D" w:rsidP="002B614D">
      <w:pPr>
        <w:spacing w:before="120" w:after="120" w:line="240" w:lineRule="exact"/>
        <w:ind w:left="283" w:hanging="283"/>
        <w:jc w:val="both"/>
        <w:rPr>
          <w:rFonts w:ascii="FrankRuehl" w:hAnsi="FrankRuehl" w:cs="FrankRuehl"/>
          <w:rtl/>
        </w:rPr>
      </w:pPr>
      <w:r w:rsidRPr="002B614D">
        <w:rPr>
          <w:rFonts w:ascii="FrankRuehl" w:hAnsi="FrankRuehl" w:cs="FrankRuehl"/>
          <w:rtl/>
        </w:rPr>
        <w:t xml:space="preserve">חקיקה שאוזכרה: </w:t>
      </w:r>
    </w:p>
    <w:p w14:paraId="68CB77D5" w14:textId="77777777" w:rsidR="002B614D" w:rsidRPr="002B614D" w:rsidRDefault="002B614D" w:rsidP="002B614D">
      <w:pPr>
        <w:spacing w:before="120" w:after="120" w:line="240" w:lineRule="exact"/>
        <w:ind w:left="283" w:hanging="283"/>
        <w:jc w:val="both"/>
        <w:rPr>
          <w:rFonts w:ascii="FrankRuehl" w:hAnsi="FrankRuehl" w:cs="FrankRuehl"/>
          <w:color w:val="0000FF"/>
          <w:rtl/>
        </w:rPr>
      </w:pPr>
      <w:hyperlink r:id="rId7" w:history="1">
        <w:r w:rsidRPr="002B614D">
          <w:rPr>
            <w:rStyle w:val="Hyperlink"/>
            <w:rFonts w:ascii="FrankRuehl" w:hAnsi="FrankRuehl" w:cs="FrankRuehl"/>
            <w:u w:val="none"/>
            <w:rtl/>
          </w:rPr>
          <w:t>חוק העונשין, תשל"ז-1977</w:t>
        </w:r>
      </w:hyperlink>
      <w:r w:rsidRPr="002B614D">
        <w:rPr>
          <w:rFonts w:ascii="FrankRuehl" w:hAnsi="FrankRuehl" w:cs="FrankRuehl"/>
          <w:color w:val="0000FF"/>
          <w:rtl/>
        </w:rPr>
        <w:t xml:space="preserve">: סע'  </w:t>
      </w:r>
      <w:hyperlink r:id="rId8" w:history="1">
        <w:r w:rsidRPr="002B614D">
          <w:rPr>
            <w:rStyle w:val="Hyperlink"/>
            <w:rFonts w:ascii="FrankRuehl" w:hAnsi="FrankRuehl" w:cs="FrankRuehl"/>
            <w:u w:val="none"/>
          </w:rPr>
          <w:t>40</w:t>
        </w:r>
        <w:r w:rsidRPr="002B614D">
          <w:rPr>
            <w:rStyle w:val="Hyperlink"/>
            <w:rFonts w:ascii="FrankRuehl" w:hAnsi="FrankRuehl" w:cs="FrankRuehl"/>
            <w:u w:val="none"/>
            <w:rtl/>
          </w:rPr>
          <w:t>ב</w:t>
        </w:r>
      </w:hyperlink>
      <w:r w:rsidRPr="002B614D">
        <w:rPr>
          <w:rFonts w:ascii="FrankRuehl" w:hAnsi="FrankRuehl" w:cs="FrankRuehl"/>
          <w:color w:val="0000FF"/>
          <w:rtl/>
        </w:rPr>
        <w:t xml:space="preserve">, </w:t>
      </w:r>
      <w:hyperlink r:id="rId9" w:history="1">
        <w:r w:rsidRPr="002B614D">
          <w:rPr>
            <w:rStyle w:val="Hyperlink"/>
            <w:rFonts w:ascii="FrankRuehl" w:hAnsi="FrankRuehl" w:cs="FrankRuehl"/>
            <w:u w:val="none"/>
          </w:rPr>
          <w:t>40</w:t>
        </w:r>
        <w:r w:rsidRPr="002B614D">
          <w:rPr>
            <w:rStyle w:val="Hyperlink"/>
            <w:rFonts w:ascii="FrankRuehl" w:hAnsi="FrankRuehl" w:cs="FrankRuehl"/>
            <w:u w:val="none"/>
            <w:rtl/>
          </w:rPr>
          <w:t>ג</w:t>
        </w:r>
      </w:hyperlink>
      <w:r w:rsidRPr="002B614D">
        <w:rPr>
          <w:rFonts w:ascii="FrankRuehl" w:hAnsi="FrankRuehl" w:cs="FrankRuehl"/>
          <w:color w:val="0000FF"/>
          <w:rtl/>
        </w:rPr>
        <w:t xml:space="preserve">(א), </w:t>
      </w:r>
      <w:hyperlink r:id="rId10" w:history="1">
        <w:r w:rsidRPr="002B614D">
          <w:rPr>
            <w:rStyle w:val="Hyperlink"/>
            <w:rFonts w:ascii="FrankRuehl" w:hAnsi="FrankRuehl" w:cs="FrankRuehl"/>
            <w:u w:val="none"/>
          </w:rPr>
          <w:t>40</w:t>
        </w:r>
        <w:r w:rsidRPr="002B614D">
          <w:rPr>
            <w:rStyle w:val="Hyperlink"/>
            <w:rFonts w:ascii="FrankRuehl" w:hAnsi="FrankRuehl" w:cs="FrankRuehl"/>
            <w:u w:val="none"/>
            <w:rtl/>
          </w:rPr>
          <w:t>ט</w:t>
        </w:r>
      </w:hyperlink>
      <w:r w:rsidRPr="002B614D">
        <w:rPr>
          <w:rFonts w:ascii="FrankRuehl" w:hAnsi="FrankRuehl" w:cs="FrankRuehl"/>
          <w:color w:val="0000FF"/>
          <w:rtl/>
        </w:rPr>
        <w:t xml:space="preserve">, </w:t>
      </w:r>
      <w:hyperlink r:id="rId11" w:history="1">
        <w:r w:rsidRPr="002B614D">
          <w:rPr>
            <w:rStyle w:val="Hyperlink"/>
            <w:rFonts w:ascii="FrankRuehl" w:hAnsi="FrankRuehl" w:cs="FrankRuehl"/>
            <w:u w:val="none"/>
          </w:rPr>
          <w:t>144</w:t>
        </w:r>
      </w:hyperlink>
      <w:r w:rsidRPr="002B614D">
        <w:rPr>
          <w:rFonts w:ascii="FrankRuehl" w:hAnsi="FrankRuehl" w:cs="FrankRuehl"/>
          <w:color w:val="0000FF"/>
          <w:rtl/>
        </w:rPr>
        <w:t xml:space="preserve">(א), </w:t>
      </w:r>
      <w:hyperlink r:id="rId12" w:history="1">
        <w:r w:rsidRPr="002B614D">
          <w:rPr>
            <w:rStyle w:val="Hyperlink"/>
            <w:rFonts w:ascii="FrankRuehl" w:hAnsi="FrankRuehl" w:cs="FrankRuehl"/>
            <w:u w:val="none"/>
          </w:rPr>
          <w:t>144</w:t>
        </w:r>
      </w:hyperlink>
      <w:r w:rsidRPr="002B614D">
        <w:rPr>
          <w:rFonts w:ascii="FrankRuehl" w:hAnsi="FrankRuehl" w:cs="FrankRuehl"/>
          <w:color w:val="0000FF"/>
          <w:rtl/>
        </w:rPr>
        <w:t xml:space="preserve">(ב), </w:t>
      </w:r>
      <w:hyperlink r:id="rId13" w:history="1">
        <w:r w:rsidRPr="002B614D">
          <w:rPr>
            <w:rStyle w:val="Hyperlink"/>
            <w:rFonts w:ascii="FrankRuehl" w:hAnsi="FrankRuehl" w:cs="FrankRuehl"/>
            <w:u w:val="none"/>
          </w:rPr>
          <w:t>40</w:t>
        </w:r>
        <w:r w:rsidRPr="002B614D">
          <w:rPr>
            <w:rStyle w:val="Hyperlink"/>
            <w:rFonts w:ascii="FrankRuehl" w:hAnsi="FrankRuehl" w:cs="FrankRuehl"/>
            <w:u w:val="none"/>
            <w:rtl/>
          </w:rPr>
          <w:t>יא</w:t>
        </w:r>
      </w:hyperlink>
    </w:p>
    <w:p w14:paraId="60C105B0" w14:textId="77777777" w:rsidR="007049D4" w:rsidRPr="002B614D" w:rsidRDefault="007049D4" w:rsidP="002B614D">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049D4" w14:paraId="4108DB7F" w14:textId="77777777" w:rsidTr="007049D4">
        <w:trPr>
          <w:trHeight w:val="355"/>
          <w:jc w:val="center"/>
        </w:trPr>
        <w:tc>
          <w:tcPr>
            <w:tcW w:w="8820" w:type="dxa"/>
            <w:tcBorders>
              <w:top w:val="nil"/>
              <w:left w:val="nil"/>
              <w:bottom w:val="nil"/>
              <w:right w:val="nil"/>
            </w:tcBorders>
            <w:shd w:val="clear" w:color="auto" w:fill="auto"/>
          </w:tcPr>
          <w:p w14:paraId="68040C93" w14:textId="77777777" w:rsidR="008B0F6F" w:rsidRPr="008B0F6F" w:rsidRDefault="008B0F6F" w:rsidP="008B0F6F">
            <w:pPr>
              <w:jc w:val="center"/>
              <w:rPr>
                <w:rFonts w:ascii="David" w:hAnsi="David"/>
                <w:b/>
                <w:bCs/>
                <w:sz w:val="32"/>
                <w:szCs w:val="32"/>
                <w:u w:val="single"/>
                <w:rtl/>
              </w:rPr>
            </w:pPr>
            <w:bookmarkStart w:id="5" w:name="PsakDin" w:colFirst="0" w:colLast="0"/>
            <w:bookmarkEnd w:id="0"/>
            <w:r w:rsidRPr="008B0F6F">
              <w:rPr>
                <w:rFonts w:ascii="David" w:hAnsi="David"/>
                <w:b/>
                <w:bCs/>
                <w:sz w:val="32"/>
                <w:szCs w:val="32"/>
                <w:u w:val="single"/>
                <w:rtl/>
              </w:rPr>
              <w:t>גזר דין</w:t>
            </w:r>
          </w:p>
          <w:p w14:paraId="7E6342DC" w14:textId="77777777" w:rsidR="007049D4" w:rsidRPr="008B0F6F" w:rsidRDefault="007049D4" w:rsidP="008B0F6F">
            <w:pPr>
              <w:jc w:val="center"/>
              <w:rPr>
                <w:rFonts w:ascii="David" w:hAnsi="David"/>
                <w:bCs/>
                <w:sz w:val="32"/>
                <w:szCs w:val="32"/>
                <w:u w:val="single"/>
                <w:rtl/>
              </w:rPr>
            </w:pPr>
          </w:p>
        </w:tc>
      </w:tr>
      <w:bookmarkEnd w:id="5"/>
    </w:tbl>
    <w:p w14:paraId="0BD96E6F" w14:textId="77777777" w:rsidR="007049D4" w:rsidRPr="000F2247" w:rsidRDefault="007049D4" w:rsidP="007049D4">
      <w:pPr>
        <w:rPr>
          <w:rFonts w:ascii="Arial" w:hAnsi="Arial"/>
          <w:b/>
          <w:bCs/>
          <w:sz w:val="26"/>
          <w:szCs w:val="26"/>
          <w:rtl/>
        </w:rPr>
      </w:pPr>
    </w:p>
    <w:p w14:paraId="2F6E3CE4" w14:textId="77777777" w:rsidR="007049D4" w:rsidRDefault="007049D4" w:rsidP="007049D4">
      <w:pPr>
        <w:pStyle w:val="11"/>
        <w:jc w:val="both"/>
      </w:pPr>
      <w:r>
        <w:rPr>
          <w:rtl/>
        </w:rPr>
        <w:t>רקע</w:t>
      </w:r>
    </w:p>
    <w:p w14:paraId="3322C2E2" w14:textId="77777777" w:rsidR="007049D4" w:rsidRDefault="007049D4" w:rsidP="007049D4">
      <w:pPr>
        <w:pStyle w:val="a"/>
        <w:tabs>
          <w:tab w:val="clear" w:pos="360"/>
          <w:tab w:val="clear" w:pos="1440"/>
          <w:tab w:val="num" w:pos="2911"/>
        </w:tabs>
        <w:rPr>
          <w:rtl/>
        </w:rPr>
      </w:pPr>
      <w:bookmarkStart w:id="6" w:name="ABSTRACT_START"/>
      <w:bookmarkEnd w:id="6"/>
      <w:r>
        <w:rPr>
          <w:rFonts w:hint="cs"/>
          <w:rtl/>
        </w:rPr>
        <w:t xml:space="preserve">הנאשם הורשע על פי הודאתו בכתב אישום מתוקן בעבירות החזקת נשק והחזקת תחמושת, בניגוד </w:t>
      </w:r>
      <w:hyperlink r:id="rId14" w:history="1">
        <w:r w:rsidR="002B614D" w:rsidRPr="002B614D">
          <w:rPr>
            <w:rStyle w:val="Hyperlink"/>
            <w:rFonts w:hint="eastAsia"/>
            <w:color w:val="0000FF"/>
            <w:rtl/>
          </w:rPr>
          <w:t>לסעיפים</w:t>
        </w:r>
        <w:r w:rsidR="002B614D" w:rsidRPr="002B614D">
          <w:rPr>
            <w:rStyle w:val="Hyperlink"/>
            <w:color w:val="0000FF"/>
            <w:rtl/>
          </w:rPr>
          <w:t xml:space="preserve"> 144(א)</w:t>
        </w:r>
      </w:hyperlink>
      <w:r>
        <w:rPr>
          <w:rFonts w:hint="cs"/>
          <w:rtl/>
        </w:rPr>
        <w:t xml:space="preserve"> רישא ו-</w:t>
      </w:r>
      <w:hyperlink r:id="rId15" w:history="1">
        <w:r w:rsidR="002B614D" w:rsidRPr="002B614D">
          <w:rPr>
            <w:rStyle w:val="Hyperlink"/>
            <w:color w:val="0000FF"/>
            <w:rtl/>
          </w:rPr>
          <w:t>144(א)</w:t>
        </w:r>
      </w:hyperlink>
      <w:r>
        <w:rPr>
          <w:rFonts w:hint="cs"/>
          <w:rtl/>
        </w:rPr>
        <w:t xml:space="preserve"> סיפא ב</w:t>
      </w:r>
      <w:hyperlink r:id="rId16" w:history="1">
        <w:r w:rsidR="008B0F6F" w:rsidRPr="008B0F6F">
          <w:rPr>
            <w:color w:val="0000FF"/>
            <w:u w:val="single"/>
            <w:rtl/>
          </w:rPr>
          <w:t>חוק העונשין</w:t>
        </w:r>
      </w:hyperlink>
      <w:r>
        <w:rPr>
          <w:rFonts w:hint="cs"/>
          <w:rtl/>
        </w:rPr>
        <w:t>, התשל"ז-1977</w:t>
      </w:r>
      <w:bookmarkStart w:id="7" w:name="ABSTRACT_END"/>
      <w:bookmarkEnd w:id="7"/>
      <w:r>
        <w:rPr>
          <w:rFonts w:hint="cs"/>
          <w:rtl/>
        </w:rPr>
        <w:t xml:space="preserve"> (להלן: "</w:t>
      </w:r>
      <w:r>
        <w:rPr>
          <w:rFonts w:hint="cs"/>
          <w:b/>
          <w:bCs/>
          <w:rtl/>
        </w:rPr>
        <w:t>חוק העונשין</w:t>
      </w:r>
      <w:r>
        <w:rPr>
          <w:rFonts w:hint="cs"/>
          <w:rtl/>
        </w:rPr>
        <w:t>").</w:t>
      </w:r>
    </w:p>
    <w:p w14:paraId="579B1996" w14:textId="77777777" w:rsidR="007049D4" w:rsidRDefault="007049D4" w:rsidP="007049D4">
      <w:pPr>
        <w:pStyle w:val="ab"/>
        <w:rPr>
          <w:rtl/>
        </w:rPr>
      </w:pPr>
      <w:r>
        <w:rPr>
          <w:rFonts w:hint="cs"/>
          <w:rtl/>
        </w:rPr>
        <w:t>על פי עובדות</w:t>
      </w:r>
      <w:r>
        <w:rPr>
          <w:rFonts w:hint="cs"/>
          <w:b/>
          <w:bCs/>
          <w:rtl/>
        </w:rPr>
        <w:t xml:space="preserve"> </w:t>
      </w:r>
      <w:r>
        <w:rPr>
          <w:rFonts w:hint="cs"/>
          <w:rtl/>
        </w:rPr>
        <w:t>כתב האישום, החזיק הנאשם בחדר אירוח הסמוך לביתו בישוב יאטה , בתוך מגירת שולחן האוכל באקדח חצי אוטומטי קליבר 9 מ"מ מתוצרת "גלוק" (להלן: "</w:t>
      </w:r>
      <w:r>
        <w:rPr>
          <w:rFonts w:hint="cs"/>
          <w:b/>
          <w:bCs/>
          <w:rtl/>
        </w:rPr>
        <w:t>האקדח</w:t>
      </w:r>
      <w:r>
        <w:rPr>
          <w:rFonts w:hint="cs"/>
          <w:rtl/>
        </w:rPr>
        <w:t xml:space="preserve">") טעון במחסנית תואמת עם תחמושת, ולצידו מחסנית תואמת נוספת עם תחמושת. </w:t>
      </w:r>
    </w:p>
    <w:p w14:paraId="74318640" w14:textId="77777777" w:rsidR="007049D4" w:rsidRDefault="007049D4" w:rsidP="007049D4">
      <w:pPr>
        <w:pStyle w:val="ab"/>
        <w:rPr>
          <w:rtl/>
        </w:rPr>
      </w:pPr>
      <w:r>
        <w:rPr>
          <w:rFonts w:hint="cs"/>
          <w:rtl/>
        </w:rPr>
        <w:t>הנאשם החזיק באמל"ח  שלעיל במשך מספר חודשים עובר ליום 19.11.23.</w:t>
      </w:r>
    </w:p>
    <w:p w14:paraId="2AF841A2" w14:textId="77777777" w:rsidR="007049D4" w:rsidRDefault="007049D4" w:rsidP="007049D4">
      <w:pPr>
        <w:pStyle w:val="11"/>
        <w:jc w:val="both"/>
      </w:pPr>
      <w:r>
        <w:rPr>
          <w:rtl/>
        </w:rPr>
        <w:t>טיעונים לעונש</w:t>
      </w:r>
    </w:p>
    <w:p w14:paraId="10FAAB69" w14:textId="77777777" w:rsidR="007049D4" w:rsidRDefault="007049D4" w:rsidP="007049D4">
      <w:pPr>
        <w:pStyle w:val="a"/>
        <w:tabs>
          <w:tab w:val="clear" w:pos="360"/>
          <w:tab w:val="clear" w:pos="1440"/>
          <w:tab w:val="num" w:pos="2911"/>
        </w:tabs>
        <w:rPr>
          <w:rtl/>
        </w:rPr>
      </w:pPr>
      <w:r>
        <w:rPr>
          <w:rFonts w:hint="cs"/>
          <w:rtl/>
        </w:rPr>
        <w:t>בדיון שנערך ביום 17.4.24, הגישה ב"כ המאשימה טיעונים לעונש בכתב (</w:t>
      </w:r>
      <w:r>
        <w:rPr>
          <w:rFonts w:hint="cs"/>
          <w:b/>
          <w:bCs/>
          <w:rtl/>
        </w:rPr>
        <w:t>ת/1</w:t>
      </w:r>
      <w:r>
        <w:rPr>
          <w:rFonts w:hint="cs"/>
          <w:rtl/>
        </w:rPr>
        <w:t xml:space="preserve">). </w:t>
      </w:r>
    </w:p>
    <w:p w14:paraId="7B8EA086" w14:textId="77777777" w:rsidR="007049D4" w:rsidRDefault="007049D4" w:rsidP="007049D4">
      <w:pPr>
        <w:pStyle w:val="a"/>
        <w:numPr>
          <w:ilvl w:val="0"/>
          <w:numId w:val="0"/>
        </w:numPr>
        <w:ind w:left="651"/>
      </w:pPr>
      <w:r>
        <w:rPr>
          <w:rFonts w:hint="cs"/>
          <w:rtl/>
        </w:rPr>
        <w:lastRenderedPageBreak/>
        <w:t>ב"כ הנאשם העיד מטעם ההגנה את אבי הנאשם, מר כמאל דבאבסה (להלן: "</w:t>
      </w:r>
      <w:r>
        <w:rPr>
          <w:rFonts w:hint="cs"/>
          <w:b/>
          <w:bCs/>
          <w:rtl/>
        </w:rPr>
        <w:t>האב</w:t>
      </w:r>
      <w:r>
        <w:rPr>
          <w:rFonts w:hint="cs"/>
          <w:rtl/>
        </w:rPr>
        <w:t>").</w:t>
      </w:r>
    </w:p>
    <w:p w14:paraId="29B13C87" w14:textId="77777777" w:rsidR="007049D4" w:rsidRDefault="007049D4" w:rsidP="007049D4">
      <w:pPr>
        <w:pStyle w:val="ab"/>
        <w:rPr>
          <w:rtl/>
        </w:rPr>
      </w:pPr>
      <w:r>
        <w:rPr>
          <w:rFonts w:hint="cs"/>
          <w:rtl/>
        </w:rPr>
        <w:t xml:space="preserve">בעדותו, הציג האב תעודה, לפיה הוא עובד עם משרד הביטחון. האב מסר כי משפחתו מאוימת, כי אמו ואחיו נרצחו בתחומי "האזור", וכי בנו – הנאשם, החזיק בנשק לצורכי הגנה עצמית. לדברי האב – הוא והנאשם מתגוררים ברמלה אך אשת הנאשם גרה ביאטה, שכן איננה תושבת ישראל. </w:t>
      </w:r>
    </w:p>
    <w:p w14:paraId="0F6BC6A9" w14:textId="77777777" w:rsidR="007049D4" w:rsidRDefault="007049D4" w:rsidP="007049D4">
      <w:pPr>
        <w:pStyle w:val="a"/>
        <w:tabs>
          <w:tab w:val="clear" w:pos="360"/>
          <w:tab w:val="clear" w:pos="1440"/>
          <w:tab w:val="num" w:pos="2911"/>
        </w:tabs>
        <w:rPr>
          <w:rtl/>
        </w:rPr>
      </w:pPr>
      <w:r>
        <w:rPr>
          <w:rFonts w:hint="cs"/>
          <w:b/>
          <w:bCs/>
          <w:rtl/>
        </w:rPr>
        <w:t>ב"כ המאשימה</w:t>
      </w:r>
      <w:r>
        <w:rPr>
          <w:rFonts w:hint="cs"/>
          <w:rtl/>
        </w:rPr>
        <w:t xml:space="preserve"> הפנה לערכים המוגנים אשר נפגעו כתוצאה ממעשי הנאשם: חשש ממשי לפגיעה בחפים מפשע; חשש להסלמת אלימות עבריינית; ערעור הביטחון האישי; והפרת הסדר הציבורי. לשיטת ב"כ המאשימה, הפגיעה בערכים היא אלו הינה במידה משמעותית ביותר.</w:t>
      </w:r>
    </w:p>
    <w:p w14:paraId="34B0FD0A" w14:textId="77777777" w:rsidR="007049D4" w:rsidRDefault="007049D4" w:rsidP="007049D4">
      <w:pPr>
        <w:pStyle w:val="ab"/>
        <w:rPr>
          <w:rtl/>
        </w:rPr>
      </w:pPr>
      <w:r>
        <w:rPr>
          <w:rFonts w:eastAsia="David" w:hint="cs"/>
          <w:rtl/>
        </w:rPr>
        <w:t>ב"כ המאשימה טען לחומרה כי האקדח היה טעון במחסנית עם תחמושת, היה מוכן לביצוע ירי, וכי לצידו הוחזקה אף מחסנית טעונה נוספת, והכל במשך מספר חודשים.</w:t>
      </w:r>
    </w:p>
    <w:p w14:paraId="04E83297" w14:textId="77777777" w:rsidR="007049D4" w:rsidRDefault="007049D4" w:rsidP="007049D4">
      <w:pPr>
        <w:pStyle w:val="ab"/>
        <w:rPr>
          <w:b/>
          <w:bCs/>
          <w:rtl/>
        </w:rPr>
      </w:pPr>
      <w:r>
        <w:rPr>
          <w:rFonts w:hint="cs"/>
          <w:b/>
          <w:bCs/>
          <w:rtl/>
        </w:rPr>
        <w:t>ב"כ המאשימה עתר לקביעת מתחם ענישה שנע בין 27 לבין 46 חודשי מאסר.</w:t>
      </w:r>
    </w:p>
    <w:p w14:paraId="5AE9890B" w14:textId="77777777" w:rsidR="007049D4" w:rsidRDefault="007049D4" w:rsidP="007049D4">
      <w:pPr>
        <w:pStyle w:val="ab"/>
        <w:rPr>
          <w:rtl/>
        </w:rPr>
      </w:pPr>
      <w:r>
        <w:rPr>
          <w:rFonts w:hint="cs"/>
          <w:rtl/>
        </w:rPr>
        <w:t>אשר לנסיבות שאינן קשורות בביצוע העבירות, הפנה ב"כ המאשימה להיעדרו של עבר פלילי ולהודאת הנאשם אשר הביאה לחיסכון בזמן השיפוטי.</w:t>
      </w:r>
    </w:p>
    <w:p w14:paraId="4C3B620F" w14:textId="77777777" w:rsidR="007049D4" w:rsidRDefault="007049D4" w:rsidP="007049D4">
      <w:pPr>
        <w:pStyle w:val="ab"/>
        <w:rPr>
          <w:rtl/>
        </w:rPr>
      </w:pPr>
      <w:r>
        <w:rPr>
          <w:rFonts w:hint="cs"/>
          <w:rtl/>
        </w:rPr>
        <w:t>נוכח האמור, עתר ב"כ המאשימה למקם את עונשו של הנאשם בשליש התחתון של מתחם העונש ההולם, ולהורות על הטלת רכיבי ענישה נלווים של מאסר מותנה ארוך ומרתיע, קנס והתחייבות.</w:t>
      </w:r>
    </w:p>
    <w:p w14:paraId="1D2DA4FB" w14:textId="77777777" w:rsidR="007049D4" w:rsidRDefault="007049D4" w:rsidP="007049D4">
      <w:pPr>
        <w:pStyle w:val="a"/>
        <w:tabs>
          <w:tab w:val="clear" w:pos="360"/>
          <w:tab w:val="clear" w:pos="1440"/>
          <w:tab w:val="num" w:pos="2911"/>
        </w:tabs>
        <w:rPr>
          <w:rtl/>
        </w:rPr>
      </w:pPr>
      <w:r>
        <w:rPr>
          <w:rFonts w:hint="cs"/>
          <w:b/>
          <w:bCs/>
          <w:rtl/>
        </w:rPr>
        <w:t>ב"כ הנאשם</w:t>
      </w:r>
      <w:r>
        <w:rPr>
          <w:rFonts w:hint="cs"/>
          <w:rtl/>
        </w:rPr>
        <w:t xml:space="preserve"> טען כי הנאשם הודה בהזדמנות הראשונה ונטל אחריות למעשיו. נטען כי הימצאות כלי הנשק ב"אזור" מפחית סיכון, ולא כטענת המאשימה, שכן הנשק לא מסכן את אזרחי מדינת ישראל אשר גרים בתחומה.</w:t>
      </w:r>
    </w:p>
    <w:p w14:paraId="7B1EE841" w14:textId="77777777" w:rsidR="007049D4" w:rsidRDefault="007049D4" w:rsidP="007049D4">
      <w:pPr>
        <w:pStyle w:val="ab"/>
        <w:rPr>
          <w:rFonts w:eastAsia="David"/>
          <w:rtl/>
        </w:rPr>
      </w:pPr>
      <w:r>
        <w:rPr>
          <w:rFonts w:eastAsia="David" w:hint="cs"/>
          <w:rtl/>
        </w:rPr>
        <w:t>ב"כ הנאשם הפנה לעדות האב לפיה נרצחו בני משפחתו בידי התנזים על רקע שיתוף הפעולה של אבי הנאשם עם כוחות הביטחון.</w:t>
      </w:r>
    </w:p>
    <w:p w14:paraId="6BC0F2DB" w14:textId="77777777" w:rsidR="007049D4" w:rsidRDefault="007049D4" w:rsidP="007049D4">
      <w:pPr>
        <w:pStyle w:val="ab"/>
        <w:rPr>
          <w:rFonts w:eastAsia="David"/>
          <w:rtl/>
        </w:rPr>
      </w:pPr>
      <w:r>
        <w:rPr>
          <w:rFonts w:eastAsia="David" w:hint="cs"/>
          <w:rtl/>
        </w:rPr>
        <w:t xml:space="preserve">ב"כ הנאשם טען כי מתחם המאשימה לא תואם את הפסיקה הנוהגת ולשיטת ההגנה, המתחם הראוי נע בין </w:t>
      </w:r>
      <w:r>
        <w:rPr>
          <w:rFonts w:eastAsia="David" w:hint="cs"/>
          <w:b/>
          <w:bCs/>
          <w:rtl/>
        </w:rPr>
        <w:t>12 ל-20</w:t>
      </w:r>
      <w:r>
        <w:rPr>
          <w:rFonts w:eastAsia="David" w:hint="cs"/>
          <w:rtl/>
        </w:rPr>
        <w:t xml:space="preserve"> חודשי מאסר.</w:t>
      </w:r>
    </w:p>
    <w:p w14:paraId="6431B577" w14:textId="77777777" w:rsidR="007049D4" w:rsidRDefault="007049D4" w:rsidP="007049D4">
      <w:pPr>
        <w:pStyle w:val="ab"/>
        <w:rPr>
          <w:rtl/>
        </w:rPr>
      </w:pPr>
      <w:r>
        <w:rPr>
          <w:rFonts w:eastAsia="David" w:hint="cs"/>
          <w:rtl/>
        </w:rPr>
        <w:t>ב"כ הנאשם עתר לחרוג ממתחם העונש נוכח מטרת ההחזקה, מיקום הנשק בשטחי "האזור" ותרומת האב למדינה.</w:t>
      </w:r>
    </w:p>
    <w:p w14:paraId="620B8473" w14:textId="77777777" w:rsidR="007049D4" w:rsidRDefault="007049D4" w:rsidP="007049D4">
      <w:pPr>
        <w:pStyle w:val="a"/>
        <w:tabs>
          <w:tab w:val="clear" w:pos="360"/>
          <w:tab w:val="clear" w:pos="1440"/>
          <w:tab w:val="num" w:pos="2911"/>
        </w:tabs>
        <w:rPr>
          <w:rtl/>
        </w:rPr>
      </w:pPr>
      <w:r>
        <w:rPr>
          <w:rFonts w:hint="cs"/>
          <w:rtl/>
        </w:rPr>
        <w:t xml:space="preserve">בדבריו האחרונים, מסר </w:t>
      </w:r>
      <w:r>
        <w:rPr>
          <w:rFonts w:hint="cs"/>
          <w:b/>
          <w:bCs/>
          <w:rtl/>
        </w:rPr>
        <w:t>הנאשם</w:t>
      </w:r>
      <w:r>
        <w:rPr>
          <w:rFonts w:hint="cs"/>
          <w:rtl/>
        </w:rPr>
        <w:t>:</w:t>
      </w:r>
    </w:p>
    <w:p w14:paraId="6EE51108" w14:textId="77777777" w:rsidR="007049D4" w:rsidRDefault="007049D4" w:rsidP="007049D4">
      <w:pPr>
        <w:pStyle w:val="ad"/>
        <w:rPr>
          <w:rtl/>
        </w:rPr>
      </w:pPr>
      <w:r>
        <w:rPr>
          <w:rFonts w:hint="cs"/>
          <w:rtl/>
        </w:rPr>
        <w:lastRenderedPageBreak/>
        <w:t>"התובע רוצה שאם אני רואה מחבל אני אעצום עיניים. כאילו הוא אומר "אל תעזור". אני עזרתי כמה שאני יכול. אחי, סבתי נפטרו בשטחים. לקחתי את האקדח כדי להגן על עצמי. האקדח היה כדי להגן מחמאס. מה שהיה ב-07.10 היה כבד. אני שמתי אקדח במגירה כדי להגן על עצמי ועל הוריי."</w:t>
      </w:r>
    </w:p>
    <w:p w14:paraId="64CB5744" w14:textId="77777777" w:rsidR="007049D4" w:rsidRDefault="007049D4" w:rsidP="007049D4">
      <w:pPr>
        <w:pStyle w:val="11"/>
        <w:jc w:val="both"/>
        <w:rPr>
          <w:rtl/>
        </w:rPr>
      </w:pPr>
      <w:r>
        <w:rPr>
          <w:rtl/>
        </w:rPr>
        <w:t>מתחם העונש ההולם</w:t>
      </w:r>
    </w:p>
    <w:p w14:paraId="67DFB32D" w14:textId="77777777" w:rsidR="007049D4" w:rsidRDefault="007049D4" w:rsidP="007049D4">
      <w:pPr>
        <w:pStyle w:val="a"/>
        <w:tabs>
          <w:tab w:val="clear" w:pos="360"/>
          <w:tab w:val="clear" w:pos="1440"/>
          <w:tab w:val="num" w:pos="2911"/>
        </w:tabs>
      </w:pPr>
      <w:r>
        <w:rPr>
          <w:rFonts w:hint="cs"/>
          <w:rtl/>
        </w:rPr>
        <w:t xml:space="preserve">מתחם העונש יקבע בהתאם לעקרון ההלימה תוך מתן משקל </w:t>
      </w:r>
      <w:r>
        <w:rPr>
          <w:rFonts w:hint="cs"/>
          <w:b/>
          <w:bCs/>
          <w:rtl/>
        </w:rPr>
        <w:t>לערכים החברתיים</w:t>
      </w:r>
      <w:r>
        <w:rPr>
          <w:rFonts w:hint="cs"/>
          <w:rtl/>
        </w:rPr>
        <w:t xml:space="preserve"> שנפגעו מביצוע העבירות, </w:t>
      </w:r>
      <w:r>
        <w:rPr>
          <w:rFonts w:hint="cs"/>
          <w:b/>
          <w:bCs/>
          <w:rtl/>
        </w:rPr>
        <w:t xml:space="preserve">למידת הפגיעה </w:t>
      </w:r>
      <w:r>
        <w:rPr>
          <w:rFonts w:hint="cs"/>
          <w:rtl/>
        </w:rPr>
        <w:t xml:space="preserve">בהם </w:t>
      </w:r>
      <w:r>
        <w:rPr>
          <w:rFonts w:hint="cs"/>
          <w:b/>
          <w:bCs/>
          <w:rtl/>
        </w:rPr>
        <w:t>ולמדיניות הענישה</w:t>
      </w:r>
      <w:r>
        <w:rPr>
          <w:rFonts w:hint="cs"/>
          <w:rtl/>
        </w:rPr>
        <w:t xml:space="preserve"> הנהוגה, והכל </w:t>
      </w:r>
      <w:r>
        <w:rPr>
          <w:rFonts w:hint="cs"/>
          <w:b/>
          <w:bCs/>
          <w:rtl/>
        </w:rPr>
        <w:t xml:space="preserve">בנסיבות הקשורות בביצוע העבירה </w:t>
      </w:r>
      <w:r>
        <w:rPr>
          <w:rFonts w:hint="cs"/>
          <w:rtl/>
        </w:rPr>
        <w:t>(</w:t>
      </w:r>
      <w:hyperlink r:id="rId17" w:history="1">
        <w:r w:rsidR="002B614D" w:rsidRPr="002B614D">
          <w:rPr>
            <w:rStyle w:val="Hyperlink"/>
            <w:rFonts w:hint="eastAsia"/>
            <w:color w:val="0000FF"/>
            <w:rtl/>
          </w:rPr>
          <w:t>סעיף</w:t>
        </w:r>
        <w:r w:rsidR="002B614D" w:rsidRPr="002B614D">
          <w:rPr>
            <w:rStyle w:val="Hyperlink"/>
            <w:color w:val="0000FF"/>
            <w:rtl/>
          </w:rPr>
          <w:t xml:space="preserve"> 40ג(א)</w:t>
        </w:r>
      </w:hyperlink>
      <w:r>
        <w:rPr>
          <w:rFonts w:hint="cs"/>
          <w:rtl/>
        </w:rPr>
        <w:t xml:space="preserve"> ל</w:t>
      </w:r>
      <w:hyperlink r:id="rId18" w:history="1">
        <w:r w:rsidR="008B0F6F" w:rsidRPr="008B0F6F">
          <w:rPr>
            <w:color w:val="0000FF"/>
            <w:u w:val="single"/>
            <w:rtl/>
          </w:rPr>
          <w:t>חוק העונשין</w:t>
        </w:r>
      </w:hyperlink>
      <w:r>
        <w:rPr>
          <w:rFonts w:hint="cs"/>
          <w:rtl/>
        </w:rPr>
        <w:t>).</w:t>
      </w:r>
    </w:p>
    <w:p w14:paraId="0BE9BFA2" w14:textId="77777777" w:rsidR="007049D4" w:rsidRDefault="007049D4" w:rsidP="007049D4">
      <w:pPr>
        <w:pStyle w:val="ab"/>
        <w:rPr>
          <w:rtl/>
        </w:rPr>
      </w:pPr>
      <w:r>
        <w:rPr>
          <w:rFonts w:hint="cs"/>
          <w:u w:val="single"/>
          <w:rtl/>
        </w:rPr>
        <w:t>עיקרון ההלימה הינו העיקרון המנחה בענישה</w:t>
      </w:r>
      <w:r>
        <w:rPr>
          <w:rFonts w:hint="cs"/>
          <w:rtl/>
        </w:rPr>
        <w:t xml:space="preserve"> – קיומו של יחס הולם בין חומרת מעשה העבירה בנסיבותיו ומידת אשמו של הנאשם ובין סוג ומידת העונש המוטל עליו (</w:t>
      </w:r>
      <w:hyperlink r:id="rId19" w:history="1">
        <w:r w:rsidR="002B614D" w:rsidRPr="002B614D">
          <w:rPr>
            <w:rStyle w:val="Hyperlink"/>
            <w:rFonts w:hint="eastAsia"/>
            <w:color w:val="0000FF"/>
            <w:rtl/>
          </w:rPr>
          <w:t>סעיף</w:t>
        </w:r>
        <w:r w:rsidR="002B614D" w:rsidRPr="002B614D">
          <w:rPr>
            <w:rStyle w:val="Hyperlink"/>
            <w:color w:val="0000FF"/>
            <w:rtl/>
          </w:rPr>
          <w:t xml:space="preserve"> 40ב</w:t>
        </w:r>
      </w:hyperlink>
      <w:r>
        <w:rPr>
          <w:rFonts w:hint="cs"/>
          <w:rtl/>
        </w:rPr>
        <w:t xml:space="preserve"> ל</w:t>
      </w:r>
      <w:hyperlink r:id="rId20" w:history="1">
        <w:r w:rsidR="008B0F6F" w:rsidRPr="008B0F6F">
          <w:rPr>
            <w:color w:val="0000FF"/>
            <w:u w:val="single"/>
            <w:rtl/>
          </w:rPr>
          <w:t>חוק העונשין</w:t>
        </w:r>
      </w:hyperlink>
      <w:r>
        <w:rPr>
          <w:rFonts w:hint="cs"/>
          <w:rtl/>
        </w:rPr>
        <w:t>).</w:t>
      </w:r>
    </w:p>
    <w:p w14:paraId="21696E1D" w14:textId="77777777" w:rsidR="007049D4" w:rsidRDefault="007049D4" w:rsidP="007049D4">
      <w:pPr>
        <w:pStyle w:val="a"/>
        <w:tabs>
          <w:tab w:val="clear" w:pos="360"/>
          <w:tab w:val="clear" w:pos="1440"/>
          <w:tab w:val="num" w:pos="2911"/>
        </w:tabs>
        <w:rPr>
          <w:rtl/>
        </w:rPr>
      </w:pPr>
      <w:r>
        <w:rPr>
          <w:rFonts w:hint="cs"/>
          <w:rtl/>
        </w:rPr>
        <w:t>הערכים המוגנים אשר נפגעו ממעשיו של הנאשם הם שמירה על ביטחון הציבור, והגנה שלומם ושלמות גופם של האזרחים. כן נפגע ערך של שמירה על הסדר החברתי ובמסגרתו מניעה של הסלמת סכסוכים לכדי אירועים קטלניים.</w:t>
      </w:r>
    </w:p>
    <w:p w14:paraId="64B21437" w14:textId="77777777" w:rsidR="007049D4" w:rsidRDefault="007049D4" w:rsidP="007049D4">
      <w:pPr>
        <w:pStyle w:val="a"/>
        <w:tabs>
          <w:tab w:val="clear" w:pos="360"/>
          <w:tab w:val="clear" w:pos="1440"/>
          <w:tab w:val="num" w:pos="2911"/>
        </w:tabs>
        <w:rPr>
          <w:rtl/>
        </w:rPr>
      </w:pPr>
      <w:r>
        <w:rPr>
          <w:rFonts w:hint="cs"/>
          <w:rtl/>
        </w:rPr>
        <w:t>בעניין חומרתן של עבירות החזקת כלי נשק, אשר הפכו זה מכבר "למכת מדינה", יפים דברי בית המשפט העליון:</w:t>
      </w:r>
    </w:p>
    <w:p w14:paraId="1EBE7F56" w14:textId="77777777" w:rsidR="007049D4" w:rsidRDefault="007049D4" w:rsidP="007049D4">
      <w:pPr>
        <w:pStyle w:val="ab"/>
        <w:rPr>
          <w:rtl/>
        </w:rPr>
      </w:pPr>
      <w:r>
        <w:rPr>
          <w:rFonts w:hint="cs"/>
          <w:rtl/>
        </w:rPr>
        <w:t xml:space="preserve">ר' למשל </w:t>
      </w:r>
      <w:hyperlink r:id="rId21" w:history="1">
        <w:r w:rsidR="008B0F6F" w:rsidRPr="008B0F6F">
          <w:rPr>
            <w:color w:val="0000FF"/>
            <w:u w:val="single"/>
            <w:rtl/>
          </w:rPr>
          <w:t>ע"פ 3610/23</w:t>
        </w:r>
      </w:hyperlink>
      <w:r w:rsidR="008B0F6F">
        <w:rPr>
          <w:rFonts w:hint="cs"/>
          <w:rtl/>
        </w:rPr>
        <w:t xml:space="preserve"> </w:t>
      </w:r>
      <w:r>
        <w:rPr>
          <w:rFonts w:hint="cs"/>
          <w:b/>
          <w:bCs/>
          <w:rtl/>
        </w:rPr>
        <w:t>רמי גוהר נ' מדינת ישראל</w:t>
      </w:r>
      <w:r w:rsidR="008B0F6F">
        <w:rPr>
          <w:rFonts w:hint="cs"/>
          <w:rtl/>
        </w:rPr>
        <w:t xml:space="preserve"> </w:t>
      </w:r>
      <w:r>
        <w:rPr>
          <w:rFonts w:hint="cs"/>
          <w:rtl/>
        </w:rPr>
        <w:t xml:space="preserve">(נבו 23.05.2024) </w:t>
      </w:r>
    </w:p>
    <w:p w14:paraId="0D27DBAA" w14:textId="77777777" w:rsidR="007049D4" w:rsidRDefault="007049D4" w:rsidP="007049D4">
      <w:pPr>
        <w:pStyle w:val="ad"/>
        <w:rPr>
          <w:rtl/>
        </w:rPr>
      </w:pPr>
      <w:r>
        <w:rPr>
          <w:rFonts w:hint="cs"/>
          <w:rtl/>
        </w:rPr>
        <w:t>"בית משפט זה עמד פעמים רבות על החומרה היתרה שבעבירות נשק, בהן גלום פוטנציאל לפגיעה בחיי אדם וסיכון ביטחון הציבור. כפי שהזדמן לי לציין ... "אין צורך להכביר במילים על אודות החומרה הנלווית לעבירות נשק. אין היום חולקין כי עבירות מסוג זה הפכו ל"מכת מדינה" של ממש ... 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22" w:history="1">
        <w:r w:rsidR="008B0F6F" w:rsidRPr="008B0F6F">
          <w:rPr>
            <w:color w:val="0000FF"/>
            <w:u w:val="single"/>
            <w:rtl/>
          </w:rPr>
          <w:t>חוק העונשין</w:t>
        </w:r>
      </w:hyperlink>
      <w:r>
        <w:rPr>
          <w:rFonts w:hint="cs"/>
          <w:rtl/>
        </w:rPr>
        <w:t xml:space="preserve"> (חוק העונשין (תיקון מס' 140 – הוראת שעה), התשפ"ב-2021) הקובע עונשי מינימום לעבירות נשק" ... דברים אלו נכונים היום על דרך קל וחומר</w:t>
      </w:r>
      <w:r>
        <w:t>."</w:t>
      </w:r>
    </w:p>
    <w:p w14:paraId="4D22BEEE" w14:textId="77777777" w:rsidR="007049D4" w:rsidRDefault="007049D4" w:rsidP="007049D4">
      <w:pPr>
        <w:pStyle w:val="ab"/>
        <w:rPr>
          <w:color w:val="000000"/>
          <w:rtl/>
        </w:rPr>
      </w:pPr>
      <w:r>
        <w:rPr>
          <w:rFonts w:hint="cs"/>
          <w:rtl/>
        </w:rPr>
        <w:t>וכן ב</w:t>
      </w:r>
      <w:hyperlink r:id="rId23" w:history="1">
        <w:r w:rsidR="008B0F6F" w:rsidRPr="008B0F6F">
          <w:rPr>
            <w:color w:val="0000FF"/>
            <w:u w:val="single"/>
            <w:rtl/>
          </w:rPr>
          <w:t>ע"פ 5681/23</w:t>
        </w:r>
      </w:hyperlink>
      <w:r w:rsidR="008B0F6F">
        <w:rPr>
          <w:rFonts w:hint="cs"/>
          <w:color w:val="000000"/>
          <w:rtl/>
        </w:rPr>
        <w:t xml:space="preserve"> </w:t>
      </w:r>
      <w:r>
        <w:rPr>
          <w:rFonts w:hint="cs"/>
          <w:b/>
          <w:bCs/>
          <w:color w:val="000000"/>
          <w:rtl/>
        </w:rPr>
        <w:t>נח חווא נ' מדינת ישראל</w:t>
      </w:r>
      <w:r w:rsidR="008B0F6F">
        <w:rPr>
          <w:rFonts w:hint="cs"/>
          <w:color w:val="000000"/>
          <w:rtl/>
        </w:rPr>
        <w:t xml:space="preserve"> </w:t>
      </w:r>
      <w:r>
        <w:rPr>
          <w:rFonts w:hint="cs"/>
          <w:color w:val="000000"/>
          <w:rtl/>
        </w:rPr>
        <w:t xml:space="preserve">(נבו 20.12.2023) </w:t>
      </w:r>
    </w:p>
    <w:p w14:paraId="490396D0" w14:textId="77777777" w:rsidR="007049D4" w:rsidRDefault="007049D4" w:rsidP="007049D4">
      <w:pPr>
        <w:pStyle w:val="ad"/>
        <w:rPr>
          <w:rtl/>
        </w:rPr>
      </w:pPr>
      <w:r>
        <w:rPr>
          <w:rFonts w:hint="cs"/>
          <w:rtl/>
        </w:rPr>
        <w:t>"בית משפט זה שב ומתריע השכם והערב על חומרתן של עבירות הנשק בחברה הישראלית בכלל, ובמגזר הערבי בפרט (ראו: עניין קואסמה, פסקה 16; עניין אבו עבסה, פסקה 15). עבירות אלו מגלמות סיכון רבתי לשלום הציבור, לביטחונו ולסדר החברתי, כאשר חדשות לבקרים אנו עדים לתוצאותיהן ההרסניות ומעבר לכך הן משמשות קרקע פורייה לעבירות נוספות (עניין נורי, פסקה 9). בהתאם לכך ולנוכח ריבוי מקרי הירי, יש לנקוט במדיניות ענישה מחמירה בגין ביצוע עבירות נשק, החל מיצרני או מבריחי הנשק הבלתי חוקי, דרך הסוחרים בו ועד לאלו הנוטלים אותו לידם ועושים בו שימוש בלתי חוקי לרבות החזקה ונשיאה.  ואמנם ניכרת בשנים האחרונות מגמת החמרה בענישה לשם מיגור עבירות אלו.</w:t>
      </w:r>
      <w:r>
        <w:t>"</w:t>
      </w:r>
    </w:p>
    <w:p w14:paraId="29BD880C" w14:textId="77777777" w:rsidR="007049D4" w:rsidRDefault="007049D4" w:rsidP="007049D4">
      <w:pPr>
        <w:pStyle w:val="ab"/>
        <w:rPr>
          <w:rtl/>
        </w:rPr>
      </w:pPr>
      <w:r>
        <w:rPr>
          <w:rFonts w:hint="cs"/>
          <w:rtl/>
        </w:rPr>
        <w:t>וגם ב</w:t>
      </w:r>
      <w:hyperlink r:id="rId24" w:history="1">
        <w:r w:rsidR="008B0F6F" w:rsidRPr="008B0F6F">
          <w:rPr>
            <w:color w:val="0000FF"/>
            <w:u w:val="single"/>
            <w:rtl/>
          </w:rPr>
          <w:t>ע"פ 4406/19</w:t>
        </w:r>
      </w:hyperlink>
      <w:r w:rsidR="008B0F6F">
        <w:rPr>
          <w:rFonts w:hint="cs"/>
          <w:rtl/>
        </w:rPr>
        <w:t xml:space="preserve"> </w:t>
      </w:r>
      <w:r>
        <w:rPr>
          <w:rFonts w:hint="cs"/>
          <w:b/>
          <w:bCs/>
          <w:rtl/>
        </w:rPr>
        <w:t>מדינת ישראל נ' יונס סובח</w:t>
      </w:r>
      <w:r w:rsidR="008B0F6F">
        <w:rPr>
          <w:rFonts w:hint="cs"/>
          <w:rtl/>
        </w:rPr>
        <w:t xml:space="preserve"> </w:t>
      </w:r>
      <w:r>
        <w:rPr>
          <w:rFonts w:hint="cs"/>
          <w:rtl/>
        </w:rPr>
        <w:t xml:space="preserve">(נבו 05.11.2019) </w:t>
      </w:r>
    </w:p>
    <w:p w14:paraId="67191012" w14:textId="77777777" w:rsidR="007049D4" w:rsidRDefault="007049D4" w:rsidP="007049D4">
      <w:pPr>
        <w:pStyle w:val="ad"/>
        <w:rPr>
          <w:rtl/>
        </w:rPr>
      </w:pPr>
      <w:r>
        <w:rPr>
          <w:rFonts w:hint="cs"/>
          <w:rtl/>
        </w:rPr>
        <w:t>"המאבק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אזכיר כי המחוקק ביטא את גישתו המחמירה לתופעה זו כאשר קבע עונשים מחמירים של 7 שנות מאסר על רכישה או החזקה של נשק בלא רשות על פי דין, 10 שנות מאסר על נשיאה או הובלה של נשק בלא רשות על פי דין, ו- 15 שנות מאסר על ייצור, יבוא או סחר בנשק בלא רשות על פי דין (סעיף 144 ל</w:t>
      </w:r>
      <w:hyperlink r:id="rId25" w:history="1">
        <w:r w:rsidR="008B0F6F" w:rsidRPr="008B0F6F">
          <w:rPr>
            <w:color w:val="0000FF"/>
            <w:u w:val="single"/>
            <w:rtl/>
          </w:rPr>
          <w:t>חוק העונשין</w:t>
        </w:r>
      </w:hyperlink>
      <w:r>
        <w:rPr>
          <w:rFonts w:hint="cs"/>
          <w:rtl/>
        </w:rPr>
        <w:t>, התשל"ז-1977); זאת אף בלא שנעשה בנשק שימוש לביצוע עבירה נוספת</w:t>
      </w:r>
      <w:r>
        <w:t>."</w:t>
      </w:r>
    </w:p>
    <w:p w14:paraId="478A68F7" w14:textId="77777777" w:rsidR="007049D4" w:rsidRDefault="007049D4" w:rsidP="007049D4">
      <w:pPr>
        <w:pStyle w:val="a"/>
        <w:tabs>
          <w:tab w:val="clear" w:pos="360"/>
          <w:tab w:val="clear" w:pos="1440"/>
          <w:tab w:val="num" w:pos="2911"/>
        </w:tabs>
        <w:rPr>
          <w:rtl/>
        </w:rPr>
      </w:pPr>
      <w:r>
        <w:rPr>
          <w:rFonts w:hint="cs"/>
          <w:rtl/>
        </w:rPr>
        <w:t xml:space="preserve">מדיניות הענישה הנוהגת: </w:t>
      </w:r>
    </w:p>
    <w:p w14:paraId="23E9B12F" w14:textId="77777777" w:rsidR="007049D4" w:rsidRDefault="008B0F6F" w:rsidP="007049D4">
      <w:pPr>
        <w:pStyle w:val="a0"/>
        <w:rPr>
          <w:rtl/>
        </w:rPr>
      </w:pPr>
      <w:hyperlink r:id="rId26" w:history="1">
        <w:r w:rsidRPr="008B0F6F">
          <w:rPr>
            <w:color w:val="0000FF"/>
            <w:u w:val="single"/>
            <w:rtl/>
          </w:rPr>
          <w:t>ע"פ 1806/22</w:t>
        </w:r>
      </w:hyperlink>
      <w:r w:rsidR="007049D4">
        <w:rPr>
          <w:rFonts w:hint="cs"/>
          <w:rtl/>
        </w:rPr>
        <w:t xml:space="preserve"> </w:t>
      </w:r>
      <w:r w:rsidR="007049D4">
        <w:rPr>
          <w:rFonts w:hint="cs"/>
          <w:b/>
          <w:bCs/>
          <w:rtl/>
        </w:rPr>
        <w:t>עאדל נבארי נ' מדינת ישראל</w:t>
      </w:r>
      <w:r w:rsidR="007049D4">
        <w:rPr>
          <w:rFonts w:hint="cs"/>
          <w:rtl/>
        </w:rPr>
        <w:t xml:space="preserve"> (נבו 15.06.2022)</w:t>
      </w:r>
    </w:p>
    <w:p w14:paraId="573F2FAA" w14:textId="77777777" w:rsidR="007049D4" w:rsidRDefault="007049D4" w:rsidP="007049D4">
      <w:pPr>
        <w:pStyle w:val="-"/>
        <w:rPr>
          <w:rtl/>
        </w:rPr>
      </w:pPr>
      <w:r>
        <w:rPr>
          <w:rFonts w:hint="cs"/>
          <w:rtl/>
        </w:rPr>
        <w:t xml:space="preserve">הנאשם הורשע על פי הודאתו בהחזקת נשק ותחמושת בכך שהחזיק ברכב אקדח </w:t>
      </w:r>
      <w:r>
        <w:t>FN</w:t>
      </w:r>
      <w:r>
        <w:rPr>
          <w:rFonts w:hint="cs"/>
          <w:rtl/>
        </w:rPr>
        <w:t xml:space="preserve"> טעון במחסנית ובה 12 כדורי 9 מ"מ. </w:t>
      </w:r>
      <w:r>
        <w:rPr>
          <w:rFonts w:hint="cs"/>
          <w:b/>
          <w:bCs/>
          <w:rtl/>
        </w:rPr>
        <w:t>המתחם שנקבע בבית-המשפט המחוזי נע בין 15 ל-36 חודשי מאסר</w:t>
      </w:r>
      <w:r>
        <w:rPr>
          <w:rFonts w:hint="cs"/>
          <w:rtl/>
        </w:rPr>
        <w:t>. על הנאשם נגזרו 20 חודשי מאסר. במסגרת ערעורו, מצא בית-המשפט העליון כי יש מקום להקלה מסוימת וגזר דינו ל-16 חודשי מאסר.</w:t>
      </w:r>
    </w:p>
    <w:p w14:paraId="2E147390" w14:textId="77777777" w:rsidR="007049D4" w:rsidRDefault="008B0F6F" w:rsidP="007049D4">
      <w:pPr>
        <w:pStyle w:val="a0"/>
      </w:pPr>
      <w:hyperlink r:id="rId27" w:history="1">
        <w:r w:rsidRPr="008B0F6F">
          <w:rPr>
            <w:color w:val="0000FF"/>
            <w:u w:val="single"/>
            <w:rtl/>
          </w:rPr>
          <w:t>רע"פ 6265/20</w:t>
        </w:r>
      </w:hyperlink>
      <w:r w:rsidR="007049D4">
        <w:rPr>
          <w:rFonts w:hint="cs"/>
          <w:rtl/>
        </w:rPr>
        <w:t xml:space="preserve"> </w:t>
      </w:r>
      <w:r w:rsidR="007049D4">
        <w:rPr>
          <w:rFonts w:hint="cs"/>
          <w:b/>
          <w:bCs/>
          <w:rtl/>
        </w:rPr>
        <w:t>אבו אלקיעאן נ' מדינת ישראל</w:t>
      </w:r>
      <w:r w:rsidR="007049D4">
        <w:rPr>
          <w:rFonts w:hint="cs"/>
          <w:rtl/>
        </w:rPr>
        <w:t xml:space="preserve"> (נבו 15.09.2020)</w:t>
      </w:r>
    </w:p>
    <w:p w14:paraId="61A216E1" w14:textId="77777777" w:rsidR="007049D4" w:rsidRDefault="007049D4" w:rsidP="007049D4">
      <w:pPr>
        <w:pStyle w:val="-"/>
        <w:rPr>
          <w:rtl/>
        </w:rPr>
      </w:pPr>
      <w:r>
        <w:rPr>
          <w:rFonts w:hint="cs"/>
          <w:rtl/>
        </w:rPr>
        <w:t xml:space="preserve">הנאשם הורשע לאחר שמיעת ראיות בהחזקת נשק ותחמושת, בכך שהחזיק מתחת לכיסא הנהג ברכבו אקדח מסוג ברטה בצירוף מחסנית ובה כדורים. </w:t>
      </w:r>
      <w:r>
        <w:rPr>
          <w:rFonts w:hint="cs"/>
          <w:b/>
          <w:bCs/>
          <w:rtl/>
        </w:rPr>
        <w:t>המתחם שנקבע נע בין 15 ל-30 חודשי מאסר</w:t>
      </w:r>
      <w:r>
        <w:rPr>
          <w:rFonts w:hint="cs"/>
          <w:rtl/>
        </w:rPr>
        <w:t>. בהעדר עבר פלילי ושלל נסיבות מקלות, נדון הנאשם ל-15 חודשי מאסר. בית-המשפט המחוזי קיבל לידיו תסקיר נוסף ולפנים משורת הדין הקל את עונשו של הנאשם לכדי 12 חודשי מאסר. בקשת הרשות לערעור נדחתה.</w:t>
      </w:r>
    </w:p>
    <w:p w14:paraId="22549F17" w14:textId="77777777" w:rsidR="007049D4" w:rsidRDefault="008B0F6F" w:rsidP="007049D4">
      <w:pPr>
        <w:pStyle w:val="a0"/>
        <w:rPr>
          <w:rtl/>
        </w:rPr>
      </w:pPr>
      <w:hyperlink r:id="rId28" w:history="1">
        <w:r w:rsidRPr="008B0F6F">
          <w:rPr>
            <w:color w:val="0000FF"/>
            <w:u w:val="single"/>
            <w:rtl/>
          </w:rPr>
          <w:t>רע"פ 2919/22</w:t>
        </w:r>
      </w:hyperlink>
      <w:r w:rsidR="007049D4">
        <w:rPr>
          <w:rFonts w:hint="cs"/>
          <w:rtl/>
        </w:rPr>
        <w:t xml:space="preserve"> </w:t>
      </w:r>
      <w:r w:rsidR="007049D4">
        <w:rPr>
          <w:rFonts w:hint="cs"/>
          <w:b/>
          <w:bCs/>
          <w:rtl/>
        </w:rPr>
        <w:t>עלי שעבאן נ' מדינת ישראל</w:t>
      </w:r>
      <w:r w:rsidR="007049D4">
        <w:rPr>
          <w:rFonts w:hint="cs"/>
          <w:rtl/>
        </w:rPr>
        <w:t xml:space="preserve"> (נבו 01.08.2022)</w:t>
      </w:r>
    </w:p>
    <w:p w14:paraId="2367F7AB" w14:textId="77777777" w:rsidR="007049D4" w:rsidRDefault="007049D4" w:rsidP="007049D4">
      <w:pPr>
        <w:pStyle w:val="-"/>
        <w:rPr>
          <w:rtl/>
        </w:rPr>
      </w:pPr>
      <w:r>
        <w:rPr>
          <w:rFonts w:hint="cs"/>
          <w:rtl/>
        </w:rPr>
        <w:t xml:space="preserve">הנאשם הורשע לאחר שמיעת ראיות בעבירות החזקת נשק ותחמושת ושיבוש הליכי משפט, בכך שהבחין בכוח משטרה והשליך אקדח טעון מסוג "יריחו" עם מחסנית ו-16 כדורים. </w:t>
      </w:r>
      <w:r>
        <w:rPr>
          <w:rFonts w:hint="cs"/>
          <w:b/>
          <w:bCs/>
          <w:rtl/>
        </w:rPr>
        <w:t>המתחם שנקבע נע בין 12 ל-36 חודשי מאסר</w:t>
      </w:r>
      <w:r>
        <w:rPr>
          <w:rFonts w:hint="cs"/>
          <w:rtl/>
        </w:rPr>
        <w:t>. בשל עבר פלילי מכביד נדון הנאשם ל-20 חודשי מאסר. בית-המשפט המחוזי הקל את עונשו של הנאשם ל-15 חודשי מאסר בין היתר בשל כך שכניסת השוטרים לביתו של הנאשם בוצעה שלא כדין. בקשת הרשות לערעור נדחתה.</w:t>
      </w:r>
    </w:p>
    <w:p w14:paraId="66952B71" w14:textId="77777777" w:rsidR="007049D4" w:rsidRDefault="007049D4" w:rsidP="007049D4">
      <w:pPr>
        <w:pStyle w:val="-"/>
        <w:rPr>
          <w:rtl/>
        </w:rPr>
      </w:pPr>
    </w:p>
    <w:p w14:paraId="03B08378" w14:textId="77777777" w:rsidR="007049D4" w:rsidRDefault="007049D4" w:rsidP="007049D4">
      <w:pPr>
        <w:pStyle w:val="-"/>
        <w:rPr>
          <w:rtl/>
        </w:rPr>
      </w:pPr>
    </w:p>
    <w:p w14:paraId="25B037E9" w14:textId="77777777" w:rsidR="007049D4" w:rsidRDefault="008B0F6F" w:rsidP="007049D4">
      <w:pPr>
        <w:pStyle w:val="a0"/>
        <w:rPr>
          <w:rtl/>
        </w:rPr>
      </w:pPr>
      <w:hyperlink r:id="rId29" w:history="1">
        <w:r w:rsidRPr="008B0F6F">
          <w:rPr>
            <w:color w:val="0000FF"/>
            <w:u w:val="single"/>
            <w:rtl/>
          </w:rPr>
          <w:t>רע"פ 5613/20</w:t>
        </w:r>
      </w:hyperlink>
      <w:r w:rsidR="007049D4">
        <w:rPr>
          <w:rFonts w:hint="cs"/>
          <w:rtl/>
        </w:rPr>
        <w:t xml:space="preserve"> </w:t>
      </w:r>
      <w:r w:rsidR="007049D4">
        <w:rPr>
          <w:rFonts w:hint="cs"/>
          <w:b/>
          <w:bCs/>
          <w:rtl/>
        </w:rPr>
        <w:t>אלהוזייל נ' מדינת ישראל</w:t>
      </w:r>
      <w:r w:rsidR="007049D4">
        <w:rPr>
          <w:rFonts w:hint="cs"/>
          <w:rtl/>
        </w:rPr>
        <w:t xml:space="preserve"> (נבו 25.08.2020)</w:t>
      </w:r>
    </w:p>
    <w:p w14:paraId="745DAAA7" w14:textId="77777777" w:rsidR="007049D4" w:rsidRDefault="007049D4" w:rsidP="007049D4">
      <w:pPr>
        <w:pStyle w:val="-"/>
        <w:rPr>
          <w:rtl/>
        </w:rPr>
      </w:pPr>
      <w:r>
        <w:rPr>
          <w:rFonts w:hint="cs"/>
          <w:rtl/>
        </w:rPr>
        <w:t xml:space="preserve">הנאשם הורשע על פי הודאתו בעבירות החזקת נשק ותחמושת, בכך שהחזיק במקום מגוריו אקדח מסוג </w:t>
      </w:r>
      <w:r>
        <w:t>FN</w:t>
      </w:r>
      <w:r>
        <w:rPr>
          <w:rFonts w:hint="cs"/>
          <w:rtl/>
        </w:rPr>
        <w:t xml:space="preserve"> בקוטר 9 מ"מ ו-20 כדורים בקוטר זהה. </w:t>
      </w:r>
      <w:r>
        <w:rPr>
          <w:rFonts w:hint="cs"/>
          <w:b/>
          <w:bCs/>
          <w:rtl/>
        </w:rPr>
        <w:t>המתחם שנקבע נע בין 11 ל-30 חודשי מאסר</w:t>
      </w:r>
      <w:r>
        <w:rPr>
          <w:rFonts w:hint="cs"/>
          <w:rtl/>
        </w:rPr>
        <w:t>. בשל שלל נסיבות מקלות, נדון הנאשם ל-12 חודשי מאסר. הן הערעור והן בקשת הרשות לערעור נדחו.</w:t>
      </w:r>
    </w:p>
    <w:p w14:paraId="4868ADAC" w14:textId="77777777" w:rsidR="007049D4" w:rsidRDefault="008B0F6F" w:rsidP="007049D4">
      <w:pPr>
        <w:pStyle w:val="a0"/>
        <w:rPr>
          <w:rtl/>
        </w:rPr>
      </w:pPr>
      <w:hyperlink r:id="rId30" w:history="1">
        <w:r w:rsidRPr="008B0F6F">
          <w:rPr>
            <w:color w:val="0000FF"/>
            <w:u w:val="single"/>
            <w:rtl/>
          </w:rPr>
          <w:t>רע"פ 3278/23</w:t>
        </w:r>
      </w:hyperlink>
      <w:r w:rsidR="007049D4">
        <w:rPr>
          <w:rFonts w:hint="cs"/>
          <w:rtl/>
        </w:rPr>
        <w:t xml:space="preserve"> </w:t>
      </w:r>
      <w:r w:rsidR="007049D4">
        <w:rPr>
          <w:rFonts w:hint="cs"/>
          <w:b/>
          <w:bCs/>
          <w:rtl/>
        </w:rPr>
        <w:t>ולדיסלב מיכאלוב נ' מדינת ישראל</w:t>
      </w:r>
      <w:r w:rsidR="007049D4">
        <w:rPr>
          <w:rFonts w:hint="cs"/>
          <w:rtl/>
        </w:rPr>
        <w:t xml:space="preserve"> (נבו 02.05.2023)</w:t>
      </w:r>
    </w:p>
    <w:p w14:paraId="72DB73A0" w14:textId="77777777" w:rsidR="007049D4" w:rsidRDefault="007049D4" w:rsidP="007049D4">
      <w:pPr>
        <w:pStyle w:val="-"/>
        <w:rPr>
          <w:rtl/>
        </w:rPr>
      </w:pPr>
      <w:r>
        <w:rPr>
          <w:rFonts w:hint="cs"/>
          <w:rtl/>
        </w:rPr>
        <w:t xml:space="preserve">הנאשם הורשע על פי הודאתו בעבירות החזקת נשק ובהחזקת סמים של"ע, בכך שהחזיק במחסן אקדח 9 מ"מ עם כדור טעון, 2 כדורים נוספים במחסנית ו-2 כדורים נוספים. ובנוסף נתפסו למעלה מ-50 גרם קנביס. </w:t>
      </w:r>
      <w:r>
        <w:rPr>
          <w:rFonts w:hint="cs"/>
          <w:b/>
          <w:bCs/>
          <w:rtl/>
        </w:rPr>
        <w:t>המתחם הנפרד להחזקת הנשק נע בין 10 ל-30 חודשי מאסר</w:t>
      </w:r>
      <w:r>
        <w:rPr>
          <w:rFonts w:hint="cs"/>
          <w:rtl/>
        </w:rPr>
        <w:t xml:space="preserve"> והמתחם לעבירת הסמים נע בין מאסר מותנה ל-9 חודשי מאסר. הערכאה הדיונית, חרגה ממתחם העונש משיקולי שיקום וגזרה על הנאשם 9 חודשי עבודות שירות. ערעור המדינה התקבל והנאשם נדון ל-10 חודשי מאסר בשל אי מיצוי הדין. בקשת רשות הערעור נדחתה.</w:t>
      </w:r>
    </w:p>
    <w:p w14:paraId="67EFC0A7" w14:textId="77777777" w:rsidR="007049D4" w:rsidRDefault="008B0F6F" w:rsidP="007049D4">
      <w:pPr>
        <w:pStyle w:val="a0"/>
        <w:rPr>
          <w:rtl/>
        </w:rPr>
      </w:pPr>
      <w:hyperlink r:id="rId31" w:history="1">
        <w:r w:rsidRPr="008B0F6F">
          <w:rPr>
            <w:color w:val="0000FF"/>
            <w:u w:val="single"/>
            <w:rtl/>
          </w:rPr>
          <w:t>עפ"ג (מחוזי ב"ש) 50590-12-22</w:t>
        </w:r>
      </w:hyperlink>
      <w:r w:rsidR="007049D4">
        <w:rPr>
          <w:rFonts w:hint="cs"/>
          <w:rtl/>
        </w:rPr>
        <w:t xml:space="preserve"> </w:t>
      </w:r>
      <w:r w:rsidR="007049D4">
        <w:rPr>
          <w:rFonts w:hint="cs"/>
          <w:b/>
          <w:bCs/>
          <w:rtl/>
        </w:rPr>
        <w:t>באדר אלסייד נ' מדינת ישראל</w:t>
      </w:r>
      <w:r w:rsidR="007049D4">
        <w:rPr>
          <w:rFonts w:hint="cs"/>
          <w:rtl/>
        </w:rPr>
        <w:t xml:space="preserve"> (נבו 20.03.2023)</w:t>
      </w:r>
    </w:p>
    <w:p w14:paraId="73BEA680" w14:textId="77777777" w:rsidR="007049D4" w:rsidRDefault="007049D4" w:rsidP="007049D4">
      <w:pPr>
        <w:pStyle w:val="-"/>
        <w:rPr>
          <w:rtl/>
        </w:rPr>
      </w:pPr>
      <w:r>
        <w:rPr>
          <w:rFonts w:hint="cs"/>
          <w:rtl/>
        </w:rPr>
        <w:t xml:space="preserve">הנאשם הורשע על פי הודאתו בהחזקת נשק, בכך שהחזיק במחסן הסמוך לביתו אקדח </w:t>
      </w:r>
      <w:r>
        <w:t>TAURUS</w:t>
      </w:r>
      <w:r>
        <w:rPr>
          <w:rFonts w:hint="cs"/>
          <w:rtl/>
        </w:rPr>
        <w:t xml:space="preserve"> בקוטר 9 מ"מ ומחסנית. </w:t>
      </w:r>
      <w:r>
        <w:rPr>
          <w:rFonts w:hint="cs"/>
          <w:b/>
          <w:bCs/>
          <w:rtl/>
        </w:rPr>
        <w:t>המתחם שנקבע נע בין 13 ל-36 חודשי מאסר</w:t>
      </w:r>
      <w:r>
        <w:rPr>
          <w:rFonts w:hint="cs"/>
          <w:rtl/>
        </w:rPr>
        <w:t>. בשל נסיבות מקלות, נדון הנאשם ל-14 חודשי מאסר. בדחיית ערעורו של הנאשם, ציין בית-המשפט המחוזי כי מתחם העונש שנקבע מתאים לנסיבות וכי הענישה הסופית מקלה עם המערער.</w:t>
      </w:r>
    </w:p>
    <w:p w14:paraId="7406628D" w14:textId="77777777" w:rsidR="007049D4" w:rsidRDefault="008B0F6F" w:rsidP="007049D4">
      <w:pPr>
        <w:pStyle w:val="a0"/>
        <w:rPr>
          <w:rtl/>
        </w:rPr>
      </w:pPr>
      <w:hyperlink r:id="rId32" w:history="1">
        <w:r w:rsidRPr="008B0F6F">
          <w:rPr>
            <w:color w:val="0000FF"/>
            <w:u w:val="single"/>
            <w:rtl/>
          </w:rPr>
          <w:t>עפ"ג (מחוזי ב"ש) 25700-08-22</w:t>
        </w:r>
      </w:hyperlink>
      <w:r w:rsidR="007049D4">
        <w:rPr>
          <w:rFonts w:hint="cs"/>
          <w:rtl/>
        </w:rPr>
        <w:t xml:space="preserve"> </w:t>
      </w:r>
      <w:r w:rsidR="007049D4">
        <w:rPr>
          <w:rFonts w:hint="cs"/>
          <w:b/>
          <w:bCs/>
          <w:rtl/>
        </w:rPr>
        <w:t>זהר אלבחירי נ' מדינת ישראל</w:t>
      </w:r>
      <w:r w:rsidR="007049D4">
        <w:rPr>
          <w:rFonts w:hint="cs"/>
          <w:rtl/>
        </w:rPr>
        <w:t xml:space="preserve"> (נבו 07.12.2022)</w:t>
      </w:r>
    </w:p>
    <w:p w14:paraId="33FFA459" w14:textId="77777777" w:rsidR="007049D4" w:rsidRDefault="007049D4" w:rsidP="007049D4">
      <w:pPr>
        <w:pStyle w:val="-"/>
        <w:rPr>
          <w:rtl/>
        </w:rPr>
      </w:pPr>
      <w:r>
        <w:rPr>
          <w:rFonts w:hint="cs"/>
          <w:rtl/>
        </w:rPr>
        <w:t xml:space="preserve">הנאשם הורשע על פי הודאתו בהחזקת נשק ותחמושת, בכך שהחזיק בקופסת מתכת מעל ארונות המטבח באקדח </w:t>
      </w:r>
      <w:r>
        <w:t>FN</w:t>
      </w:r>
      <w:r>
        <w:rPr>
          <w:rFonts w:hint="cs"/>
          <w:rtl/>
        </w:rPr>
        <w:t xml:space="preserve"> עם שתי מחסניות ו-213 כדורי 9 מ"מ. המתחם שנקבע נע בין 12 ל-36 חודשי מאסר. </w:t>
      </w:r>
      <w:r>
        <w:rPr>
          <w:rFonts w:hint="cs"/>
          <w:b/>
          <w:bCs/>
          <w:rtl/>
        </w:rPr>
        <w:t>בשל שיקולי הרתעה וחרף היעדר עבר פלילי, נדון הנאשם ל-18 חודשי מאסר</w:t>
      </w:r>
      <w:r>
        <w:rPr>
          <w:rFonts w:hint="cs"/>
          <w:rtl/>
        </w:rPr>
        <w:t>. בדחותו את הערעור העיר בית-המשפט המחוזי:</w:t>
      </w:r>
    </w:p>
    <w:p w14:paraId="7150BE2D" w14:textId="77777777" w:rsidR="007049D4" w:rsidRDefault="007049D4" w:rsidP="007049D4">
      <w:pPr>
        <w:pStyle w:val="ad"/>
        <w:rPr>
          <w:rtl/>
        </w:rPr>
      </w:pPr>
      <w:r>
        <w:rPr>
          <w:rFonts w:hint="cs"/>
          <w:rtl/>
        </w:rPr>
        <w:t>"בהערה נוסיף ונציין, כי יש ממש בטענת ב"כ המשיבה ולפיה, אם בכלל נפלה שגגה בעת קביעת המתחם, היה זה עת נקבע כי תחתית המתחם תחל ב-12 חודשי מאסר, ולא למעלה מכך."</w:t>
      </w:r>
    </w:p>
    <w:p w14:paraId="419CA801" w14:textId="77777777" w:rsidR="007049D4" w:rsidRDefault="007049D4" w:rsidP="007049D4">
      <w:pPr>
        <w:pStyle w:val="a"/>
        <w:tabs>
          <w:tab w:val="clear" w:pos="360"/>
          <w:tab w:val="clear" w:pos="1440"/>
          <w:tab w:val="num" w:pos="2911"/>
        </w:tabs>
        <w:rPr>
          <w:rtl/>
        </w:rPr>
      </w:pPr>
      <w:r>
        <w:rPr>
          <w:rFonts w:hint="cs"/>
          <w:rtl/>
        </w:rPr>
        <w:t>יש לזכור כי מדיניות הענישה הנהוגה הינה אך חלק ממכלול השיקולים הנשקלים בבואו של בית-המשפט לקבוע את מתחם העונש ההולם, זאת לצד מידת הפגיעה בערכים החברתיים המוגנים ונסיבות הקשורות בביצוע העבירה.</w:t>
      </w:r>
    </w:p>
    <w:p w14:paraId="31E5F852" w14:textId="77777777" w:rsidR="007049D4" w:rsidRDefault="007049D4" w:rsidP="007049D4">
      <w:pPr>
        <w:pStyle w:val="a"/>
        <w:tabs>
          <w:tab w:val="clear" w:pos="360"/>
          <w:tab w:val="clear" w:pos="1440"/>
          <w:tab w:val="num" w:pos="2911"/>
        </w:tabs>
        <w:rPr>
          <w:rtl/>
        </w:rPr>
      </w:pPr>
      <w:r>
        <w:rPr>
          <w:rFonts w:hint="cs"/>
          <w:rtl/>
        </w:rPr>
        <w:t>בבחינת נסיבות הקשורות בביצוע העבירה (</w:t>
      </w:r>
      <w:hyperlink r:id="rId33" w:history="1">
        <w:r w:rsidR="002B614D" w:rsidRPr="002B614D">
          <w:rPr>
            <w:rStyle w:val="Hyperlink"/>
            <w:rFonts w:hint="eastAsia"/>
            <w:color w:val="0000FF"/>
            <w:rtl/>
          </w:rPr>
          <w:t>סעיף</w:t>
        </w:r>
        <w:r w:rsidR="002B614D" w:rsidRPr="002B614D">
          <w:rPr>
            <w:rStyle w:val="Hyperlink"/>
            <w:color w:val="0000FF"/>
            <w:rtl/>
          </w:rPr>
          <w:t xml:space="preserve"> 40ט</w:t>
        </w:r>
      </w:hyperlink>
      <w:r>
        <w:rPr>
          <w:rFonts w:hint="cs"/>
          <w:rtl/>
        </w:rPr>
        <w:t xml:space="preserve"> ל</w:t>
      </w:r>
      <w:hyperlink r:id="rId34" w:history="1">
        <w:r w:rsidR="008B0F6F" w:rsidRPr="008B0F6F">
          <w:rPr>
            <w:color w:val="0000FF"/>
            <w:u w:val="single"/>
            <w:rtl/>
          </w:rPr>
          <w:t>חוק העונשין</w:t>
        </w:r>
      </w:hyperlink>
      <w:r>
        <w:rPr>
          <w:rFonts w:hint="cs"/>
          <w:rtl/>
        </w:rPr>
        <w:t>) נשקלו הבאים:</w:t>
      </w:r>
    </w:p>
    <w:p w14:paraId="5E741FFA" w14:textId="77777777" w:rsidR="007049D4" w:rsidRDefault="007049D4" w:rsidP="007049D4">
      <w:pPr>
        <w:pStyle w:val="ab"/>
        <w:rPr>
          <w:u w:val="single"/>
          <w:rtl/>
        </w:rPr>
      </w:pPr>
      <w:r>
        <w:rPr>
          <w:rFonts w:hint="cs"/>
          <w:u w:val="single"/>
          <w:rtl/>
        </w:rPr>
        <w:t>תכנון  שקדם לביצוע העבירה:</w:t>
      </w:r>
    </w:p>
    <w:p w14:paraId="27FBB0E2" w14:textId="77777777" w:rsidR="007049D4" w:rsidRDefault="007049D4" w:rsidP="007049D4">
      <w:pPr>
        <w:pStyle w:val="ab"/>
        <w:rPr>
          <w:rtl/>
        </w:rPr>
      </w:pPr>
      <w:r>
        <w:rPr>
          <w:rFonts w:hint="cs"/>
          <w:rtl/>
        </w:rPr>
        <w:t>החזקת אקדח ומחסניות עם תחמושת מצריכה פעולה מקדימה ומחושבת, בין אם על ידי רכישתם בדרכים עקלקלות ובין אם בקבלתם באופן אחר, וכן השקעת תשומות ומחשבה גם ביחס למקום החזקתם. הנאשם החזיק את הנשק והמחסניות במשך מספר חודשים.</w:t>
      </w:r>
    </w:p>
    <w:p w14:paraId="7DBD99A0" w14:textId="77777777" w:rsidR="007049D4" w:rsidRDefault="007049D4" w:rsidP="007049D4">
      <w:pPr>
        <w:pStyle w:val="ab"/>
        <w:rPr>
          <w:rtl/>
        </w:rPr>
      </w:pPr>
      <w:r>
        <w:rPr>
          <w:rFonts w:hint="cs"/>
          <w:u w:val="single"/>
          <w:rtl/>
        </w:rPr>
        <w:t>נזק שנגרם מביצוע העבירה והנזק הפוטנציאלי שלצידה</w:t>
      </w:r>
      <w:r>
        <w:rPr>
          <w:rFonts w:hint="cs"/>
          <w:rtl/>
        </w:rPr>
        <w:t xml:space="preserve">: </w:t>
      </w:r>
    </w:p>
    <w:p w14:paraId="6DBB92EC" w14:textId="77777777" w:rsidR="007049D4" w:rsidRDefault="007049D4" w:rsidP="007049D4">
      <w:pPr>
        <w:pStyle w:val="ab"/>
        <w:rPr>
          <w:rtl/>
        </w:rPr>
      </w:pPr>
      <w:r>
        <w:rPr>
          <w:rFonts w:hint="cs"/>
          <w:rtl/>
        </w:rPr>
        <w:t>בענייננו, לא נגרם כל נזק (ידוע) מהחזקת הנשק בפועל. אולם אין כל ספק שפוטנציאל הנזק הוא עצום, החל מביצוע עבירות פליליות באמצעות האקדח, וכלה באובדן חיי אדם. ודוק, הנאשם החזיק באקדח טעון במחסנית תואמת, ובמחסנית נוספת עם כדורים "בהיכון".</w:t>
      </w:r>
    </w:p>
    <w:p w14:paraId="5000550E" w14:textId="77777777" w:rsidR="007049D4" w:rsidRDefault="007049D4" w:rsidP="007049D4">
      <w:pPr>
        <w:pStyle w:val="ab"/>
        <w:rPr>
          <w:rtl/>
        </w:rPr>
      </w:pPr>
      <w:r>
        <w:rPr>
          <w:rFonts w:hint="cs"/>
          <w:rtl/>
        </w:rPr>
        <w:t xml:space="preserve">ר' לענין פוטנציאל הנזק הדברים במסגרת </w:t>
      </w:r>
      <w:hyperlink r:id="rId35" w:history="1">
        <w:r w:rsidR="008B0F6F" w:rsidRPr="008B0F6F">
          <w:rPr>
            <w:color w:val="0000FF"/>
            <w:u w:val="single"/>
            <w:rtl/>
          </w:rPr>
          <w:t>ע"פ 4406/19</w:t>
        </w:r>
      </w:hyperlink>
      <w:r>
        <w:rPr>
          <w:rFonts w:hint="cs"/>
          <w:rtl/>
        </w:rPr>
        <w:t xml:space="preserve"> </w:t>
      </w:r>
      <w:r>
        <w:rPr>
          <w:rFonts w:hint="cs"/>
          <w:b/>
          <w:bCs/>
          <w:rtl/>
        </w:rPr>
        <w:t>מדינת ישראל נ' יונס סובח</w:t>
      </w:r>
      <w:r>
        <w:rPr>
          <w:rFonts w:hint="cs"/>
          <w:rtl/>
        </w:rPr>
        <w:t xml:space="preserve"> (נבו 05.11.2019) </w:t>
      </w:r>
    </w:p>
    <w:p w14:paraId="37CBD486" w14:textId="77777777" w:rsidR="007049D4" w:rsidRDefault="007049D4" w:rsidP="007049D4">
      <w:pPr>
        <w:pStyle w:val="ad"/>
        <w:rPr>
          <w:rtl/>
        </w:rPr>
      </w:pPr>
      <w:r>
        <w:rPr>
          <w:rFonts w:hint="cs"/>
          <w:rtl/>
        </w:rPr>
        <w:t>"התופעה של החזקת נשק שלא כדין על ידי אזרחים מהווה איום על שלום הציבור ועל הסדר הציבורי. היא התשתית ו"הגורם בלעדו איין" (</w:t>
      </w:r>
      <w:r>
        <w:t>causa sine qua non</w:t>
      </w:r>
      <w:r>
        <w:rPr>
          <w:rFonts w:hint="cs"/>
          <w:rtl/>
        </w:rPr>
        <w:t>)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ולחרפת תוצאותיהן."</w:t>
      </w:r>
    </w:p>
    <w:p w14:paraId="21A4FBBD" w14:textId="77777777" w:rsidR="007049D4" w:rsidRDefault="007049D4" w:rsidP="007049D4">
      <w:pPr>
        <w:pStyle w:val="ab"/>
        <w:rPr>
          <w:rtl/>
        </w:rPr>
      </w:pPr>
      <w:r>
        <w:rPr>
          <w:rFonts w:hint="cs"/>
          <w:u w:val="single"/>
          <w:rtl/>
        </w:rPr>
        <w:t>הסיבות שהביאו את הנאשם לבצע את העבירה</w:t>
      </w:r>
      <w:r>
        <w:rPr>
          <w:rFonts w:hint="cs"/>
          <w:rtl/>
        </w:rPr>
        <w:t>: הנאשם טען בדבריו האחרונים כי מטרת החזקת האקדח היא לצורכי הגנה עצמית. לא ניתן לקבל טענה זו, ובכך לעודד את החשים מאוימים להחזיק בנשק ותחמושת באופן בלתי חוקי. יתרה מזאת, קבלת הטענה, "מזמינה" שימוש בנשק המוחזק לצורכי הגנה עצמית במועד בו ימצא מחזיק הנשק שלא כדין לעשות בו שימוש בהמשך הדרך ולפגוע בכך בערכים מוגנים נוספים.</w:t>
      </w:r>
    </w:p>
    <w:p w14:paraId="515A3A15" w14:textId="77777777" w:rsidR="007049D4" w:rsidRDefault="007049D4" w:rsidP="007049D4">
      <w:pPr>
        <w:pStyle w:val="ab"/>
        <w:ind w:left="644" w:firstLine="0"/>
        <w:rPr>
          <w:rtl/>
        </w:rPr>
      </w:pPr>
      <w:bookmarkStart w:id="8" w:name="_Hlk168496521"/>
      <w:r>
        <w:rPr>
          <w:rFonts w:hint="cs"/>
          <w:rtl/>
        </w:rPr>
        <w:t xml:space="preserve">בענין זה ר' הדברים הבאים מתוך </w:t>
      </w:r>
      <w:hyperlink r:id="rId36" w:history="1">
        <w:r w:rsidR="008B0F6F" w:rsidRPr="008B0F6F">
          <w:rPr>
            <w:color w:val="0000FF"/>
            <w:u w:val="single"/>
            <w:rtl/>
          </w:rPr>
          <w:t>ע"פ 5681/23</w:t>
        </w:r>
      </w:hyperlink>
      <w:r>
        <w:rPr>
          <w:rFonts w:hint="cs"/>
          <w:rtl/>
        </w:rPr>
        <w:t xml:space="preserve"> </w:t>
      </w:r>
      <w:r>
        <w:rPr>
          <w:rFonts w:hint="cs"/>
          <w:b/>
          <w:bCs/>
          <w:rtl/>
        </w:rPr>
        <w:t>נח חווא נ' מדינת ישראל</w:t>
      </w:r>
      <w:r>
        <w:rPr>
          <w:rFonts w:hint="cs"/>
          <w:rtl/>
        </w:rPr>
        <w:t xml:space="preserve"> (נבו 20.12.2023):</w:t>
      </w:r>
    </w:p>
    <w:bookmarkEnd w:id="8"/>
    <w:p w14:paraId="0D7308DB" w14:textId="77777777" w:rsidR="007049D4" w:rsidRDefault="007049D4" w:rsidP="007049D4">
      <w:pPr>
        <w:pStyle w:val="ad"/>
        <w:rPr>
          <w:rtl/>
        </w:rPr>
      </w:pPr>
      <w:r>
        <w:rPr>
          <w:rFonts w:hint="cs"/>
          <w:rtl/>
        </w:rPr>
        <w:t xml:space="preserve">"הווה אומר: אין לקבל את טענת המערער, המבקש להפחית מחומרתן של עבירות של החזקה ונשיאת נשק באצטלה של </w:t>
      </w:r>
      <w:r>
        <w:rPr>
          <w:rFonts w:hint="cs"/>
          <w:b/>
          <w:bCs/>
          <w:rtl/>
        </w:rPr>
        <w:t>הגנה עצמית</w:t>
      </w:r>
      <w:r>
        <w:rPr>
          <w:rFonts w:hint="cs"/>
          <w:rtl/>
        </w:rPr>
        <w:t>. עלינו להעביר מסר חד וברור - כל מי שנושא ומחזיק נשק בלתי חוקי ואף אם מדובר בצורך להגנה אישית, עליו להיות מודע לכך שהוא עובר על החוק וצפוי לענישה קשה בדמות עונש מאסר משמעותי בפועל. במילים אחרות, הענישה המחמירה והבלתי מתפשרת צריכה לחול ללא קשר על כל עבירה בנשק לנוכח חשש מפגיעה ממשית בערכים החברתיים, ואיומים משמעותיים על שלום הציבור וביטחונו."</w:t>
      </w:r>
    </w:p>
    <w:p w14:paraId="11276924" w14:textId="77777777" w:rsidR="007049D4" w:rsidRDefault="007049D4" w:rsidP="007049D4">
      <w:pPr>
        <w:pStyle w:val="ab"/>
        <w:rPr>
          <w:rtl/>
        </w:rPr>
      </w:pPr>
      <w:r>
        <w:rPr>
          <w:rFonts w:hint="cs"/>
          <w:u w:val="single"/>
          <w:rtl/>
        </w:rPr>
        <w:t>מיקום החזקת הנשק</w:t>
      </w:r>
      <w:r>
        <w:rPr>
          <w:rFonts w:hint="cs"/>
          <w:rtl/>
        </w:rPr>
        <w:t xml:space="preserve">: אינני מוצא לקבל את טענת ב"כ הנאשם ולפיה יש בהחזקת נשק ותחמושת בשטחי איו"ש שיקול לקולא. בראש ובראשונה כרוכים הדברים בפוטנציאל זליגת הנשק והתחמושת לידי גורמים חבלניים או פליליים העלולה להביא לביצוע עבירות פליליות או לאומניות ולאובדן חיי אדם, בין אם בשטחי ישראל ובין אם בשטחי איו"ש (שגם שם מתגוררים אזרחי מדינת ישראל). ולצד זאת, קיים פוטנציאל נזק ממשי לבני ביתו של הנאשם ולמבקרים בו נוכח החזקת האקדח והמחסניות במגירת שולחן האוכל ללא השגחה, דווקא במצב הנתון בו הנאשם אינו מתגורר במקום באופן קבוע אלא חולק את זמנו בין בית אשתו וילדיו ביאטה ובין ביתו ברמלה. </w:t>
      </w:r>
    </w:p>
    <w:p w14:paraId="2FF94AAB" w14:textId="77777777" w:rsidR="007049D4" w:rsidRDefault="007049D4" w:rsidP="007049D4">
      <w:pPr>
        <w:pStyle w:val="a"/>
        <w:tabs>
          <w:tab w:val="clear" w:pos="360"/>
          <w:tab w:val="clear" w:pos="1440"/>
          <w:tab w:val="num" w:pos="2911"/>
        </w:tabs>
        <w:rPr>
          <w:b/>
          <w:bCs/>
          <w:rtl/>
        </w:rPr>
      </w:pPr>
      <w:r>
        <w:rPr>
          <w:rFonts w:hint="cs"/>
          <w:b/>
          <w:bCs/>
          <w:rtl/>
        </w:rPr>
        <w:t>בשל האמור, מצאתי לקבוע את מתחם העונש ההולם כך שינוע בין 16 ל-32 חודשי מאסר.</w:t>
      </w:r>
    </w:p>
    <w:p w14:paraId="09B24BA1" w14:textId="77777777" w:rsidR="007049D4" w:rsidRDefault="007049D4" w:rsidP="007049D4">
      <w:pPr>
        <w:pStyle w:val="11"/>
        <w:jc w:val="both"/>
        <w:rPr>
          <w:rtl/>
        </w:rPr>
      </w:pPr>
      <w:r>
        <w:rPr>
          <w:rtl/>
        </w:rPr>
        <w:t>שיקולי הענישה בתוך מתחם העונש</w:t>
      </w:r>
    </w:p>
    <w:p w14:paraId="180C1A3C" w14:textId="77777777" w:rsidR="007049D4" w:rsidRDefault="007049D4" w:rsidP="007049D4">
      <w:pPr>
        <w:pStyle w:val="a"/>
        <w:tabs>
          <w:tab w:val="clear" w:pos="360"/>
          <w:tab w:val="clear" w:pos="1440"/>
          <w:tab w:val="num" w:pos="2911"/>
        </w:tabs>
        <w:rPr>
          <w:rtl/>
        </w:rPr>
      </w:pPr>
      <w:r>
        <w:rPr>
          <w:rFonts w:hint="cs"/>
          <w:rtl/>
        </w:rPr>
        <w:t>בגזירת העונש המתאים לנאשם בתוך מתחם העונש, נשקלו הנסיבות הבאות שאינן קשורות בביצוע העבירה (</w:t>
      </w:r>
      <w:hyperlink r:id="rId37" w:history="1">
        <w:r w:rsidR="002B614D" w:rsidRPr="002B614D">
          <w:rPr>
            <w:rStyle w:val="Hyperlink"/>
            <w:rFonts w:hint="eastAsia"/>
            <w:color w:val="0000FF"/>
            <w:rtl/>
          </w:rPr>
          <w:t>סעיף</w:t>
        </w:r>
        <w:r w:rsidR="002B614D" w:rsidRPr="002B614D">
          <w:rPr>
            <w:rStyle w:val="Hyperlink"/>
            <w:color w:val="0000FF"/>
            <w:rtl/>
          </w:rPr>
          <w:t xml:space="preserve"> 40יא</w:t>
        </w:r>
      </w:hyperlink>
      <w:r>
        <w:rPr>
          <w:rFonts w:hint="cs"/>
          <w:rtl/>
        </w:rPr>
        <w:t xml:space="preserve"> ל</w:t>
      </w:r>
      <w:hyperlink r:id="rId38" w:history="1">
        <w:r w:rsidR="008B0F6F" w:rsidRPr="008B0F6F">
          <w:rPr>
            <w:color w:val="0000FF"/>
            <w:u w:val="single"/>
            <w:rtl/>
          </w:rPr>
          <w:t>חוק העונשין</w:t>
        </w:r>
      </w:hyperlink>
      <w:r>
        <w:rPr>
          <w:rFonts w:hint="cs"/>
          <w:rtl/>
        </w:rPr>
        <w:t>):</w:t>
      </w:r>
    </w:p>
    <w:p w14:paraId="235732DC" w14:textId="77777777" w:rsidR="007049D4" w:rsidRDefault="007049D4" w:rsidP="007049D4">
      <w:pPr>
        <w:pStyle w:val="a"/>
        <w:numPr>
          <w:ilvl w:val="0"/>
          <w:numId w:val="0"/>
        </w:numPr>
        <w:tabs>
          <w:tab w:val="left" w:pos="720"/>
        </w:tabs>
        <w:ind w:left="709"/>
        <w:rPr>
          <w:rtl/>
        </w:rPr>
      </w:pPr>
      <w:r>
        <w:rPr>
          <w:rFonts w:hint="cs"/>
          <w:u w:val="single"/>
          <w:rtl/>
        </w:rPr>
        <w:t>עבר פלילי</w:t>
      </w:r>
      <w:r>
        <w:rPr>
          <w:rFonts w:hint="cs"/>
          <w:rtl/>
        </w:rPr>
        <w:t>: הנאשם נעדר עבר פלילי.</w:t>
      </w:r>
    </w:p>
    <w:p w14:paraId="6346EB33" w14:textId="77777777" w:rsidR="007049D4" w:rsidRDefault="007049D4" w:rsidP="007049D4">
      <w:pPr>
        <w:pStyle w:val="a"/>
        <w:numPr>
          <w:ilvl w:val="0"/>
          <w:numId w:val="0"/>
        </w:numPr>
        <w:tabs>
          <w:tab w:val="left" w:pos="720"/>
        </w:tabs>
        <w:ind w:left="709"/>
        <w:rPr>
          <w:rtl/>
        </w:rPr>
      </w:pPr>
      <w:r>
        <w:rPr>
          <w:rFonts w:hint="cs"/>
          <w:u w:val="single"/>
          <w:rtl/>
        </w:rPr>
        <w:t>נטילת אחריות ושיתוף פעולה</w:t>
      </w:r>
      <w:r>
        <w:rPr>
          <w:rFonts w:hint="cs"/>
          <w:rtl/>
        </w:rPr>
        <w:t xml:space="preserve">: הודאת הנאשם מגלמת (בדרך כלל) קבלת אחריות על ביצוע המעשים, יש בה משום הקלה למתלוננים אשר נחסך מהם מעמד העדות בבית-המשפט, ונלווה לה חסכון משמעותי מזמנם של עדי התביעה ובהם שוטרים, ובזמן שיפוטי יקר. בענייננו, הנאשם הודה במיוחס לו, אם כי במסגרת דבריו האחרונים בבית המשפט התקבל הרושם כי הוא לא הפנים באופן מלא את הפסול שבמעשה. </w:t>
      </w:r>
    </w:p>
    <w:p w14:paraId="32B9F618" w14:textId="77777777" w:rsidR="007049D4" w:rsidRDefault="007049D4" w:rsidP="007049D4">
      <w:pPr>
        <w:pStyle w:val="ab"/>
        <w:rPr>
          <w:rtl/>
        </w:rPr>
      </w:pPr>
      <w:r>
        <w:rPr>
          <w:rFonts w:hint="cs"/>
          <w:u w:val="single"/>
          <w:rtl/>
        </w:rPr>
        <w:t>הרתעת הרבים והרתעת היחיד</w:t>
      </w:r>
      <w:r>
        <w:rPr>
          <w:rFonts w:hint="cs"/>
          <w:rtl/>
        </w:rPr>
        <w:t>: בית-המשפט העליון עמד לא אחת על הצורך בהחמרת ענישה בעבירות הנשק תוך מתן שיקול מרכזי של הרתעת הרבים.</w:t>
      </w:r>
    </w:p>
    <w:p w14:paraId="2322C625" w14:textId="77777777" w:rsidR="007049D4" w:rsidRDefault="007049D4" w:rsidP="007049D4">
      <w:pPr>
        <w:pStyle w:val="ab"/>
        <w:rPr>
          <w:rtl/>
        </w:rPr>
      </w:pPr>
      <w:r>
        <w:rPr>
          <w:rFonts w:hint="cs"/>
          <w:rtl/>
        </w:rPr>
        <w:t xml:space="preserve">ר' למשל </w:t>
      </w:r>
      <w:hyperlink r:id="rId39" w:history="1">
        <w:r w:rsidR="008B0F6F" w:rsidRPr="008B0F6F">
          <w:rPr>
            <w:color w:val="0000FF"/>
            <w:u w:val="single"/>
            <w:rtl/>
          </w:rPr>
          <w:t>ע"פ 6383/21</w:t>
        </w:r>
      </w:hyperlink>
      <w:r>
        <w:rPr>
          <w:rFonts w:hint="cs"/>
          <w:rtl/>
        </w:rPr>
        <w:t xml:space="preserve"> </w:t>
      </w:r>
      <w:r>
        <w:rPr>
          <w:rFonts w:hint="cs"/>
          <w:b/>
          <w:bCs/>
          <w:rtl/>
        </w:rPr>
        <w:t>עידן קריף נ' מדינת ישראל</w:t>
      </w:r>
      <w:r>
        <w:rPr>
          <w:rFonts w:hint="cs"/>
          <w:rtl/>
        </w:rPr>
        <w:t xml:space="preserve"> (נבו 13.02.2022):</w:t>
      </w:r>
    </w:p>
    <w:p w14:paraId="0818419A" w14:textId="77777777" w:rsidR="007049D4" w:rsidRDefault="007049D4" w:rsidP="007049D4">
      <w:pPr>
        <w:pStyle w:val="ad"/>
        <w:rPr>
          <w:rtl/>
        </w:rPr>
      </w:pPr>
      <w:r>
        <w:rPr>
          <w:rFonts w:hint="cs"/>
          <w:rtl/>
        </w:rPr>
        <w:t>"אקדח שיורה "במערכה השלישית" גורם כמובן לנזק רב, אך גם אקדח שמונח על השולחן "במערכה הראשונה" – אף אם לא נעשה בו כל שימוש אחר בהמשך – עלול לפגוע בשלום הציבור באופן ממשי. יש לקשור אפוא מלחמת חורמה על עבירות הנשק למיניהן, וגם על בית המשפט לתרום את חלקו למלחמה זו באמצעות ענישה הולמת ומרתיעה. לא פעם נקבע כי יש להחמיר בענישה בגין עבירות נשק, ולהעניק משקל מרכזי לשיקול של הרתעת הכלל"</w:t>
      </w:r>
    </w:p>
    <w:p w14:paraId="2599615A" w14:textId="77777777" w:rsidR="007049D4" w:rsidRDefault="007049D4" w:rsidP="007049D4">
      <w:pPr>
        <w:pStyle w:val="ab"/>
        <w:rPr>
          <w:rtl/>
        </w:rPr>
      </w:pPr>
    </w:p>
    <w:p w14:paraId="08387A36" w14:textId="77777777" w:rsidR="007049D4" w:rsidRDefault="007049D4" w:rsidP="007049D4">
      <w:pPr>
        <w:pStyle w:val="ab"/>
        <w:rPr>
          <w:rtl/>
        </w:rPr>
      </w:pPr>
      <w:r>
        <w:rPr>
          <w:rFonts w:hint="cs"/>
          <w:rtl/>
        </w:rPr>
        <w:t>ור' דברי ביהמ"ש גם ב</w:t>
      </w:r>
      <w:hyperlink r:id="rId40" w:history="1">
        <w:r w:rsidR="008B0F6F" w:rsidRPr="008B0F6F">
          <w:rPr>
            <w:color w:val="0000FF"/>
            <w:u w:val="single"/>
            <w:rtl/>
          </w:rPr>
          <w:t>ע"פ 9228/23</w:t>
        </w:r>
      </w:hyperlink>
      <w:r>
        <w:rPr>
          <w:rFonts w:hint="cs"/>
          <w:rtl/>
        </w:rPr>
        <w:t xml:space="preserve"> מדינת ישראל נ' אגבאריה מיום </w:t>
      </w:r>
      <w:r>
        <w:rPr>
          <w:rFonts w:hint="cs"/>
          <w:u w:val="single"/>
          <w:rtl/>
        </w:rPr>
        <w:t>26.5.24</w:t>
      </w:r>
      <w:r>
        <w:rPr>
          <w:rFonts w:hint="cs"/>
          <w:rtl/>
        </w:rPr>
        <w:t>:</w:t>
      </w:r>
    </w:p>
    <w:p w14:paraId="79B52C26" w14:textId="77777777" w:rsidR="007049D4" w:rsidRDefault="007049D4" w:rsidP="007049D4">
      <w:pPr>
        <w:pStyle w:val="ad"/>
        <w:rPr>
          <w:rtl/>
        </w:rPr>
      </w:pPr>
      <w:r>
        <w:rPr>
          <w:rFonts w:hint="cs"/>
          <w:rtl/>
        </w:rPr>
        <w:t xml:space="preserve">"עבירות הנשק מצויות על סדר יומו של בית משפט זה דרך שגרה. עובדה זאת מהווה השתקפות של תמונת האלימות והפשיעה בנשק הגואה בחברה הישראלית, ובחברה הערבית בפרט; של תמונת הקורבנות מעבירות הנשק המציגה גידול מידי שנה; ושל רמת האכיפה בכל המתייחס להחזקת נשק לא חוקי. כבר תואר כי המצב הגיע לכדי מצב חירום לאומי. על רקע זה ניכרת בפסיקה מגמה של הקשחת מדיניות הענישה בעבירות נשק, תוך מתן </w:t>
      </w:r>
      <w:r>
        <w:rPr>
          <w:rFonts w:hint="cs"/>
          <w:b/>
          <w:bCs/>
          <w:rtl/>
        </w:rPr>
        <w:t>משקל מרכזי</w:t>
      </w:r>
      <w:r>
        <w:rPr>
          <w:rFonts w:hint="cs"/>
          <w:rtl/>
        </w:rPr>
        <w:t xml:space="preserve"> לשיקול של הרתעת הכלל" (פסקה 11) </w:t>
      </w:r>
    </w:p>
    <w:p w14:paraId="366BB966" w14:textId="77777777" w:rsidR="007049D4" w:rsidRDefault="007049D4" w:rsidP="007049D4">
      <w:pPr>
        <w:rPr>
          <w:rtl/>
        </w:rPr>
      </w:pPr>
    </w:p>
    <w:p w14:paraId="5DB440D0" w14:textId="77777777" w:rsidR="007049D4" w:rsidRDefault="007049D4" w:rsidP="007049D4">
      <w:pPr>
        <w:pStyle w:val="ab"/>
        <w:rPr>
          <w:rtl/>
        </w:rPr>
      </w:pPr>
      <w:r>
        <w:rPr>
          <w:rFonts w:hint="cs"/>
          <w:rtl/>
        </w:rPr>
        <w:t>בענייננו ב"מערכה הראשונה" היה מונח אקדחו של הנאשם בתוך מגירת שולחן האוכל כאשר הוא טעון במחסנית מלאה ולצידו מחסנית טעונה נוספת. המערכות הבאות עלולות היו להתרחש ולהביא לתוצאות קשות.</w:t>
      </w:r>
    </w:p>
    <w:p w14:paraId="672765B2" w14:textId="77777777" w:rsidR="007049D4" w:rsidRDefault="007049D4" w:rsidP="007049D4">
      <w:pPr>
        <w:pStyle w:val="11"/>
        <w:jc w:val="both"/>
        <w:rPr>
          <w:rtl/>
        </w:rPr>
      </w:pPr>
      <w:r>
        <w:rPr>
          <w:rtl/>
        </w:rPr>
        <w:t>סוף דבר</w:t>
      </w:r>
    </w:p>
    <w:p w14:paraId="6D753A59" w14:textId="77777777" w:rsidR="007049D4" w:rsidRDefault="007049D4" w:rsidP="007049D4">
      <w:pPr>
        <w:pStyle w:val="a"/>
        <w:tabs>
          <w:tab w:val="clear" w:pos="360"/>
          <w:tab w:val="clear" w:pos="1440"/>
          <w:tab w:val="num" w:pos="2911"/>
        </w:tabs>
        <w:rPr>
          <w:rFonts w:ascii="Times New Roman" w:eastAsia="Times New Roman" w:hAnsi="Times New Roman" w:cs="Times New Roman"/>
          <w:rtl/>
        </w:rPr>
      </w:pPr>
      <w:r>
        <w:rPr>
          <w:rFonts w:hint="cs"/>
          <w:rtl/>
        </w:rPr>
        <w:t>נוכח האמור, אני דן את הנאשם לעונשים הבאים:</w:t>
      </w:r>
    </w:p>
    <w:p w14:paraId="454C5C9F" w14:textId="77777777" w:rsidR="007049D4" w:rsidRDefault="007049D4" w:rsidP="007049D4">
      <w:pPr>
        <w:pStyle w:val="a0"/>
        <w:numPr>
          <w:ilvl w:val="0"/>
          <w:numId w:val="3"/>
        </w:numPr>
        <w:ind w:left="1218"/>
        <w:jc w:val="both"/>
      </w:pPr>
      <w:r>
        <w:rPr>
          <w:rFonts w:hint="cs"/>
          <w:rtl/>
        </w:rPr>
        <w:t>18 חודשי מאסר בפועל בניכוי ימי המעצר בתיק זה.</w:t>
      </w:r>
    </w:p>
    <w:p w14:paraId="1D8A1602" w14:textId="77777777" w:rsidR="007049D4" w:rsidRDefault="007049D4" w:rsidP="007049D4">
      <w:pPr>
        <w:pStyle w:val="a0"/>
        <w:jc w:val="both"/>
      </w:pPr>
      <w:r>
        <w:rPr>
          <w:rFonts w:hint="cs"/>
          <w:rtl/>
        </w:rPr>
        <w:t xml:space="preserve">9 חודשי מאסר על תנאי, לתקופה של 3 שנים מתום ריצוי מאסרו שלא יעבור עבירה לפי </w:t>
      </w:r>
      <w:hyperlink r:id="rId41" w:history="1">
        <w:r w:rsidR="002B614D" w:rsidRPr="002B614D">
          <w:rPr>
            <w:rStyle w:val="Hyperlink"/>
            <w:rFonts w:hint="eastAsia"/>
            <w:color w:val="0000FF"/>
            <w:rtl/>
          </w:rPr>
          <w:t>סעיפים</w:t>
        </w:r>
        <w:r w:rsidR="002B614D" w:rsidRPr="002B614D">
          <w:rPr>
            <w:rStyle w:val="Hyperlink"/>
            <w:color w:val="0000FF"/>
            <w:rtl/>
          </w:rPr>
          <w:t xml:space="preserve"> 144(א)</w:t>
        </w:r>
      </w:hyperlink>
      <w:r>
        <w:rPr>
          <w:rFonts w:hint="cs"/>
          <w:rtl/>
        </w:rPr>
        <w:t xml:space="preserve"> או </w:t>
      </w:r>
      <w:hyperlink r:id="rId42" w:history="1">
        <w:r w:rsidR="002B614D" w:rsidRPr="002B614D">
          <w:rPr>
            <w:rStyle w:val="Hyperlink"/>
            <w:color w:val="0000FF"/>
            <w:rtl/>
          </w:rPr>
          <w:t>144(ב)</w:t>
        </w:r>
      </w:hyperlink>
      <w:r>
        <w:rPr>
          <w:rFonts w:hint="cs"/>
          <w:rtl/>
        </w:rPr>
        <w:t xml:space="preserve"> ל</w:t>
      </w:r>
      <w:hyperlink r:id="rId43" w:history="1">
        <w:r w:rsidR="008B0F6F" w:rsidRPr="008B0F6F">
          <w:rPr>
            <w:color w:val="0000FF"/>
            <w:u w:val="single"/>
            <w:rtl/>
          </w:rPr>
          <w:t>חוק העונשין</w:t>
        </w:r>
      </w:hyperlink>
      <w:r>
        <w:rPr>
          <w:rFonts w:hint="cs"/>
          <w:rtl/>
        </w:rPr>
        <w:t xml:space="preserve"> תשל"ז 1977.</w:t>
      </w:r>
    </w:p>
    <w:p w14:paraId="557B00D3" w14:textId="77777777" w:rsidR="007049D4" w:rsidRDefault="007049D4" w:rsidP="007049D4">
      <w:pPr>
        <w:pStyle w:val="a0"/>
        <w:jc w:val="both"/>
        <w:rPr>
          <w:rtl/>
        </w:rPr>
      </w:pPr>
      <w:r>
        <w:rPr>
          <w:rFonts w:hint="cs"/>
          <w:rtl/>
        </w:rPr>
        <w:t>קנס כספי בסך 3,000 ₪ או 30 ימי מאסר תמורתו. הקנס ישולם עד יום 1.8.24</w:t>
      </w:r>
    </w:p>
    <w:p w14:paraId="6ADB7E09" w14:textId="77777777" w:rsidR="007049D4" w:rsidRDefault="007049D4" w:rsidP="007049D4">
      <w:pPr>
        <w:spacing w:line="360" w:lineRule="auto"/>
        <w:jc w:val="both"/>
      </w:pPr>
    </w:p>
    <w:p w14:paraId="017F01E1" w14:textId="77777777" w:rsidR="007049D4" w:rsidRDefault="007049D4" w:rsidP="007049D4">
      <w:pPr>
        <w:spacing w:line="360" w:lineRule="auto"/>
        <w:jc w:val="both"/>
        <w:rPr>
          <w:b/>
          <w:bCs/>
        </w:rPr>
      </w:pPr>
      <w:r>
        <w:rPr>
          <w:rFonts w:hint="cs"/>
          <w:b/>
          <w:bCs/>
          <w:rtl/>
        </w:rPr>
        <w:t>את הקנס / הפיצוי ניתן לשלם כעבור 3 ימים מהיום באחת מהדרכים הבאות:</w:t>
      </w:r>
    </w:p>
    <w:p w14:paraId="0077C9B7" w14:textId="77777777" w:rsidR="007049D4" w:rsidRDefault="007049D4" w:rsidP="007049D4">
      <w:pPr>
        <w:numPr>
          <w:ilvl w:val="0"/>
          <w:numId w:val="4"/>
        </w:numPr>
        <w:spacing w:line="360" w:lineRule="auto"/>
        <w:jc w:val="both"/>
        <w:rPr>
          <w:b/>
          <w:bCs/>
          <w:rtl/>
        </w:rPr>
      </w:pPr>
      <w:r>
        <w:rPr>
          <w:rFonts w:hint="cs"/>
          <w:b/>
          <w:bCs/>
          <w:rtl/>
        </w:rPr>
        <w:t xml:space="preserve">תשלום בכרטיס אשראי באמצעות האתר המקוון של רשות האכיפה והגבייה בכתובת: </w:t>
      </w:r>
      <w:r>
        <w:rPr>
          <w:b/>
          <w:bCs/>
        </w:rPr>
        <w:t>www.eca.gov.il</w:t>
      </w:r>
      <w:r>
        <w:rPr>
          <w:rFonts w:hint="cs"/>
          <w:b/>
          <w:bCs/>
          <w:rtl/>
        </w:rPr>
        <w:t>.</w:t>
      </w:r>
    </w:p>
    <w:p w14:paraId="0E823512" w14:textId="77777777" w:rsidR="007049D4" w:rsidRDefault="007049D4" w:rsidP="007049D4">
      <w:pPr>
        <w:numPr>
          <w:ilvl w:val="0"/>
          <w:numId w:val="4"/>
        </w:numPr>
        <w:spacing w:line="360" w:lineRule="auto"/>
        <w:jc w:val="both"/>
        <w:rPr>
          <w:b/>
          <w:bCs/>
          <w:rtl/>
        </w:rPr>
      </w:pPr>
      <w:r>
        <w:rPr>
          <w:rFonts w:hint="cs"/>
          <w:b/>
          <w:bCs/>
          <w:rtl/>
        </w:rPr>
        <w:t>תשלום בשירות עצמי באמצעות מוקד שירות טלפוני של מרכז הגבייה, בטלפון שמספרו 35592* או, 073-205-5000.</w:t>
      </w:r>
    </w:p>
    <w:p w14:paraId="343AAC5F" w14:textId="77777777" w:rsidR="007049D4" w:rsidRDefault="007049D4" w:rsidP="007049D4">
      <w:pPr>
        <w:numPr>
          <w:ilvl w:val="0"/>
          <w:numId w:val="4"/>
        </w:numPr>
        <w:spacing w:line="360" w:lineRule="auto"/>
        <w:jc w:val="both"/>
        <w:rPr>
          <w:b/>
          <w:bCs/>
        </w:rPr>
      </w:pPr>
      <w:r>
        <w:rPr>
          <w:rFonts w:hint="cs"/>
          <w:b/>
          <w:bCs/>
          <w:rtl/>
        </w:rPr>
        <w:t>תשלום במזומן בכל סניף של בנק הדואר, בהצגת תעודת זהות בלבד (אין צורך בהצגת שוברי תשלום)</w:t>
      </w:r>
    </w:p>
    <w:p w14:paraId="49F385E0" w14:textId="77777777" w:rsidR="007049D4" w:rsidRDefault="007049D4" w:rsidP="007049D4">
      <w:pPr>
        <w:spacing w:line="360" w:lineRule="auto"/>
        <w:jc w:val="both"/>
      </w:pPr>
    </w:p>
    <w:p w14:paraId="1E63BDE7" w14:textId="77777777" w:rsidR="007049D4" w:rsidRDefault="007049D4" w:rsidP="007049D4">
      <w:pPr>
        <w:spacing w:line="360" w:lineRule="auto"/>
        <w:jc w:val="both"/>
        <w:rPr>
          <w:rtl/>
        </w:rPr>
      </w:pPr>
      <w:r>
        <w:rPr>
          <w:rFonts w:hint="cs"/>
          <w:rtl/>
        </w:rPr>
        <w:t>מוצגי אמל"ח יושמדו או יחולטו על פי שיקול דעת המאשימה.</w:t>
      </w:r>
    </w:p>
    <w:p w14:paraId="737908B4" w14:textId="77777777" w:rsidR="007049D4" w:rsidRDefault="007049D4" w:rsidP="007049D4">
      <w:pPr>
        <w:spacing w:line="360" w:lineRule="auto"/>
        <w:jc w:val="both"/>
        <w:rPr>
          <w:rtl/>
        </w:rPr>
      </w:pPr>
    </w:p>
    <w:p w14:paraId="054FCDAA" w14:textId="77777777" w:rsidR="007049D4" w:rsidRDefault="007049D4" w:rsidP="007049D4">
      <w:pPr>
        <w:spacing w:line="360" w:lineRule="auto"/>
        <w:jc w:val="both"/>
        <w:rPr>
          <w:rtl/>
        </w:rPr>
      </w:pPr>
    </w:p>
    <w:p w14:paraId="6191B85D" w14:textId="77777777" w:rsidR="007049D4" w:rsidRDefault="007049D4" w:rsidP="007049D4">
      <w:pPr>
        <w:spacing w:line="360" w:lineRule="auto"/>
        <w:jc w:val="both"/>
        <w:rPr>
          <w:rtl/>
        </w:rPr>
      </w:pPr>
      <w:r>
        <w:rPr>
          <w:rFonts w:hint="cs"/>
          <w:rtl/>
        </w:rPr>
        <w:t>המזכירות תסגור את התיק.</w:t>
      </w:r>
    </w:p>
    <w:p w14:paraId="2E5ABE2C" w14:textId="77777777" w:rsidR="007049D4" w:rsidRPr="008B0F6F" w:rsidRDefault="008B0F6F" w:rsidP="007049D4">
      <w:pPr>
        <w:jc w:val="both"/>
        <w:rPr>
          <w:color w:val="FFFFFF"/>
          <w:sz w:val="2"/>
          <w:szCs w:val="2"/>
          <w:rtl/>
        </w:rPr>
      </w:pPr>
      <w:r w:rsidRPr="008B0F6F">
        <w:rPr>
          <w:color w:val="FFFFFF"/>
          <w:sz w:val="2"/>
          <w:szCs w:val="2"/>
          <w:rtl/>
        </w:rPr>
        <w:t>5129371</w:t>
      </w:r>
    </w:p>
    <w:p w14:paraId="6A3E7785" w14:textId="77777777" w:rsidR="007049D4" w:rsidRDefault="008B0F6F" w:rsidP="007049D4">
      <w:pPr>
        <w:spacing w:line="360" w:lineRule="auto"/>
        <w:jc w:val="both"/>
        <w:rPr>
          <w:rFonts w:ascii="David" w:hAnsi="David"/>
        </w:rPr>
      </w:pPr>
      <w:r w:rsidRPr="008B0F6F">
        <w:rPr>
          <w:b/>
          <w:bCs/>
          <w:color w:val="FFFFFF"/>
          <w:sz w:val="2"/>
          <w:szCs w:val="2"/>
          <w:rtl/>
        </w:rPr>
        <w:t>54678313</w:t>
      </w:r>
      <w:r w:rsidR="007049D4">
        <w:rPr>
          <w:rFonts w:hint="cs"/>
          <w:b/>
          <w:bCs/>
          <w:rtl/>
        </w:rPr>
        <w:t>זכות ערעור בתוך 45 יום לבית המשפט המחוזי</w:t>
      </w:r>
      <w:r w:rsidR="007049D4">
        <w:rPr>
          <w:rFonts w:hint="cs"/>
          <w:rtl/>
        </w:rPr>
        <w:t>.</w:t>
      </w:r>
    </w:p>
    <w:p w14:paraId="797C2BD7" w14:textId="77777777" w:rsidR="007049D4" w:rsidRDefault="007049D4" w:rsidP="007049D4">
      <w:pPr>
        <w:spacing w:line="360" w:lineRule="auto"/>
        <w:jc w:val="both"/>
        <w:rPr>
          <w:rFonts w:ascii="Arial" w:hAnsi="Arial"/>
          <w:b/>
          <w:bCs/>
          <w:sz w:val="26"/>
          <w:szCs w:val="26"/>
          <w:rtl/>
        </w:rPr>
      </w:pPr>
    </w:p>
    <w:p w14:paraId="2BAAC0FB" w14:textId="77777777" w:rsidR="007049D4" w:rsidRPr="000F2247" w:rsidRDefault="008B0F6F" w:rsidP="007049D4">
      <w:pPr>
        <w:spacing w:line="360" w:lineRule="auto"/>
        <w:jc w:val="both"/>
        <w:rPr>
          <w:rFonts w:ascii="Arial" w:hAnsi="Arial"/>
          <w:b/>
          <w:bCs/>
          <w:sz w:val="26"/>
          <w:szCs w:val="26"/>
          <w:rtl/>
        </w:rPr>
      </w:pPr>
      <w:bookmarkStart w:id="9" w:name="Nitan"/>
      <w:r>
        <w:rPr>
          <w:rFonts w:ascii="Arial" w:hAnsi="Arial"/>
          <w:b/>
          <w:bCs/>
          <w:sz w:val="26"/>
          <w:szCs w:val="26"/>
          <w:rtl/>
        </w:rPr>
        <w:t xml:space="preserve">ניתן היום,  ז' סיוון תשפ"ד, 13 יוני 2024, בנוכחות הצדדים. </w:t>
      </w:r>
      <w:bookmarkEnd w:id="9"/>
      <w:r w:rsidR="007049D4">
        <w:rPr>
          <w:rFonts w:ascii="Arial" w:hAnsi="Arial"/>
          <w:b/>
          <w:bCs/>
          <w:sz w:val="26"/>
          <w:szCs w:val="26"/>
          <w:rtl/>
        </w:rPr>
        <w:tab/>
      </w:r>
      <w:r w:rsidR="007049D4">
        <w:rPr>
          <w:rFonts w:ascii="Arial" w:hAnsi="Arial"/>
          <w:b/>
          <w:bCs/>
          <w:sz w:val="26"/>
          <w:szCs w:val="26"/>
          <w:rtl/>
        </w:rPr>
        <w:tab/>
      </w:r>
      <w:r w:rsidR="007049D4">
        <w:rPr>
          <w:rFonts w:ascii="Arial" w:hAnsi="Arial"/>
          <w:b/>
          <w:bCs/>
          <w:sz w:val="26"/>
          <w:szCs w:val="26"/>
          <w:rtl/>
        </w:rPr>
        <w:tab/>
      </w:r>
      <w:r w:rsidR="007049D4">
        <w:rPr>
          <w:rFonts w:ascii="Arial" w:hAnsi="Arial"/>
          <w:b/>
          <w:bCs/>
          <w:sz w:val="26"/>
          <w:szCs w:val="26"/>
          <w:rtl/>
        </w:rPr>
        <w:tab/>
      </w:r>
      <w:r w:rsidR="007049D4">
        <w:rPr>
          <w:rFonts w:ascii="Arial" w:hAnsi="Arial"/>
          <w:b/>
          <w:bCs/>
          <w:sz w:val="26"/>
          <w:szCs w:val="26"/>
          <w:rtl/>
        </w:rPr>
        <w:tab/>
      </w:r>
      <w:r w:rsidR="007049D4">
        <w:rPr>
          <w:rFonts w:ascii="Arial" w:hAnsi="Arial"/>
          <w:b/>
          <w:bCs/>
          <w:sz w:val="26"/>
          <w:szCs w:val="26"/>
          <w:rtl/>
        </w:rPr>
        <w:tab/>
      </w:r>
      <w:r w:rsidR="007049D4">
        <w:rPr>
          <w:rFonts w:ascii="Arial" w:hAnsi="Arial"/>
          <w:b/>
          <w:bCs/>
          <w:sz w:val="26"/>
          <w:szCs w:val="26"/>
          <w:rtl/>
        </w:rPr>
        <w:tab/>
      </w:r>
      <w:r w:rsidR="007049D4">
        <w:rPr>
          <w:rFonts w:ascii="Arial" w:hAnsi="Arial" w:hint="cs"/>
          <w:b/>
          <w:bCs/>
          <w:sz w:val="26"/>
          <w:szCs w:val="26"/>
          <w:rtl/>
        </w:rPr>
        <w:t xml:space="preserve">         </w:t>
      </w:r>
    </w:p>
    <w:p w14:paraId="50BA29FC" w14:textId="77777777" w:rsidR="007049D4" w:rsidRPr="000F2247" w:rsidRDefault="007049D4" w:rsidP="008B0F6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0E9895C" w14:textId="77777777" w:rsidR="007049D4" w:rsidRPr="000F2247" w:rsidRDefault="007049D4" w:rsidP="007049D4">
      <w:pPr>
        <w:jc w:val="center"/>
        <w:rPr>
          <w:rFonts w:ascii="Arial" w:hAnsi="Arial"/>
          <w:b/>
          <w:bCs/>
          <w:sz w:val="26"/>
          <w:szCs w:val="26"/>
          <w:rtl/>
        </w:rPr>
      </w:pPr>
    </w:p>
    <w:p w14:paraId="6A47359B" w14:textId="77777777" w:rsidR="005251A2" w:rsidRPr="008B0F6F" w:rsidRDefault="005251A2" w:rsidP="008B0F6F">
      <w:pPr>
        <w:keepNext/>
        <w:rPr>
          <w:rFonts w:ascii="David" w:hAnsi="David"/>
          <w:color w:val="000000"/>
          <w:sz w:val="22"/>
          <w:szCs w:val="22"/>
          <w:rtl/>
        </w:rPr>
      </w:pPr>
    </w:p>
    <w:p w14:paraId="48E07B70" w14:textId="77777777" w:rsidR="008B0F6F" w:rsidRPr="008B0F6F" w:rsidRDefault="008B0F6F" w:rsidP="008B0F6F">
      <w:pPr>
        <w:keepNext/>
        <w:rPr>
          <w:rFonts w:ascii="David" w:hAnsi="David"/>
          <w:color w:val="000000"/>
          <w:sz w:val="22"/>
          <w:szCs w:val="22"/>
          <w:rtl/>
        </w:rPr>
      </w:pPr>
      <w:r w:rsidRPr="008B0F6F">
        <w:rPr>
          <w:rFonts w:ascii="David" w:hAnsi="David"/>
          <w:color w:val="000000"/>
          <w:sz w:val="22"/>
          <w:szCs w:val="22"/>
          <w:rtl/>
        </w:rPr>
        <w:t>יריב בן דוד 54678313</w:t>
      </w:r>
    </w:p>
    <w:p w14:paraId="66EC4264" w14:textId="77777777" w:rsidR="008B0F6F" w:rsidRDefault="008B0F6F" w:rsidP="008B0F6F">
      <w:r w:rsidRPr="008B0F6F">
        <w:rPr>
          <w:color w:val="000000"/>
          <w:rtl/>
        </w:rPr>
        <w:t>נוסח מסמך זה כפוף לשינויי ניסוח ועריכה</w:t>
      </w:r>
    </w:p>
    <w:p w14:paraId="10BBD3D8" w14:textId="77777777" w:rsidR="008B0F6F" w:rsidRDefault="008B0F6F" w:rsidP="008B0F6F">
      <w:pPr>
        <w:rPr>
          <w:rtl/>
        </w:rPr>
      </w:pPr>
    </w:p>
    <w:p w14:paraId="10BAACF6" w14:textId="77777777" w:rsidR="008B0F6F" w:rsidRDefault="008B0F6F" w:rsidP="008B0F6F">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648A0247" w14:textId="77777777" w:rsidR="008B0F6F" w:rsidRPr="008B0F6F" w:rsidRDefault="008B0F6F" w:rsidP="008B0F6F">
      <w:pPr>
        <w:jc w:val="center"/>
        <w:rPr>
          <w:color w:val="0000FF"/>
          <w:u w:val="single"/>
        </w:rPr>
      </w:pPr>
    </w:p>
    <w:sectPr w:rsidR="008B0F6F" w:rsidRPr="008B0F6F" w:rsidSect="008B0F6F">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87F390" w14:textId="77777777" w:rsidR="00F9639C" w:rsidRDefault="00F9639C" w:rsidP="004149F2">
      <w:r>
        <w:separator/>
      </w:r>
    </w:p>
  </w:endnote>
  <w:endnote w:type="continuationSeparator" w:id="0">
    <w:p w14:paraId="57A086C6" w14:textId="77777777" w:rsidR="00F9639C" w:rsidRDefault="00F9639C" w:rsidP="00414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4EAF4" w14:textId="77777777" w:rsidR="008B0F6F" w:rsidRDefault="008B0F6F" w:rsidP="008B0F6F">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F068968" w14:textId="77777777" w:rsidR="0016587B" w:rsidRPr="008B0F6F" w:rsidRDefault="008B0F6F" w:rsidP="008B0F6F">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A121C" w14:textId="77777777" w:rsidR="008B0F6F" w:rsidRDefault="008B0F6F" w:rsidP="008B0F6F">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86759">
      <w:rPr>
        <w:rFonts w:ascii="FrankRuehl" w:hAnsi="FrankRuehl" w:cs="FrankRuehl"/>
        <w:noProof/>
        <w:rtl/>
      </w:rPr>
      <w:t>1</w:t>
    </w:r>
    <w:r>
      <w:rPr>
        <w:rFonts w:ascii="FrankRuehl" w:hAnsi="FrankRuehl" w:cs="FrankRuehl"/>
        <w:rtl/>
      </w:rPr>
      <w:fldChar w:fldCharType="end"/>
    </w:r>
  </w:p>
  <w:p w14:paraId="3AC5CA29" w14:textId="77777777" w:rsidR="0016587B" w:rsidRPr="008B0F6F" w:rsidRDefault="008B0F6F" w:rsidP="008B0F6F">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774F8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13C7E2" w14:textId="77777777" w:rsidR="00F9639C" w:rsidRDefault="00F9639C" w:rsidP="004149F2">
      <w:r>
        <w:separator/>
      </w:r>
    </w:p>
  </w:footnote>
  <w:footnote w:type="continuationSeparator" w:id="0">
    <w:p w14:paraId="609D1403" w14:textId="77777777" w:rsidR="00F9639C" w:rsidRDefault="00F9639C" w:rsidP="00414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B9191" w14:textId="77777777" w:rsidR="008B0F6F" w:rsidRPr="008B0F6F" w:rsidRDefault="008B0F6F" w:rsidP="008B0F6F">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66110-11-23</w:t>
    </w:r>
    <w:r>
      <w:rPr>
        <w:rFonts w:ascii="David" w:hAnsi="David"/>
        <w:color w:val="000000"/>
        <w:sz w:val="22"/>
        <w:szCs w:val="22"/>
        <w:rtl/>
      </w:rPr>
      <w:tab/>
      <w:t xml:space="preserve"> מדינת ישראל תביעות נגב נ' אנור דבאבסה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0DA52" w14:textId="77777777" w:rsidR="008B0F6F" w:rsidRPr="008B0F6F" w:rsidRDefault="008B0F6F" w:rsidP="008B0F6F">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66110-11-23</w:t>
    </w:r>
    <w:r>
      <w:rPr>
        <w:rFonts w:ascii="David" w:hAnsi="David"/>
        <w:color w:val="000000"/>
        <w:sz w:val="22"/>
        <w:szCs w:val="22"/>
        <w:rtl/>
      </w:rPr>
      <w:tab/>
      <w:t xml:space="preserve"> מדינת ישראל תביעות נגב נ' אנור דבאבסה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94128F"/>
    <w:multiLevelType w:val="multilevel"/>
    <w:tmpl w:val="1C6E044E"/>
    <w:lvl w:ilvl="0">
      <w:start w:val="1"/>
      <w:numFmt w:val="decimal"/>
      <w:lvlText w:val="%1."/>
      <w:lvlJc w:val="left"/>
      <w:pPr>
        <w:tabs>
          <w:tab w:val="num" w:pos="720"/>
        </w:tabs>
        <w:ind w:left="720" w:hanging="360"/>
      </w:pPr>
    </w:lvl>
    <w:lvl w:ilvl="1">
      <w:start w:val="1"/>
      <w:numFmt w:val="decimal"/>
      <w:pStyle w:val="a"/>
      <w:lvlText w:val="%2."/>
      <w:lvlJc w:val="left"/>
      <w:pPr>
        <w:tabs>
          <w:tab w:val="num" w:pos="2911"/>
        </w:tabs>
        <w:ind w:left="2911" w:hanging="36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600"/>
        </w:tabs>
        <w:ind w:left="3600" w:hanging="108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4680"/>
        </w:tabs>
        <w:ind w:left="4680" w:hanging="1440"/>
      </w:pPr>
    </w:lvl>
  </w:abstractNum>
  <w:abstractNum w:abstractNumId="1" w15:restartNumberingAfterBreak="0">
    <w:nsid w:val="5BFD4701"/>
    <w:multiLevelType w:val="hybridMultilevel"/>
    <w:tmpl w:val="45320168"/>
    <w:lvl w:ilvl="0" w:tplc="32069F18">
      <w:start w:val="1"/>
      <w:numFmt w:val="bullet"/>
      <w:lvlText w:val=""/>
      <w:lvlJc w:val="left"/>
      <w:pPr>
        <w:ind w:left="720" w:hanging="360"/>
      </w:pPr>
      <w:rPr>
        <w:rFonts w:ascii="Symbol" w:hAnsi="Symbol" w:hint="default"/>
      </w:rPr>
    </w:lvl>
    <w:lvl w:ilvl="1" w:tplc="C5FA99F6">
      <w:start w:val="1"/>
      <w:numFmt w:val="bullet"/>
      <w:lvlText w:val="o"/>
      <w:lvlJc w:val="left"/>
      <w:pPr>
        <w:ind w:left="1440" w:hanging="360"/>
      </w:pPr>
      <w:rPr>
        <w:rFonts w:ascii="Courier New" w:hAnsi="Courier New" w:cs="Times New Roman" w:hint="default"/>
      </w:rPr>
    </w:lvl>
    <w:lvl w:ilvl="2" w:tplc="E5A8D9FA">
      <w:start w:val="1"/>
      <w:numFmt w:val="bullet"/>
      <w:lvlText w:val=""/>
      <w:lvlJc w:val="left"/>
      <w:pPr>
        <w:ind w:left="2160" w:hanging="360"/>
      </w:pPr>
      <w:rPr>
        <w:rFonts w:ascii="Wingdings" w:hAnsi="Wingdings" w:hint="default"/>
      </w:rPr>
    </w:lvl>
    <w:lvl w:ilvl="3" w:tplc="0BBA3A3E">
      <w:start w:val="1"/>
      <w:numFmt w:val="bullet"/>
      <w:lvlText w:val=""/>
      <w:lvlJc w:val="left"/>
      <w:pPr>
        <w:ind w:left="2880" w:hanging="360"/>
      </w:pPr>
      <w:rPr>
        <w:rFonts w:ascii="Symbol" w:hAnsi="Symbol" w:hint="default"/>
      </w:rPr>
    </w:lvl>
    <w:lvl w:ilvl="4" w:tplc="B41C4308">
      <w:start w:val="1"/>
      <w:numFmt w:val="bullet"/>
      <w:lvlText w:val="o"/>
      <w:lvlJc w:val="left"/>
      <w:pPr>
        <w:ind w:left="3600" w:hanging="360"/>
      </w:pPr>
      <w:rPr>
        <w:rFonts w:ascii="Courier New" w:hAnsi="Courier New" w:cs="Times New Roman" w:hint="default"/>
      </w:rPr>
    </w:lvl>
    <w:lvl w:ilvl="5" w:tplc="08EA71B2">
      <w:start w:val="1"/>
      <w:numFmt w:val="bullet"/>
      <w:lvlText w:val=""/>
      <w:lvlJc w:val="left"/>
      <w:pPr>
        <w:ind w:left="4320" w:hanging="360"/>
      </w:pPr>
      <w:rPr>
        <w:rFonts w:ascii="Wingdings" w:hAnsi="Wingdings" w:hint="default"/>
      </w:rPr>
    </w:lvl>
    <w:lvl w:ilvl="6" w:tplc="1640F888">
      <w:start w:val="1"/>
      <w:numFmt w:val="bullet"/>
      <w:lvlText w:val=""/>
      <w:lvlJc w:val="left"/>
      <w:pPr>
        <w:ind w:left="5040" w:hanging="360"/>
      </w:pPr>
      <w:rPr>
        <w:rFonts w:ascii="Symbol" w:hAnsi="Symbol" w:hint="default"/>
      </w:rPr>
    </w:lvl>
    <w:lvl w:ilvl="7" w:tplc="202A6638">
      <w:start w:val="1"/>
      <w:numFmt w:val="bullet"/>
      <w:lvlText w:val="o"/>
      <w:lvlJc w:val="left"/>
      <w:pPr>
        <w:ind w:left="5760" w:hanging="360"/>
      </w:pPr>
      <w:rPr>
        <w:rFonts w:ascii="Courier New" w:hAnsi="Courier New" w:cs="Times New Roman" w:hint="default"/>
      </w:rPr>
    </w:lvl>
    <w:lvl w:ilvl="8" w:tplc="FBC69C50">
      <w:start w:val="1"/>
      <w:numFmt w:val="bullet"/>
      <w:lvlText w:val=""/>
      <w:lvlJc w:val="left"/>
      <w:pPr>
        <w:ind w:left="6480" w:hanging="360"/>
      </w:pPr>
      <w:rPr>
        <w:rFonts w:ascii="Wingdings" w:hAnsi="Wingdings" w:hint="default"/>
      </w:rPr>
    </w:lvl>
  </w:abstractNum>
  <w:abstractNum w:abstractNumId="2" w15:restartNumberingAfterBreak="0">
    <w:nsid w:val="72685967"/>
    <w:multiLevelType w:val="hybridMultilevel"/>
    <w:tmpl w:val="FAE49D4C"/>
    <w:lvl w:ilvl="0" w:tplc="B2003AD6">
      <w:start w:val="1"/>
      <w:numFmt w:val="hebrew1"/>
      <w:pStyle w:val="a0"/>
      <w:lvlText w:val="%1."/>
      <w:lvlJc w:val="center"/>
      <w:pPr>
        <w:ind w:left="1080" w:hanging="360"/>
      </w:pPr>
    </w:lvl>
    <w:lvl w:ilvl="1" w:tplc="B56C6704">
      <w:start w:val="1"/>
      <w:numFmt w:val="lowerLetter"/>
      <w:lvlText w:val="%2."/>
      <w:lvlJc w:val="left"/>
      <w:pPr>
        <w:ind w:left="1800" w:hanging="360"/>
      </w:pPr>
    </w:lvl>
    <w:lvl w:ilvl="2" w:tplc="6DA0FED2">
      <w:start w:val="1"/>
      <w:numFmt w:val="lowerRoman"/>
      <w:lvlText w:val="%3."/>
      <w:lvlJc w:val="right"/>
      <w:pPr>
        <w:ind w:left="2520" w:hanging="180"/>
      </w:pPr>
    </w:lvl>
    <w:lvl w:ilvl="3" w:tplc="8A0A448E">
      <w:start w:val="1"/>
      <w:numFmt w:val="decimal"/>
      <w:lvlText w:val="%4."/>
      <w:lvlJc w:val="left"/>
      <w:pPr>
        <w:ind w:left="3240" w:hanging="360"/>
      </w:pPr>
    </w:lvl>
    <w:lvl w:ilvl="4" w:tplc="72E89E72">
      <w:start w:val="1"/>
      <w:numFmt w:val="lowerLetter"/>
      <w:lvlText w:val="%5."/>
      <w:lvlJc w:val="left"/>
      <w:pPr>
        <w:ind w:left="3960" w:hanging="360"/>
      </w:pPr>
    </w:lvl>
    <w:lvl w:ilvl="5" w:tplc="16FE696A">
      <w:start w:val="1"/>
      <w:numFmt w:val="lowerRoman"/>
      <w:lvlText w:val="%6."/>
      <w:lvlJc w:val="right"/>
      <w:pPr>
        <w:ind w:left="4680" w:hanging="180"/>
      </w:pPr>
    </w:lvl>
    <w:lvl w:ilvl="6" w:tplc="99C6CB16">
      <w:start w:val="1"/>
      <w:numFmt w:val="decimal"/>
      <w:lvlText w:val="%7."/>
      <w:lvlJc w:val="left"/>
      <w:pPr>
        <w:ind w:left="5400" w:hanging="360"/>
      </w:pPr>
    </w:lvl>
    <w:lvl w:ilvl="7" w:tplc="A34E50D4">
      <w:start w:val="1"/>
      <w:numFmt w:val="lowerLetter"/>
      <w:lvlText w:val="%8."/>
      <w:lvlJc w:val="left"/>
      <w:pPr>
        <w:ind w:left="6120" w:hanging="360"/>
      </w:pPr>
    </w:lvl>
    <w:lvl w:ilvl="8" w:tplc="4BEAB0EA">
      <w:start w:val="1"/>
      <w:numFmt w:val="lowerRoman"/>
      <w:lvlText w:val="%9."/>
      <w:lvlJc w:val="right"/>
      <w:pPr>
        <w:ind w:left="6840" w:hanging="180"/>
      </w:pPr>
    </w:lvl>
  </w:abstractNum>
  <w:num w:numId="1" w16cid:durableId="15171869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785969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904283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7281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049D4"/>
    <w:rsid w:val="0016587B"/>
    <w:rsid w:val="001B5A3B"/>
    <w:rsid w:val="002B614D"/>
    <w:rsid w:val="004149F2"/>
    <w:rsid w:val="005251A2"/>
    <w:rsid w:val="007049D4"/>
    <w:rsid w:val="00786759"/>
    <w:rsid w:val="008A05F6"/>
    <w:rsid w:val="008B0F6F"/>
    <w:rsid w:val="00A21D2A"/>
    <w:rsid w:val="00F963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22C808"/>
  <w15:chartTrackingRefBased/>
  <w15:docId w15:val="{1FCF23D0-D741-46D1-BFE8-DEF26355B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7049D4"/>
    <w:pPr>
      <w:bidi/>
    </w:pPr>
    <w:rPr>
      <w:rFonts w:ascii="Times New Roman" w:eastAsia="Times New Roman" w:hAnsi="Times New Roman" w:cs="David"/>
      <w:sz w:val="24"/>
      <w:szCs w:val="24"/>
    </w:rPr>
  </w:style>
  <w:style w:type="paragraph" w:styleId="1">
    <w:name w:val="heading 1"/>
    <w:basedOn w:val="a1"/>
    <w:next w:val="a1"/>
    <w:link w:val="10"/>
    <w:qFormat/>
    <w:rsid w:val="007049D4"/>
    <w:pPr>
      <w:keepNext/>
      <w:keepLines/>
      <w:spacing w:before="240"/>
      <w:outlineLvl w:val="0"/>
    </w:pPr>
    <w:rPr>
      <w:rFonts w:ascii="Calibri Light" w:hAnsi="Calibri Light" w:cs="Times New Roman"/>
      <w:color w:val="2E74B5"/>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7049D4"/>
    <w:pPr>
      <w:tabs>
        <w:tab w:val="center" w:pos="4153"/>
        <w:tab w:val="right" w:pos="8306"/>
      </w:tabs>
    </w:pPr>
  </w:style>
  <w:style w:type="character" w:customStyle="1" w:styleId="a6">
    <w:name w:val="כותרת עליונה תו"/>
    <w:link w:val="a5"/>
    <w:rsid w:val="007049D4"/>
    <w:rPr>
      <w:rFonts w:ascii="Times New Roman" w:eastAsia="Times New Roman" w:hAnsi="Times New Roman" w:cs="David"/>
      <w:sz w:val="24"/>
      <w:szCs w:val="24"/>
    </w:rPr>
  </w:style>
  <w:style w:type="paragraph" w:styleId="a7">
    <w:name w:val="footer"/>
    <w:basedOn w:val="a1"/>
    <w:link w:val="a8"/>
    <w:rsid w:val="007049D4"/>
    <w:pPr>
      <w:tabs>
        <w:tab w:val="center" w:pos="4153"/>
        <w:tab w:val="right" w:pos="8306"/>
      </w:tabs>
    </w:pPr>
  </w:style>
  <w:style w:type="character" w:customStyle="1" w:styleId="a8">
    <w:name w:val="כותרת תחתונה תו"/>
    <w:link w:val="a7"/>
    <w:rsid w:val="007049D4"/>
    <w:rPr>
      <w:rFonts w:ascii="Times New Roman" w:eastAsia="Times New Roman" w:hAnsi="Times New Roman" w:cs="David"/>
      <w:sz w:val="24"/>
      <w:szCs w:val="24"/>
    </w:rPr>
  </w:style>
  <w:style w:type="table" w:styleId="a9">
    <w:name w:val="Table Grid"/>
    <w:basedOn w:val="a3"/>
    <w:rsid w:val="007049D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7049D4"/>
  </w:style>
  <w:style w:type="paragraph" w:customStyle="1" w:styleId="ab">
    <w:name w:val="ללא מספור"/>
    <w:rsid w:val="007049D4"/>
    <w:pPr>
      <w:bidi/>
      <w:spacing w:after="240" w:line="360" w:lineRule="auto"/>
      <w:ind w:left="651" w:hanging="7"/>
      <w:jc w:val="both"/>
    </w:pPr>
    <w:rPr>
      <w:rFonts w:ascii="David" w:hAnsi="David" w:cs="David"/>
      <w:sz w:val="24"/>
      <w:szCs w:val="24"/>
    </w:rPr>
  </w:style>
  <w:style w:type="paragraph" w:customStyle="1" w:styleId="a">
    <w:name w:val="ממוספר"/>
    <w:basedOn w:val="ac"/>
    <w:next w:val="ab"/>
    <w:rsid w:val="007049D4"/>
    <w:pPr>
      <w:numPr>
        <w:ilvl w:val="1"/>
        <w:numId w:val="1"/>
      </w:numPr>
      <w:tabs>
        <w:tab w:val="clear" w:pos="2911"/>
        <w:tab w:val="num" w:pos="360"/>
        <w:tab w:val="num" w:pos="1440"/>
      </w:tabs>
      <w:spacing w:after="240" w:line="360" w:lineRule="auto"/>
      <w:ind w:left="651" w:hanging="425"/>
      <w:contextualSpacing w:val="0"/>
      <w:jc w:val="both"/>
    </w:pPr>
    <w:rPr>
      <w:rFonts w:ascii="David" w:eastAsia="David" w:hAnsi="David"/>
    </w:rPr>
  </w:style>
  <w:style w:type="paragraph" w:customStyle="1" w:styleId="11">
    <w:name w:val="כותר 1"/>
    <w:basedOn w:val="1"/>
    <w:rsid w:val="007049D4"/>
    <w:pPr>
      <w:spacing w:after="240" w:line="360" w:lineRule="auto"/>
    </w:pPr>
    <w:rPr>
      <w:rFonts w:ascii="Arial" w:eastAsia="David" w:hAnsi="Arial" w:cs="David"/>
      <w:b/>
      <w:bCs/>
      <w:color w:val="auto"/>
      <w:sz w:val="24"/>
      <w:szCs w:val="24"/>
      <w:u w:val="single"/>
    </w:rPr>
  </w:style>
  <w:style w:type="paragraph" w:customStyle="1" w:styleId="ad">
    <w:name w:val="צטוט"/>
    <w:next w:val="ab"/>
    <w:rsid w:val="007049D4"/>
    <w:pPr>
      <w:bidi/>
      <w:spacing w:after="240" w:line="276" w:lineRule="auto"/>
      <w:ind w:left="1503" w:right="709"/>
      <w:jc w:val="both"/>
    </w:pPr>
    <w:rPr>
      <w:rFonts w:ascii="David" w:hAnsi="David" w:cs="David"/>
      <w:i/>
      <w:iCs/>
      <w:sz w:val="24"/>
      <w:szCs w:val="24"/>
    </w:rPr>
  </w:style>
  <w:style w:type="paragraph" w:customStyle="1" w:styleId="-">
    <w:name w:val="ללא מספור - אות"/>
    <w:rsid w:val="007049D4"/>
    <w:pPr>
      <w:bidi/>
      <w:spacing w:after="120" w:line="360" w:lineRule="auto"/>
      <w:ind w:left="1218"/>
      <w:jc w:val="both"/>
    </w:pPr>
    <w:rPr>
      <w:rFonts w:ascii="David" w:hAnsi="David" w:cs="David"/>
      <w:sz w:val="24"/>
      <w:szCs w:val="24"/>
    </w:rPr>
  </w:style>
  <w:style w:type="paragraph" w:customStyle="1" w:styleId="a0">
    <w:name w:val="מספור אות"/>
    <w:next w:val="-"/>
    <w:rsid w:val="007049D4"/>
    <w:pPr>
      <w:numPr>
        <w:numId w:val="2"/>
      </w:numPr>
      <w:bidi/>
      <w:spacing w:before="240" w:after="120" w:line="360" w:lineRule="auto"/>
      <w:ind w:left="1218"/>
    </w:pPr>
    <w:rPr>
      <w:rFonts w:ascii="David" w:hAnsi="David" w:cs="David"/>
      <w:sz w:val="24"/>
      <w:szCs w:val="24"/>
    </w:rPr>
  </w:style>
  <w:style w:type="paragraph" w:styleId="ac">
    <w:name w:val="List Paragraph"/>
    <w:basedOn w:val="a1"/>
    <w:qFormat/>
    <w:rsid w:val="007049D4"/>
    <w:pPr>
      <w:ind w:left="720"/>
      <w:contextualSpacing/>
    </w:pPr>
  </w:style>
  <w:style w:type="character" w:customStyle="1" w:styleId="10">
    <w:name w:val="כותרת 1 תו"/>
    <w:link w:val="1"/>
    <w:rsid w:val="007049D4"/>
    <w:rPr>
      <w:rFonts w:ascii="Calibri Light" w:eastAsia="Times New Roman" w:hAnsi="Calibri Light" w:cs="Times New Roman"/>
      <w:color w:val="2E74B5"/>
      <w:sz w:val="32"/>
      <w:szCs w:val="32"/>
    </w:rPr>
  </w:style>
  <w:style w:type="character" w:styleId="Hyperlink">
    <w:name w:val="Hyperlink"/>
    <w:rsid w:val="008B0F6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8400048" TargetMode="External"/><Relationship Id="rId39" Type="http://schemas.openxmlformats.org/officeDocument/2006/relationships/hyperlink" Target="http://www.nevo.co.il/case/27925239" TargetMode="External"/><Relationship Id="rId21" Type="http://schemas.openxmlformats.org/officeDocument/2006/relationships/hyperlink" Target="http://www.nevo.co.il/case/29650897"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144.b"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6913995"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25824863" TargetMode="External"/><Relationship Id="rId32" Type="http://schemas.openxmlformats.org/officeDocument/2006/relationships/hyperlink" Target="http://www.nevo.co.il/case/28852952" TargetMode="External"/><Relationship Id="rId37" Type="http://schemas.openxmlformats.org/officeDocument/2006/relationships/hyperlink" Target="http://www.nevo.co.il/law/70301/40ja" TargetMode="External"/><Relationship Id="rId40" Type="http://schemas.openxmlformats.org/officeDocument/2006/relationships/hyperlink" Target="http://www.nevo.co.il/case/30315066"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case/29867910" TargetMode="External"/><Relationship Id="rId28" Type="http://schemas.openxmlformats.org/officeDocument/2006/relationships/hyperlink" Target="http://www.nevo.co.il/case/28567439" TargetMode="External"/><Relationship Id="rId36" Type="http://schemas.openxmlformats.org/officeDocument/2006/relationships/hyperlink" Target="http://www.nevo.co.il/case/29867910" TargetMode="External"/><Relationship Id="rId49" Type="http://schemas.openxmlformats.org/officeDocument/2006/relationships/fontTable" Target="fontTable.xml"/><Relationship Id="rId10" Type="http://schemas.openxmlformats.org/officeDocument/2006/relationships/hyperlink" Target="http://www.nevo.co.il/law/70301/40i" TargetMode="External"/><Relationship Id="rId19" Type="http://schemas.openxmlformats.org/officeDocument/2006/relationships/hyperlink" Target="http://www.nevo.co.il/law/70301/40b" TargetMode="External"/><Relationship Id="rId31" Type="http://schemas.openxmlformats.org/officeDocument/2006/relationships/hyperlink" Target="http://www.nevo.co.il/case/29243283"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6986974" TargetMode="External"/><Relationship Id="rId30" Type="http://schemas.openxmlformats.org/officeDocument/2006/relationships/hyperlink" Target="http://www.nevo.co.il/case/29591873" TargetMode="External"/><Relationship Id="rId35" Type="http://schemas.openxmlformats.org/officeDocument/2006/relationships/hyperlink" Target="http://www.nevo.co.il/case/25824863" TargetMode="External"/><Relationship Id="rId43" Type="http://schemas.openxmlformats.org/officeDocument/2006/relationships/hyperlink" Target="http://www.nevo.co.il/law/70301" TargetMode="External"/><Relationship Id="rId48" Type="http://schemas.openxmlformats.org/officeDocument/2006/relationships/footer" Target="footer2.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40c.a"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40i" TargetMode="External"/><Relationship Id="rId38" Type="http://schemas.openxmlformats.org/officeDocument/2006/relationships/hyperlink" Target="http://www.nevo.co.il/law/70301" TargetMode="External"/><Relationship Id="rId46" Type="http://schemas.openxmlformats.org/officeDocument/2006/relationships/header" Target="header2.xml"/><Relationship Id="rId20" Type="http://schemas.openxmlformats.org/officeDocument/2006/relationships/hyperlink" Target="http://www.nevo.co.il/law/70301" TargetMode="External"/><Relationship Id="rId41" Type="http://schemas.openxmlformats.org/officeDocument/2006/relationships/hyperlink" Target="http://www.nevo.co.il/law/70301/144.a"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2627</Words>
  <Characters>13139</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15735</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7995492</vt:i4>
      </vt:variant>
      <vt:variant>
        <vt:i4>108</vt:i4>
      </vt:variant>
      <vt:variant>
        <vt:i4>0</vt:i4>
      </vt:variant>
      <vt:variant>
        <vt:i4>5</vt:i4>
      </vt:variant>
      <vt:variant>
        <vt:lpwstr>http://www.nevo.co.il/law/70301</vt:lpwstr>
      </vt:variant>
      <vt:variant>
        <vt:lpwstr/>
      </vt:variant>
      <vt:variant>
        <vt:i4>5177424</vt:i4>
      </vt:variant>
      <vt:variant>
        <vt:i4>105</vt:i4>
      </vt:variant>
      <vt:variant>
        <vt:i4>0</vt:i4>
      </vt:variant>
      <vt:variant>
        <vt:i4>5</vt:i4>
      </vt:variant>
      <vt:variant>
        <vt:lpwstr>http://www.nevo.co.il/law/70301/144.b</vt:lpwstr>
      </vt:variant>
      <vt:variant>
        <vt:lpwstr/>
      </vt:variant>
      <vt:variant>
        <vt:i4>5177424</vt:i4>
      </vt:variant>
      <vt:variant>
        <vt:i4>102</vt:i4>
      </vt:variant>
      <vt:variant>
        <vt:i4>0</vt:i4>
      </vt:variant>
      <vt:variant>
        <vt:i4>5</vt:i4>
      </vt:variant>
      <vt:variant>
        <vt:lpwstr>http://www.nevo.co.il/law/70301/144.a</vt:lpwstr>
      </vt:variant>
      <vt:variant>
        <vt:lpwstr/>
      </vt:variant>
      <vt:variant>
        <vt:i4>3342453</vt:i4>
      </vt:variant>
      <vt:variant>
        <vt:i4>99</vt:i4>
      </vt:variant>
      <vt:variant>
        <vt:i4>0</vt:i4>
      </vt:variant>
      <vt:variant>
        <vt:i4>5</vt:i4>
      </vt:variant>
      <vt:variant>
        <vt:lpwstr>http://www.nevo.co.il/case/30315066</vt:lpwstr>
      </vt:variant>
      <vt:variant>
        <vt:lpwstr/>
      </vt:variant>
      <vt:variant>
        <vt:i4>3997811</vt:i4>
      </vt:variant>
      <vt:variant>
        <vt:i4>96</vt:i4>
      </vt:variant>
      <vt:variant>
        <vt:i4>0</vt:i4>
      </vt:variant>
      <vt:variant>
        <vt:i4>5</vt:i4>
      </vt:variant>
      <vt:variant>
        <vt:lpwstr>http://www.nevo.co.il/case/27925239</vt:lpwstr>
      </vt:variant>
      <vt:variant>
        <vt:lpwstr/>
      </vt:variant>
      <vt:variant>
        <vt:i4>7995492</vt:i4>
      </vt:variant>
      <vt:variant>
        <vt:i4>93</vt:i4>
      </vt:variant>
      <vt:variant>
        <vt:i4>0</vt:i4>
      </vt:variant>
      <vt:variant>
        <vt:i4>5</vt:i4>
      </vt:variant>
      <vt:variant>
        <vt:lpwstr>http://www.nevo.co.il/law/70301</vt:lpwstr>
      </vt:variant>
      <vt:variant>
        <vt:lpwstr/>
      </vt:variant>
      <vt:variant>
        <vt:i4>262155</vt:i4>
      </vt:variant>
      <vt:variant>
        <vt:i4>90</vt:i4>
      </vt:variant>
      <vt:variant>
        <vt:i4>0</vt:i4>
      </vt:variant>
      <vt:variant>
        <vt:i4>5</vt:i4>
      </vt:variant>
      <vt:variant>
        <vt:lpwstr>http://www.nevo.co.il/law/70301/40ja</vt:lpwstr>
      </vt:variant>
      <vt:variant>
        <vt:lpwstr/>
      </vt:variant>
      <vt:variant>
        <vt:i4>3932274</vt:i4>
      </vt:variant>
      <vt:variant>
        <vt:i4>87</vt:i4>
      </vt:variant>
      <vt:variant>
        <vt:i4>0</vt:i4>
      </vt:variant>
      <vt:variant>
        <vt:i4>5</vt:i4>
      </vt:variant>
      <vt:variant>
        <vt:lpwstr>http://www.nevo.co.il/case/29867910</vt:lpwstr>
      </vt:variant>
      <vt:variant>
        <vt:lpwstr/>
      </vt:variant>
      <vt:variant>
        <vt:i4>3670139</vt:i4>
      </vt:variant>
      <vt:variant>
        <vt:i4>84</vt:i4>
      </vt:variant>
      <vt:variant>
        <vt:i4>0</vt:i4>
      </vt:variant>
      <vt:variant>
        <vt:i4>5</vt:i4>
      </vt:variant>
      <vt:variant>
        <vt:lpwstr>http://www.nevo.co.il/case/25824863</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http://www.nevo.co.il/law/70301/40i</vt:lpwstr>
      </vt:variant>
      <vt:variant>
        <vt:lpwstr/>
      </vt:variant>
      <vt:variant>
        <vt:i4>3997808</vt:i4>
      </vt:variant>
      <vt:variant>
        <vt:i4>75</vt:i4>
      </vt:variant>
      <vt:variant>
        <vt:i4>0</vt:i4>
      </vt:variant>
      <vt:variant>
        <vt:i4>5</vt:i4>
      </vt:variant>
      <vt:variant>
        <vt:lpwstr>http://www.nevo.co.il/case/28852952</vt:lpwstr>
      </vt:variant>
      <vt:variant>
        <vt:lpwstr/>
      </vt:variant>
      <vt:variant>
        <vt:i4>3866747</vt:i4>
      </vt:variant>
      <vt:variant>
        <vt:i4>72</vt:i4>
      </vt:variant>
      <vt:variant>
        <vt:i4>0</vt:i4>
      </vt:variant>
      <vt:variant>
        <vt:i4>5</vt:i4>
      </vt:variant>
      <vt:variant>
        <vt:lpwstr>http://www.nevo.co.il/case/29243283</vt:lpwstr>
      </vt:variant>
      <vt:variant>
        <vt:lpwstr/>
      </vt:variant>
      <vt:variant>
        <vt:i4>3211388</vt:i4>
      </vt:variant>
      <vt:variant>
        <vt:i4>69</vt:i4>
      </vt:variant>
      <vt:variant>
        <vt:i4>0</vt:i4>
      </vt:variant>
      <vt:variant>
        <vt:i4>5</vt:i4>
      </vt:variant>
      <vt:variant>
        <vt:lpwstr>http://www.nevo.co.il/case/29591873</vt:lpwstr>
      </vt:variant>
      <vt:variant>
        <vt:lpwstr/>
      </vt:variant>
      <vt:variant>
        <vt:i4>3211386</vt:i4>
      </vt:variant>
      <vt:variant>
        <vt:i4>66</vt:i4>
      </vt:variant>
      <vt:variant>
        <vt:i4>0</vt:i4>
      </vt:variant>
      <vt:variant>
        <vt:i4>5</vt:i4>
      </vt:variant>
      <vt:variant>
        <vt:lpwstr>http://www.nevo.co.il/case/26913995</vt:lpwstr>
      </vt:variant>
      <vt:variant>
        <vt:lpwstr/>
      </vt:variant>
      <vt:variant>
        <vt:i4>3342462</vt:i4>
      </vt:variant>
      <vt:variant>
        <vt:i4>63</vt:i4>
      </vt:variant>
      <vt:variant>
        <vt:i4>0</vt:i4>
      </vt:variant>
      <vt:variant>
        <vt:i4>5</vt:i4>
      </vt:variant>
      <vt:variant>
        <vt:lpwstr>http://www.nevo.co.il/case/28567439</vt:lpwstr>
      </vt:variant>
      <vt:variant>
        <vt:lpwstr/>
      </vt:variant>
      <vt:variant>
        <vt:i4>3801203</vt:i4>
      </vt:variant>
      <vt:variant>
        <vt:i4>60</vt:i4>
      </vt:variant>
      <vt:variant>
        <vt:i4>0</vt:i4>
      </vt:variant>
      <vt:variant>
        <vt:i4>5</vt:i4>
      </vt:variant>
      <vt:variant>
        <vt:lpwstr>http://www.nevo.co.il/case/26986974</vt:lpwstr>
      </vt:variant>
      <vt:variant>
        <vt:lpwstr/>
      </vt:variant>
      <vt:variant>
        <vt:i4>3276924</vt:i4>
      </vt:variant>
      <vt:variant>
        <vt:i4>57</vt:i4>
      </vt:variant>
      <vt:variant>
        <vt:i4>0</vt:i4>
      </vt:variant>
      <vt:variant>
        <vt:i4>5</vt:i4>
      </vt:variant>
      <vt:variant>
        <vt:lpwstr>http://www.nevo.co.il/case/28400048</vt:lpwstr>
      </vt:variant>
      <vt:variant>
        <vt:lpwstr/>
      </vt:variant>
      <vt:variant>
        <vt:i4>7995492</vt:i4>
      </vt:variant>
      <vt:variant>
        <vt:i4>54</vt:i4>
      </vt:variant>
      <vt:variant>
        <vt:i4>0</vt:i4>
      </vt:variant>
      <vt:variant>
        <vt:i4>5</vt:i4>
      </vt:variant>
      <vt:variant>
        <vt:lpwstr>http://www.nevo.co.il/law/70301</vt:lpwstr>
      </vt:variant>
      <vt:variant>
        <vt:lpwstr/>
      </vt:variant>
      <vt:variant>
        <vt:i4>3670139</vt:i4>
      </vt:variant>
      <vt:variant>
        <vt:i4>51</vt:i4>
      </vt:variant>
      <vt:variant>
        <vt:i4>0</vt:i4>
      </vt:variant>
      <vt:variant>
        <vt:i4>5</vt:i4>
      </vt:variant>
      <vt:variant>
        <vt:lpwstr>http://www.nevo.co.il/case/25824863</vt:lpwstr>
      </vt:variant>
      <vt:variant>
        <vt:lpwstr/>
      </vt:variant>
      <vt:variant>
        <vt:i4>3932274</vt:i4>
      </vt:variant>
      <vt:variant>
        <vt:i4>48</vt:i4>
      </vt:variant>
      <vt:variant>
        <vt:i4>0</vt:i4>
      </vt:variant>
      <vt:variant>
        <vt:i4>5</vt:i4>
      </vt:variant>
      <vt:variant>
        <vt:lpwstr>http://www.nevo.co.il/case/29867910</vt:lpwstr>
      </vt:variant>
      <vt:variant>
        <vt:lpwstr/>
      </vt:variant>
      <vt:variant>
        <vt:i4>7995492</vt:i4>
      </vt:variant>
      <vt:variant>
        <vt:i4>45</vt:i4>
      </vt:variant>
      <vt:variant>
        <vt:i4>0</vt:i4>
      </vt:variant>
      <vt:variant>
        <vt:i4>5</vt:i4>
      </vt:variant>
      <vt:variant>
        <vt:lpwstr>http://www.nevo.co.il/law/70301</vt:lpwstr>
      </vt:variant>
      <vt:variant>
        <vt:lpwstr/>
      </vt:variant>
      <vt:variant>
        <vt:i4>3997808</vt:i4>
      </vt:variant>
      <vt:variant>
        <vt:i4>42</vt:i4>
      </vt:variant>
      <vt:variant>
        <vt:i4>0</vt:i4>
      </vt:variant>
      <vt:variant>
        <vt:i4>5</vt:i4>
      </vt:variant>
      <vt:variant>
        <vt:lpwstr>http://www.nevo.co.il/case/29650897</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http://www.nevo.co.il/law/70301/40b</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4915202</vt:i4>
      </vt:variant>
      <vt:variant>
        <vt:i4>30</vt:i4>
      </vt:variant>
      <vt:variant>
        <vt:i4>0</vt:i4>
      </vt:variant>
      <vt:variant>
        <vt:i4>5</vt:i4>
      </vt:variant>
      <vt:variant>
        <vt:lpwstr>http://www.nevo.co.il/law/70301/40c.a</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2025-01-19T17:54:00Z</dcterms:created>
  <dcterms:modified xsi:type="dcterms:W3CDTF">2025-01-19T17:54:00Z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66110</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 תביעות נגב</vt:lpwstr>
  </property>
  <property fmtid="{D5CDD505-2E9C-101B-9397-08002B2CF9AE}" pid="9" name="APPELLEE">
    <vt:lpwstr>אנור דבאבסה</vt:lpwstr>
  </property>
  <property fmtid="{D5CDD505-2E9C-101B-9397-08002B2CF9AE}" pid="10" name="LAWYER">
    <vt:lpwstr>שוקרי אבו טביק</vt:lpwstr>
  </property>
  <property fmtid="{D5CDD505-2E9C-101B-9397-08002B2CF9AE}" pid="11" name="JUDGE">
    <vt:lpwstr>יריב בן דוד</vt:lpwstr>
  </property>
  <property fmtid="{D5CDD505-2E9C-101B-9397-08002B2CF9AE}" pid="12" name="CITY">
    <vt:lpwstr>ב"ש</vt:lpwstr>
  </property>
  <property fmtid="{D5CDD505-2E9C-101B-9397-08002B2CF9AE}" pid="13" name="DATE">
    <vt:lpwstr>20240613</vt:lpwstr>
  </property>
  <property fmtid="{D5CDD505-2E9C-101B-9397-08002B2CF9AE}" pid="14" name="TYPE_N_DATE">
    <vt:lpwstr>38020240613</vt:lpwstr>
  </property>
  <property fmtid="{D5CDD505-2E9C-101B-9397-08002B2CF9AE}" pid="15" name="CASESLISTTMP1">
    <vt:lpwstr>29650897;29867910:2;25824863:2;28400048;26986974;28567439;26913995;29591873;29243283;28852952;27925239;30315066</vt:lpwstr>
  </property>
  <property fmtid="{D5CDD505-2E9C-101B-9397-08002B2CF9AE}" pid="16" name="WORDNUMPAGES">
    <vt:lpwstr>9</vt:lpwstr>
  </property>
  <property fmtid="{D5CDD505-2E9C-101B-9397-08002B2CF9AE}" pid="17" name="TYPE_ABS_DATE">
    <vt:lpwstr>380020240613</vt:lpwstr>
  </property>
  <property fmtid="{D5CDD505-2E9C-101B-9397-08002B2CF9AE}" pid="18" name="ISABSTRACT">
    <vt:lpwstr>Y</vt:lpwstr>
  </property>
  <property fmtid="{D5CDD505-2E9C-101B-9397-08002B2CF9AE}" pid="19" name="LAWLISTTMP1">
    <vt:lpwstr>70301/144.a:3;040c.a;040b;040i;40ja;144.b</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ies>
</file>