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385539" w:rsidRPr="00843C3E" w14:paraId="20891599" w14:textId="77777777" w:rsidTr="0090456E">
        <w:trPr>
          <w:trHeight w:hRule="exact" w:val="418"/>
          <w:jc w:val="center"/>
        </w:trPr>
        <w:tc>
          <w:tcPr>
            <w:tcW w:w="8721" w:type="dxa"/>
            <w:gridSpan w:val="2"/>
          </w:tcPr>
          <w:p w14:paraId="795DDA35" w14:textId="77777777" w:rsidR="00385539" w:rsidRPr="00843C3E" w:rsidRDefault="00385539" w:rsidP="00C31FC4">
            <w:pPr>
              <w:pStyle w:val="a3"/>
              <w:jc w:val="center"/>
              <w:rPr>
                <w:rFonts w:ascii="Tahoma" w:hAnsi="Tahoma" w:cs="Tahoma"/>
                <w:color w:val="000080"/>
                <w:rtl/>
              </w:rPr>
            </w:pPr>
            <w:r w:rsidRPr="00843C3E">
              <w:rPr>
                <w:rFonts w:ascii="Tahoma" w:hAnsi="Tahoma" w:cs="Tahoma"/>
                <w:b/>
                <w:bCs/>
                <w:color w:val="000080"/>
                <w:rtl/>
              </w:rPr>
              <w:t>בית משפט השלום בקריות</w:t>
            </w:r>
          </w:p>
        </w:tc>
      </w:tr>
      <w:tr w:rsidR="00385539" w:rsidRPr="00843C3E" w14:paraId="3B0B515C" w14:textId="77777777" w:rsidTr="0090456E">
        <w:trPr>
          <w:trHeight w:val="337"/>
          <w:jc w:val="center"/>
        </w:trPr>
        <w:tc>
          <w:tcPr>
            <w:tcW w:w="5063" w:type="dxa"/>
          </w:tcPr>
          <w:p w14:paraId="460E4940" w14:textId="77777777" w:rsidR="00385539" w:rsidRPr="00843C3E" w:rsidRDefault="00385539" w:rsidP="00C31FC4">
            <w:pPr>
              <w:rPr>
                <w:rFonts w:cs="FrankRuehl"/>
                <w:sz w:val="28"/>
                <w:szCs w:val="28"/>
                <w:rtl/>
              </w:rPr>
            </w:pPr>
            <w:r w:rsidRPr="00843C3E">
              <w:rPr>
                <w:rFonts w:cs="FrankRuehl"/>
                <w:sz w:val="28"/>
                <w:szCs w:val="28"/>
                <w:rtl/>
              </w:rPr>
              <w:t>ת"פ</w:t>
            </w:r>
            <w:r w:rsidRPr="00843C3E">
              <w:rPr>
                <w:rFonts w:cs="FrankRuehl" w:hint="cs"/>
                <w:sz w:val="28"/>
                <w:szCs w:val="28"/>
                <w:rtl/>
              </w:rPr>
              <w:t xml:space="preserve"> </w:t>
            </w:r>
            <w:r w:rsidRPr="00843C3E">
              <w:rPr>
                <w:rFonts w:cs="FrankRuehl"/>
                <w:sz w:val="28"/>
                <w:szCs w:val="28"/>
                <w:rtl/>
              </w:rPr>
              <w:t>7520-02-24</w:t>
            </w:r>
            <w:r w:rsidRPr="00843C3E">
              <w:rPr>
                <w:rFonts w:cs="FrankRuehl" w:hint="cs"/>
                <w:sz w:val="28"/>
                <w:szCs w:val="28"/>
                <w:rtl/>
              </w:rPr>
              <w:t xml:space="preserve"> </w:t>
            </w:r>
            <w:r w:rsidRPr="00843C3E">
              <w:rPr>
                <w:rFonts w:cs="FrankRuehl"/>
                <w:sz w:val="28"/>
                <w:szCs w:val="28"/>
                <w:rtl/>
              </w:rPr>
              <w:t>מדינת ישראל נ' שמעון(עצור/אסיר בפיקוח)</w:t>
            </w:r>
          </w:p>
          <w:p w14:paraId="2D1CFEB5" w14:textId="77777777" w:rsidR="00385539" w:rsidRPr="00843C3E" w:rsidRDefault="00385539" w:rsidP="00C31FC4">
            <w:pPr>
              <w:pStyle w:val="a3"/>
              <w:rPr>
                <w:rFonts w:cs="FrankRuehl"/>
                <w:sz w:val="28"/>
                <w:szCs w:val="28"/>
                <w:rtl/>
              </w:rPr>
            </w:pPr>
          </w:p>
        </w:tc>
        <w:tc>
          <w:tcPr>
            <w:tcW w:w="3658" w:type="dxa"/>
          </w:tcPr>
          <w:p w14:paraId="4C643328" w14:textId="77777777" w:rsidR="00385539" w:rsidRPr="00843C3E" w:rsidRDefault="00385539" w:rsidP="00C31FC4">
            <w:pPr>
              <w:pStyle w:val="a3"/>
              <w:jc w:val="right"/>
              <w:rPr>
                <w:rFonts w:cs="FrankRuehl"/>
                <w:sz w:val="28"/>
                <w:szCs w:val="28"/>
                <w:rtl/>
              </w:rPr>
            </w:pPr>
          </w:p>
        </w:tc>
      </w:tr>
    </w:tbl>
    <w:p w14:paraId="3C3D095E" w14:textId="77777777" w:rsidR="00385539" w:rsidRPr="00843C3E" w:rsidRDefault="00385539" w:rsidP="00385539">
      <w:pPr>
        <w:pStyle w:val="a3"/>
        <w:rPr>
          <w:rtl/>
        </w:rPr>
      </w:pPr>
      <w:r w:rsidRPr="00843C3E">
        <w:rPr>
          <w:rFonts w:hint="cs"/>
          <w:rtl/>
        </w:rPr>
        <w:t xml:space="preserve"> </w:t>
      </w:r>
    </w:p>
    <w:tbl>
      <w:tblPr>
        <w:bidiVisual/>
        <w:tblW w:w="9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5095"/>
        <w:gridCol w:w="3263"/>
      </w:tblGrid>
      <w:tr w:rsidR="00385539" w:rsidRPr="00843C3E" w14:paraId="13DF1242" w14:textId="77777777" w:rsidTr="00385539">
        <w:trPr>
          <w:trHeight w:val="345"/>
          <w:jc w:val="center"/>
        </w:trPr>
        <w:tc>
          <w:tcPr>
            <w:tcW w:w="957" w:type="dxa"/>
            <w:tcBorders>
              <w:top w:val="nil"/>
              <w:left w:val="nil"/>
              <w:bottom w:val="nil"/>
              <w:right w:val="nil"/>
            </w:tcBorders>
            <w:shd w:val="clear" w:color="auto" w:fill="auto"/>
          </w:tcPr>
          <w:p w14:paraId="0C9D37EA" w14:textId="77777777" w:rsidR="00385539" w:rsidRPr="00843C3E" w:rsidRDefault="00385539" w:rsidP="00385539">
            <w:pPr>
              <w:jc w:val="both"/>
              <w:rPr>
                <w:rFonts w:ascii="David" w:hAnsi="David"/>
                <w:b/>
                <w:bCs/>
              </w:rPr>
            </w:pPr>
            <w:r w:rsidRPr="00843C3E">
              <w:rPr>
                <w:rFonts w:ascii="David" w:hAnsi="David"/>
                <w:b/>
                <w:bCs/>
                <w:rtl/>
              </w:rPr>
              <w:t xml:space="preserve">בפני </w:t>
            </w:r>
          </w:p>
        </w:tc>
        <w:tc>
          <w:tcPr>
            <w:tcW w:w="8358" w:type="dxa"/>
            <w:gridSpan w:val="2"/>
            <w:tcBorders>
              <w:top w:val="nil"/>
              <w:left w:val="nil"/>
              <w:bottom w:val="nil"/>
              <w:right w:val="nil"/>
            </w:tcBorders>
            <w:shd w:val="clear" w:color="auto" w:fill="auto"/>
          </w:tcPr>
          <w:p w14:paraId="0676BA8B" w14:textId="77777777" w:rsidR="00385539" w:rsidRPr="00843C3E" w:rsidRDefault="00385539" w:rsidP="00C31FC4">
            <w:pPr>
              <w:rPr>
                <w:rFonts w:ascii="David" w:hAnsi="David"/>
                <w:b/>
                <w:bCs/>
              </w:rPr>
            </w:pPr>
            <w:r w:rsidRPr="00843C3E">
              <w:rPr>
                <w:rFonts w:ascii="Arial" w:hAnsi="Arial"/>
                <w:b/>
                <w:bCs/>
                <w:rtl/>
              </w:rPr>
              <w:t>כב' השופט יוסי טורס , סגן הנשיאה</w:t>
            </w:r>
          </w:p>
        </w:tc>
      </w:tr>
      <w:tr w:rsidR="00385539" w:rsidRPr="00843C3E" w14:paraId="05DACAB9" w14:textId="77777777" w:rsidTr="00385539">
        <w:trPr>
          <w:trHeight w:val="345"/>
          <w:jc w:val="center"/>
        </w:trPr>
        <w:tc>
          <w:tcPr>
            <w:tcW w:w="957" w:type="dxa"/>
            <w:tcBorders>
              <w:top w:val="nil"/>
              <w:left w:val="nil"/>
              <w:bottom w:val="nil"/>
              <w:right w:val="nil"/>
            </w:tcBorders>
            <w:shd w:val="clear" w:color="auto" w:fill="auto"/>
          </w:tcPr>
          <w:p w14:paraId="6FCC2472" w14:textId="77777777" w:rsidR="00385539" w:rsidRPr="00843C3E" w:rsidRDefault="00385539" w:rsidP="00385539">
            <w:pPr>
              <w:jc w:val="both"/>
              <w:rPr>
                <w:rFonts w:ascii="David" w:hAnsi="David"/>
                <w:b/>
                <w:bCs/>
                <w:rtl/>
              </w:rPr>
            </w:pPr>
            <w:bookmarkStart w:id="0" w:name="LastJudge"/>
            <w:bookmarkEnd w:id="0"/>
          </w:p>
          <w:p w14:paraId="059F2BA5" w14:textId="77777777" w:rsidR="00385539" w:rsidRPr="00843C3E" w:rsidRDefault="00385539" w:rsidP="00385539">
            <w:pPr>
              <w:jc w:val="both"/>
              <w:rPr>
                <w:rFonts w:ascii="David" w:hAnsi="David"/>
                <w:b/>
                <w:bCs/>
                <w:rtl/>
              </w:rPr>
            </w:pPr>
          </w:p>
        </w:tc>
        <w:tc>
          <w:tcPr>
            <w:tcW w:w="8358" w:type="dxa"/>
            <w:gridSpan w:val="2"/>
            <w:tcBorders>
              <w:top w:val="nil"/>
              <w:left w:val="nil"/>
              <w:bottom w:val="nil"/>
              <w:right w:val="nil"/>
            </w:tcBorders>
            <w:shd w:val="clear" w:color="auto" w:fill="auto"/>
          </w:tcPr>
          <w:p w14:paraId="465A00BA" w14:textId="77777777" w:rsidR="00385539" w:rsidRPr="00843C3E" w:rsidRDefault="00385539" w:rsidP="00C31FC4">
            <w:pPr>
              <w:rPr>
                <w:rFonts w:ascii="Arial" w:hAnsi="Arial"/>
                <w:b/>
                <w:bCs/>
                <w:rtl/>
              </w:rPr>
            </w:pPr>
          </w:p>
        </w:tc>
      </w:tr>
      <w:tr w:rsidR="00385539" w:rsidRPr="00843C3E" w14:paraId="041AD72F" w14:textId="77777777" w:rsidTr="00385539">
        <w:trPr>
          <w:trHeight w:val="415"/>
          <w:jc w:val="center"/>
        </w:trPr>
        <w:tc>
          <w:tcPr>
            <w:tcW w:w="957" w:type="dxa"/>
            <w:tcBorders>
              <w:top w:val="nil"/>
              <w:left w:val="nil"/>
              <w:bottom w:val="nil"/>
              <w:right w:val="nil"/>
            </w:tcBorders>
            <w:shd w:val="clear" w:color="auto" w:fill="auto"/>
          </w:tcPr>
          <w:p w14:paraId="359FC4F1" w14:textId="77777777" w:rsidR="00385539" w:rsidRPr="00843C3E" w:rsidRDefault="00385539" w:rsidP="00385539">
            <w:pPr>
              <w:jc w:val="both"/>
              <w:rPr>
                <w:rFonts w:ascii="David" w:hAnsi="David"/>
                <w:b/>
                <w:bCs/>
                <w:rtl/>
              </w:rPr>
            </w:pPr>
            <w:bookmarkStart w:id="1" w:name="FirstAppellant"/>
          </w:p>
          <w:p w14:paraId="4D53320F" w14:textId="77777777" w:rsidR="00385539" w:rsidRPr="00843C3E" w:rsidRDefault="00385539" w:rsidP="00385539">
            <w:pPr>
              <w:jc w:val="both"/>
              <w:rPr>
                <w:rFonts w:ascii="David" w:hAnsi="David"/>
                <w:b/>
                <w:bCs/>
              </w:rPr>
            </w:pPr>
            <w:r w:rsidRPr="00843C3E">
              <w:rPr>
                <w:rFonts w:ascii="David" w:hAnsi="David"/>
                <w:b/>
                <w:bCs/>
                <w:rtl/>
              </w:rPr>
              <w:t>בעניין:</w:t>
            </w:r>
          </w:p>
        </w:tc>
        <w:tc>
          <w:tcPr>
            <w:tcW w:w="5095" w:type="dxa"/>
            <w:tcBorders>
              <w:top w:val="nil"/>
              <w:left w:val="nil"/>
              <w:bottom w:val="nil"/>
              <w:right w:val="nil"/>
            </w:tcBorders>
            <w:shd w:val="clear" w:color="auto" w:fill="auto"/>
          </w:tcPr>
          <w:p w14:paraId="0BB4417E" w14:textId="77777777" w:rsidR="00385539" w:rsidRPr="00843C3E" w:rsidRDefault="00385539" w:rsidP="00C31FC4">
            <w:pPr>
              <w:rPr>
                <w:rFonts w:ascii="David" w:hAnsi="David"/>
                <w:b/>
                <w:bCs/>
              </w:rPr>
            </w:pPr>
            <w:r w:rsidRPr="00843C3E">
              <w:rPr>
                <w:rFonts w:ascii="David" w:hAnsi="David"/>
                <w:b/>
                <w:bCs/>
                <w:rtl/>
              </w:rPr>
              <w:br/>
              <w:t>מדינת ישראל</w:t>
            </w:r>
          </w:p>
        </w:tc>
        <w:tc>
          <w:tcPr>
            <w:tcW w:w="3263" w:type="dxa"/>
            <w:tcBorders>
              <w:top w:val="nil"/>
              <w:left w:val="nil"/>
              <w:bottom w:val="nil"/>
              <w:right w:val="nil"/>
            </w:tcBorders>
            <w:shd w:val="clear" w:color="auto" w:fill="auto"/>
          </w:tcPr>
          <w:p w14:paraId="1D4142A9" w14:textId="77777777" w:rsidR="00385539" w:rsidRPr="00843C3E" w:rsidRDefault="00385539" w:rsidP="00385539">
            <w:pPr>
              <w:jc w:val="both"/>
              <w:rPr>
                <w:rFonts w:ascii="David" w:hAnsi="David"/>
                <w:b/>
                <w:bCs/>
                <w:rtl/>
              </w:rPr>
            </w:pPr>
          </w:p>
          <w:p w14:paraId="6BA71699" w14:textId="77777777" w:rsidR="00385539" w:rsidRPr="00843C3E" w:rsidRDefault="00385539" w:rsidP="00385539">
            <w:pPr>
              <w:jc w:val="both"/>
              <w:rPr>
                <w:rFonts w:ascii="David" w:hAnsi="David"/>
                <w:b/>
                <w:bCs/>
              </w:rPr>
            </w:pPr>
            <w:r w:rsidRPr="00843C3E">
              <w:rPr>
                <w:rFonts w:ascii="David" w:hAnsi="David"/>
                <w:b/>
                <w:bCs/>
                <w:rtl/>
              </w:rPr>
              <w:t>המאשימה</w:t>
            </w:r>
          </w:p>
        </w:tc>
      </w:tr>
      <w:bookmarkEnd w:id="1"/>
      <w:tr w:rsidR="00385539" w:rsidRPr="00843C3E" w14:paraId="2A99B6C4" w14:textId="77777777" w:rsidTr="00385539">
        <w:trPr>
          <w:trHeight w:val="415"/>
          <w:jc w:val="center"/>
        </w:trPr>
        <w:tc>
          <w:tcPr>
            <w:tcW w:w="957" w:type="dxa"/>
            <w:tcBorders>
              <w:top w:val="nil"/>
              <w:left w:val="nil"/>
              <w:bottom w:val="nil"/>
              <w:right w:val="nil"/>
            </w:tcBorders>
            <w:shd w:val="clear" w:color="auto" w:fill="auto"/>
          </w:tcPr>
          <w:p w14:paraId="14BDD342" w14:textId="77777777" w:rsidR="00385539" w:rsidRPr="00843C3E" w:rsidRDefault="00385539" w:rsidP="00385539">
            <w:pPr>
              <w:jc w:val="both"/>
              <w:rPr>
                <w:rFonts w:ascii="David" w:hAnsi="David"/>
                <w:b/>
                <w:bCs/>
                <w:rtl/>
              </w:rPr>
            </w:pPr>
          </w:p>
        </w:tc>
        <w:tc>
          <w:tcPr>
            <w:tcW w:w="8358" w:type="dxa"/>
            <w:gridSpan w:val="2"/>
            <w:tcBorders>
              <w:top w:val="nil"/>
              <w:left w:val="nil"/>
              <w:bottom w:val="nil"/>
              <w:right w:val="nil"/>
            </w:tcBorders>
            <w:shd w:val="clear" w:color="auto" w:fill="auto"/>
          </w:tcPr>
          <w:p w14:paraId="515E52C2" w14:textId="77777777" w:rsidR="00385539" w:rsidRPr="00843C3E" w:rsidRDefault="00385539" w:rsidP="00C31FC4">
            <w:pPr>
              <w:rPr>
                <w:rFonts w:ascii="David" w:hAnsi="David"/>
                <w:b/>
                <w:bCs/>
              </w:rPr>
            </w:pPr>
            <w:r w:rsidRPr="00843C3E">
              <w:rPr>
                <w:rFonts w:ascii="David" w:hAnsi="David" w:hint="cs"/>
                <w:b/>
                <w:bCs/>
                <w:rtl/>
              </w:rPr>
              <w:t xml:space="preserve">                                                   </w:t>
            </w:r>
            <w:r w:rsidRPr="00843C3E">
              <w:rPr>
                <w:rFonts w:ascii="David" w:hAnsi="David"/>
                <w:b/>
                <w:bCs/>
                <w:rtl/>
              </w:rPr>
              <w:t>נגד</w:t>
            </w:r>
          </w:p>
        </w:tc>
      </w:tr>
      <w:tr w:rsidR="00385539" w:rsidRPr="00843C3E" w14:paraId="324B8EBD" w14:textId="77777777" w:rsidTr="00385539">
        <w:trPr>
          <w:trHeight w:val="415"/>
          <w:jc w:val="center"/>
        </w:trPr>
        <w:tc>
          <w:tcPr>
            <w:tcW w:w="957" w:type="dxa"/>
            <w:tcBorders>
              <w:top w:val="nil"/>
              <w:left w:val="nil"/>
              <w:bottom w:val="nil"/>
              <w:right w:val="nil"/>
            </w:tcBorders>
            <w:shd w:val="clear" w:color="auto" w:fill="auto"/>
          </w:tcPr>
          <w:p w14:paraId="66055252" w14:textId="77777777" w:rsidR="00385539" w:rsidRPr="00843C3E" w:rsidRDefault="00385539" w:rsidP="00C31FC4">
            <w:pPr>
              <w:rPr>
                <w:rFonts w:ascii="David" w:hAnsi="David"/>
                <w:b/>
                <w:bCs/>
                <w:rtl/>
              </w:rPr>
            </w:pPr>
          </w:p>
        </w:tc>
        <w:tc>
          <w:tcPr>
            <w:tcW w:w="5095" w:type="dxa"/>
            <w:tcBorders>
              <w:top w:val="nil"/>
              <w:left w:val="nil"/>
              <w:bottom w:val="nil"/>
              <w:right w:val="nil"/>
            </w:tcBorders>
            <w:shd w:val="clear" w:color="auto" w:fill="auto"/>
          </w:tcPr>
          <w:p w14:paraId="7533FAD0" w14:textId="77777777" w:rsidR="00385539" w:rsidRPr="00843C3E" w:rsidRDefault="00385539" w:rsidP="00C31FC4">
            <w:pPr>
              <w:rPr>
                <w:rFonts w:ascii="David" w:hAnsi="David"/>
                <w:b/>
                <w:bCs/>
                <w:rtl/>
              </w:rPr>
            </w:pPr>
            <w:r w:rsidRPr="00843C3E">
              <w:rPr>
                <w:rFonts w:ascii="David" w:hAnsi="David"/>
                <w:b/>
                <w:bCs/>
                <w:rtl/>
              </w:rPr>
              <w:br/>
            </w:r>
            <w:r w:rsidRPr="00843C3E">
              <w:rPr>
                <w:rFonts w:ascii="David" w:hAnsi="David"/>
                <w:b/>
                <w:bCs/>
                <w:rtl/>
              </w:rPr>
              <w:br/>
            </w:r>
            <w:r w:rsidRPr="00843C3E">
              <w:rPr>
                <w:rFonts w:ascii="David" w:hAnsi="David"/>
                <w:b/>
                <w:bCs/>
                <w:rtl/>
              </w:rPr>
              <w:br/>
              <w:t xml:space="preserve">נעם שמעון </w:t>
            </w:r>
          </w:p>
        </w:tc>
        <w:tc>
          <w:tcPr>
            <w:tcW w:w="3263" w:type="dxa"/>
            <w:tcBorders>
              <w:top w:val="nil"/>
              <w:left w:val="nil"/>
              <w:bottom w:val="nil"/>
              <w:right w:val="nil"/>
            </w:tcBorders>
            <w:shd w:val="clear" w:color="auto" w:fill="auto"/>
          </w:tcPr>
          <w:p w14:paraId="6629F466" w14:textId="77777777" w:rsidR="00385539" w:rsidRPr="00843C3E" w:rsidRDefault="00385539" w:rsidP="00C31FC4">
            <w:pPr>
              <w:rPr>
                <w:rFonts w:ascii="David" w:hAnsi="David"/>
                <w:b/>
                <w:bCs/>
                <w:rtl/>
              </w:rPr>
            </w:pPr>
          </w:p>
          <w:p w14:paraId="7291CA30" w14:textId="77777777" w:rsidR="00385539" w:rsidRPr="00843C3E" w:rsidRDefault="00385539" w:rsidP="00C31FC4">
            <w:pPr>
              <w:rPr>
                <w:rFonts w:ascii="David" w:hAnsi="David"/>
                <w:b/>
                <w:bCs/>
                <w:rtl/>
              </w:rPr>
            </w:pPr>
          </w:p>
          <w:p w14:paraId="5E068B2C" w14:textId="77777777" w:rsidR="00385539" w:rsidRPr="00843C3E" w:rsidRDefault="00385539" w:rsidP="00C31FC4">
            <w:pPr>
              <w:rPr>
                <w:rFonts w:ascii="David" w:hAnsi="David"/>
                <w:b/>
                <w:bCs/>
                <w:rtl/>
              </w:rPr>
            </w:pPr>
          </w:p>
          <w:p w14:paraId="3C15FB04" w14:textId="77777777" w:rsidR="00385539" w:rsidRPr="00843C3E" w:rsidRDefault="00385539" w:rsidP="00C31FC4">
            <w:pPr>
              <w:rPr>
                <w:rFonts w:ascii="David" w:hAnsi="David"/>
                <w:b/>
                <w:bCs/>
              </w:rPr>
            </w:pPr>
            <w:r w:rsidRPr="00843C3E">
              <w:rPr>
                <w:rFonts w:ascii="David" w:hAnsi="David"/>
                <w:b/>
                <w:bCs/>
                <w:rtl/>
              </w:rPr>
              <w:t>הנאש</w:t>
            </w:r>
            <w:r w:rsidRPr="00843C3E">
              <w:rPr>
                <w:rFonts w:ascii="David" w:hAnsi="David" w:hint="cs"/>
                <w:b/>
                <w:bCs/>
                <w:rtl/>
              </w:rPr>
              <w:t>ם</w:t>
            </w:r>
          </w:p>
        </w:tc>
      </w:tr>
    </w:tbl>
    <w:p w14:paraId="17AFAAAD" w14:textId="77777777" w:rsidR="00385539" w:rsidRPr="00843C3E" w:rsidRDefault="00385539" w:rsidP="00385539">
      <w:pPr>
        <w:rPr>
          <w:sz w:val="26"/>
          <w:szCs w:val="26"/>
        </w:rPr>
      </w:pPr>
    </w:p>
    <w:p w14:paraId="4933634C" w14:textId="77777777" w:rsidR="00843C3E" w:rsidRPr="00843C3E" w:rsidRDefault="00843C3E" w:rsidP="00385539">
      <w:pPr>
        <w:rPr>
          <w:rFonts w:ascii="David" w:hAnsi="David"/>
          <w:rtl/>
        </w:rPr>
      </w:pPr>
    </w:p>
    <w:p w14:paraId="53753A24" w14:textId="77777777" w:rsidR="00843C3E" w:rsidRPr="00843C3E" w:rsidRDefault="00843C3E" w:rsidP="00843C3E">
      <w:pPr>
        <w:spacing w:after="120" w:line="240" w:lineRule="exact"/>
        <w:ind w:left="283" w:hanging="283"/>
        <w:jc w:val="both"/>
        <w:rPr>
          <w:rFonts w:ascii="FrankRuehl" w:hAnsi="FrankRuehl" w:cs="FrankRuehl"/>
          <w:rtl/>
        </w:rPr>
      </w:pPr>
      <w:bookmarkStart w:id="2" w:name="Links_Start"/>
      <w:bookmarkEnd w:id="2"/>
      <w:r w:rsidRPr="00843C3E">
        <w:rPr>
          <w:rFonts w:ascii="FrankRuehl" w:hAnsi="FrankRuehl" w:cs="FrankRuehl"/>
          <w:rtl/>
        </w:rPr>
        <w:t>ספרות:</w:t>
      </w:r>
    </w:p>
    <w:p w14:paraId="5344679F" w14:textId="77777777" w:rsidR="00843C3E" w:rsidRPr="00843C3E" w:rsidRDefault="00843C3E" w:rsidP="00843C3E">
      <w:pPr>
        <w:spacing w:after="120" w:line="240" w:lineRule="exact"/>
        <w:ind w:left="283" w:hanging="283"/>
        <w:jc w:val="both"/>
        <w:rPr>
          <w:rStyle w:val="Hyperlink"/>
          <w:rFonts w:ascii="FrankRuehl" w:hAnsi="FrankRuehl" w:cs="FrankRuehl"/>
          <w:color w:val="0000FF"/>
          <w:u w:val="none"/>
          <w:rtl/>
        </w:rPr>
      </w:pPr>
      <w:r w:rsidRPr="00843C3E">
        <w:rPr>
          <w:rFonts w:ascii="FrankRuehl" w:hAnsi="FrankRuehl" w:cs="FrankRuehl"/>
          <w:color w:val="0000FF"/>
          <w:rtl/>
        </w:rPr>
        <w:fldChar w:fldCharType="begin"/>
      </w:r>
      <w:r w:rsidRPr="00843C3E">
        <w:rPr>
          <w:rFonts w:ascii="FrankRuehl" w:hAnsi="FrankRuehl" w:cs="FrankRuehl"/>
          <w:color w:val="0000FF"/>
          <w:rtl/>
        </w:rPr>
        <w:instrText xml:space="preserve"> </w:instrText>
      </w:r>
      <w:r w:rsidRPr="00843C3E">
        <w:rPr>
          <w:rFonts w:ascii="FrankRuehl" w:hAnsi="FrankRuehl" w:cs="FrankRuehl"/>
          <w:color w:val="0000FF"/>
        </w:rPr>
        <w:instrText xml:space="preserve">HYPERLINK </w:instrText>
      </w:r>
      <w:r w:rsidRPr="00843C3E">
        <w:rPr>
          <w:rFonts w:ascii="FrankRuehl" w:hAnsi="FrankRuehl" w:cs="FrankRuehl"/>
          <w:color w:val="0000FF"/>
          <w:rtl/>
        </w:rPr>
        <w:instrText>"</w:instrText>
      </w:r>
      <w:r w:rsidRPr="00843C3E">
        <w:rPr>
          <w:rFonts w:ascii="FrankRuehl" w:hAnsi="FrankRuehl" w:cs="FrankRuehl"/>
          <w:color w:val="0000FF"/>
        </w:rPr>
        <w:instrText>http://www.nevo.co.il/safrut/bookgroup/2258"</w:instrText>
      </w:r>
      <w:r w:rsidRPr="00843C3E">
        <w:rPr>
          <w:rFonts w:ascii="FrankRuehl" w:hAnsi="FrankRuehl" w:cs="FrankRuehl"/>
          <w:color w:val="0000FF"/>
          <w:rtl/>
        </w:rPr>
        <w:instrText xml:space="preserve"> </w:instrText>
      </w:r>
      <w:r w:rsidRPr="00843C3E">
        <w:rPr>
          <w:rFonts w:ascii="FrankRuehl" w:hAnsi="FrankRuehl" w:cs="FrankRuehl"/>
          <w:color w:val="0000FF"/>
          <w:rtl/>
        </w:rPr>
      </w:r>
      <w:r w:rsidRPr="00843C3E">
        <w:rPr>
          <w:rFonts w:ascii="FrankRuehl" w:hAnsi="FrankRuehl" w:cs="FrankRuehl"/>
          <w:color w:val="0000FF"/>
          <w:rtl/>
        </w:rPr>
        <w:fldChar w:fldCharType="separate"/>
      </w:r>
      <w:r w:rsidRPr="00843C3E">
        <w:rPr>
          <w:rStyle w:val="Hyperlink"/>
          <w:rFonts w:ascii="FrankRuehl" w:hAnsi="FrankRuehl" w:cs="FrankRuehl"/>
          <w:color w:val="0000FF"/>
          <w:u w:val="none"/>
          <w:rtl/>
        </w:rPr>
        <w:t xml:space="preserve">יורם רבין, יניב ואקי  </w:t>
      </w:r>
      <w:r w:rsidRPr="00843C3E">
        <w:rPr>
          <w:rStyle w:val="Hyperlink"/>
          <w:rFonts w:ascii="FrankRuehl" w:hAnsi="FrankRuehl" w:cs="FrankRuehl"/>
          <w:color w:val="0000FF"/>
          <w:u w:val="none"/>
        </w:rPr>
        <w:t xml:space="preserve"> </w:t>
      </w:r>
      <w:r w:rsidRPr="00843C3E">
        <w:rPr>
          <w:rStyle w:val="Hyperlink"/>
          <w:rFonts w:ascii="FrankRuehl" w:hAnsi="FrankRuehl" w:cs="FrankRuehl"/>
          <w:b/>
          <w:bCs/>
          <w:color w:val="0000FF"/>
          <w:u w:val="none"/>
          <w:rtl/>
        </w:rPr>
        <w:t xml:space="preserve">דיני עונשין </w:t>
      </w:r>
    </w:p>
    <w:p w14:paraId="024811DC" w14:textId="77777777" w:rsidR="00843C3E" w:rsidRPr="00843C3E" w:rsidRDefault="00843C3E" w:rsidP="00843C3E">
      <w:pPr>
        <w:spacing w:before="120" w:after="120" w:line="240" w:lineRule="exact"/>
        <w:ind w:left="283" w:hanging="283"/>
        <w:jc w:val="both"/>
        <w:rPr>
          <w:rFonts w:ascii="FrankRuehl" w:hAnsi="FrankRuehl" w:cs="FrankRuehl"/>
          <w:rtl/>
        </w:rPr>
      </w:pPr>
      <w:r w:rsidRPr="00843C3E">
        <w:rPr>
          <w:rFonts w:ascii="FrankRuehl" w:hAnsi="FrankRuehl" w:cs="FrankRuehl"/>
          <w:color w:val="0000FF"/>
          <w:rtl/>
        </w:rPr>
        <w:fldChar w:fldCharType="end"/>
      </w:r>
      <w:bookmarkStart w:id="3" w:name="Links_End"/>
      <w:bookmarkEnd w:id="3"/>
    </w:p>
    <w:p w14:paraId="21E1E942" w14:textId="77777777" w:rsidR="0090456E" w:rsidRPr="0090456E" w:rsidRDefault="0090456E" w:rsidP="0090456E">
      <w:pPr>
        <w:spacing w:before="120" w:after="120" w:line="240" w:lineRule="exact"/>
        <w:ind w:left="283" w:hanging="283"/>
        <w:jc w:val="both"/>
        <w:rPr>
          <w:rFonts w:ascii="FrankRuehl" w:hAnsi="FrankRuehl" w:cs="FrankRuehl"/>
          <w:color w:val="0000FF"/>
          <w:rtl/>
        </w:rPr>
      </w:pPr>
      <w:bookmarkStart w:id="4" w:name="LawTable"/>
      <w:bookmarkEnd w:id="4"/>
    </w:p>
    <w:p w14:paraId="72BE55A1" w14:textId="77777777" w:rsidR="0090456E" w:rsidRPr="0090456E" w:rsidRDefault="0090456E" w:rsidP="0090456E">
      <w:pPr>
        <w:spacing w:before="120" w:after="120" w:line="240" w:lineRule="exact"/>
        <w:ind w:left="283" w:hanging="283"/>
        <w:jc w:val="both"/>
        <w:rPr>
          <w:rFonts w:ascii="FrankRuehl" w:hAnsi="FrankRuehl" w:cs="FrankRuehl"/>
          <w:color w:val="0000FF"/>
          <w:rtl/>
        </w:rPr>
      </w:pPr>
      <w:r w:rsidRPr="0090456E">
        <w:rPr>
          <w:rFonts w:ascii="FrankRuehl" w:hAnsi="FrankRuehl" w:cs="FrankRuehl"/>
          <w:color w:val="0000FF"/>
          <w:rtl/>
        </w:rPr>
        <w:t xml:space="preserve">חקיקה שאוזכרה: </w:t>
      </w:r>
    </w:p>
    <w:p w14:paraId="0AE7EB5E" w14:textId="77777777" w:rsidR="0090456E" w:rsidRPr="0090456E" w:rsidRDefault="0090456E" w:rsidP="0090456E">
      <w:pPr>
        <w:spacing w:before="120" w:after="120" w:line="240" w:lineRule="exact"/>
        <w:ind w:left="283" w:hanging="283"/>
        <w:jc w:val="both"/>
        <w:rPr>
          <w:rFonts w:ascii="FrankRuehl" w:hAnsi="FrankRuehl" w:cs="FrankRuehl"/>
          <w:color w:val="0000FF"/>
          <w:rtl/>
        </w:rPr>
      </w:pPr>
      <w:hyperlink r:id="rId7" w:history="1">
        <w:r w:rsidRPr="0090456E">
          <w:rPr>
            <w:rStyle w:val="Hyperlink"/>
            <w:rFonts w:ascii="FrankRuehl" w:hAnsi="FrankRuehl" w:cs="FrankRuehl"/>
            <w:u w:val="none"/>
            <w:rtl/>
          </w:rPr>
          <w:t>חוק העונשין, תשל"ז-1977</w:t>
        </w:r>
      </w:hyperlink>
      <w:r w:rsidRPr="0090456E">
        <w:rPr>
          <w:rFonts w:ascii="FrankRuehl" w:hAnsi="FrankRuehl" w:cs="FrankRuehl"/>
          <w:color w:val="0000FF"/>
          <w:rtl/>
        </w:rPr>
        <w:t xml:space="preserve">: סע'  </w:t>
      </w:r>
      <w:hyperlink r:id="rId8" w:history="1">
        <w:r w:rsidRPr="0090456E">
          <w:rPr>
            <w:rStyle w:val="Hyperlink"/>
            <w:rFonts w:ascii="FrankRuehl" w:hAnsi="FrankRuehl" w:cs="FrankRuehl"/>
            <w:u w:val="none"/>
          </w:rPr>
          <w:t>4</w:t>
        </w:r>
      </w:hyperlink>
      <w:r w:rsidRPr="0090456E">
        <w:rPr>
          <w:rFonts w:ascii="FrankRuehl" w:hAnsi="FrankRuehl" w:cs="FrankRuehl"/>
          <w:color w:val="0000FF"/>
          <w:rtl/>
        </w:rPr>
        <w:t xml:space="preserve">, </w:t>
      </w:r>
      <w:hyperlink r:id="rId9" w:history="1">
        <w:r w:rsidRPr="0090456E">
          <w:rPr>
            <w:rStyle w:val="Hyperlink"/>
            <w:rFonts w:ascii="FrankRuehl" w:hAnsi="FrankRuehl" w:cs="FrankRuehl"/>
            <w:u w:val="none"/>
          </w:rPr>
          <w:t>5</w:t>
        </w:r>
      </w:hyperlink>
      <w:r w:rsidRPr="0090456E">
        <w:rPr>
          <w:rFonts w:ascii="FrankRuehl" w:hAnsi="FrankRuehl" w:cs="FrankRuehl"/>
          <w:color w:val="0000FF"/>
          <w:rtl/>
        </w:rPr>
        <w:t xml:space="preserve">, </w:t>
      </w:r>
      <w:hyperlink r:id="rId10" w:history="1">
        <w:r w:rsidRPr="0090456E">
          <w:rPr>
            <w:rStyle w:val="Hyperlink"/>
            <w:rFonts w:ascii="FrankRuehl" w:hAnsi="FrankRuehl" w:cs="FrankRuehl"/>
            <w:u w:val="none"/>
          </w:rPr>
          <w:t>5</w:t>
        </w:r>
      </w:hyperlink>
      <w:r w:rsidRPr="0090456E">
        <w:rPr>
          <w:rFonts w:ascii="FrankRuehl" w:hAnsi="FrankRuehl" w:cs="FrankRuehl"/>
          <w:color w:val="0000FF"/>
          <w:rtl/>
        </w:rPr>
        <w:t xml:space="preserve">(א), </w:t>
      </w:r>
      <w:hyperlink r:id="rId11" w:history="1">
        <w:r w:rsidRPr="0090456E">
          <w:rPr>
            <w:rStyle w:val="Hyperlink"/>
            <w:rFonts w:ascii="FrankRuehl" w:hAnsi="FrankRuehl" w:cs="FrankRuehl"/>
            <w:u w:val="none"/>
          </w:rPr>
          <w:t>6</w:t>
        </w:r>
      </w:hyperlink>
      <w:r w:rsidRPr="0090456E">
        <w:rPr>
          <w:rFonts w:ascii="FrankRuehl" w:hAnsi="FrankRuehl" w:cs="FrankRuehl"/>
          <w:color w:val="0000FF"/>
          <w:rtl/>
        </w:rPr>
        <w:t xml:space="preserve">, </w:t>
      </w:r>
      <w:hyperlink r:id="rId12" w:history="1">
        <w:r w:rsidRPr="0090456E">
          <w:rPr>
            <w:rStyle w:val="Hyperlink"/>
            <w:rFonts w:ascii="FrankRuehl" w:hAnsi="FrankRuehl" w:cs="FrankRuehl"/>
            <w:u w:val="none"/>
          </w:rPr>
          <w:t>29</w:t>
        </w:r>
      </w:hyperlink>
      <w:r w:rsidRPr="0090456E">
        <w:rPr>
          <w:rFonts w:ascii="FrankRuehl" w:hAnsi="FrankRuehl" w:cs="FrankRuehl"/>
          <w:color w:val="0000FF"/>
          <w:rtl/>
        </w:rPr>
        <w:t xml:space="preserve">, </w:t>
      </w:r>
      <w:hyperlink r:id="rId13" w:history="1">
        <w:r w:rsidRPr="0090456E">
          <w:rPr>
            <w:rStyle w:val="Hyperlink"/>
            <w:rFonts w:ascii="FrankRuehl" w:hAnsi="FrankRuehl" w:cs="FrankRuehl"/>
            <w:u w:val="none"/>
          </w:rPr>
          <w:t>144</w:t>
        </w:r>
      </w:hyperlink>
      <w:r w:rsidRPr="0090456E">
        <w:rPr>
          <w:rFonts w:ascii="FrankRuehl" w:hAnsi="FrankRuehl" w:cs="FrankRuehl"/>
          <w:color w:val="0000FF"/>
          <w:rtl/>
        </w:rPr>
        <w:t xml:space="preserve">, </w:t>
      </w:r>
      <w:hyperlink r:id="rId14" w:history="1">
        <w:r w:rsidRPr="0090456E">
          <w:rPr>
            <w:rStyle w:val="Hyperlink"/>
            <w:rFonts w:ascii="FrankRuehl" w:hAnsi="FrankRuehl" w:cs="FrankRuehl"/>
            <w:u w:val="none"/>
          </w:rPr>
          <w:t>144</w:t>
        </w:r>
      </w:hyperlink>
      <w:r w:rsidRPr="0090456E">
        <w:rPr>
          <w:rFonts w:ascii="FrankRuehl" w:hAnsi="FrankRuehl" w:cs="FrankRuehl"/>
          <w:color w:val="0000FF"/>
          <w:rtl/>
        </w:rPr>
        <w:t xml:space="preserve">(א), </w:t>
      </w:r>
      <w:hyperlink r:id="rId15" w:history="1">
        <w:r w:rsidRPr="0090456E">
          <w:rPr>
            <w:rStyle w:val="Hyperlink"/>
            <w:rFonts w:ascii="FrankRuehl" w:hAnsi="FrankRuehl" w:cs="FrankRuehl"/>
            <w:u w:val="none"/>
          </w:rPr>
          <w:t>144</w:t>
        </w:r>
      </w:hyperlink>
      <w:r w:rsidRPr="0090456E">
        <w:rPr>
          <w:rFonts w:ascii="FrankRuehl" w:hAnsi="FrankRuehl" w:cs="FrankRuehl"/>
          <w:color w:val="0000FF"/>
          <w:rtl/>
        </w:rPr>
        <w:t>(ז)</w:t>
      </w:r>
    </w:p>
    <w:p w14:paraId="7E3D1B95" w14:textId="77777777" w:rsidR="00385539" w:rsidRPr="0090456E" w:rsidRDefault="00385539" w:rsidP="0090456E">
      <w:pPr>
        <w:spacing w:after="120" w:line="240" w:lineRule="exact"/>
        <w:ind w:left="283" w:hanging="283"/>
        <w:jc w:val="both"/>
        <w:rPr>
          <w:rFonts w:ascii="David" w:hAnsi="David"/>
          <w:rtl/>
        </w:rPr>
      </w:pPr>
      <w:bookmarkStart w:id="5" w:name="LawTable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85539" w14:paraId="531D8371" w14:textId="77777777" w:rsidTr="00385539">
        <w:trPr>
          <w:trHeight w:val="355"/>
          <w:jc w:val="center"/>
        </w:trPr>
        <w:tc>
          <w:tcPr>
            <w:tcW w:w="8820" w:type="dxa"/>
            <w:tcBorders>
              <w:top w:val="nil"/>
              <w:left w:val="nil"/>
              <w:bottom w:val="nil"/>
              <w:right w:val="nil"/>
            </w:tcBorders>
            <w:shd w:val="clear" w:color="auto" w:fill="auto"/>
          </w:tcPr>
          <w:p w14:paraId="09582A4E" w14:textId="77777777" w:rsidR="00843C3E" w:rsidRPr="00843C3E" w:rsidRDefault="00843C3E" w:rsidP="00843C3E">
            <w:pPr>
              <w:jc w:val="center"/>
              <w:rPr>
                <w:rFonts w:ascii="David" w:hAnsi="David"/>
                <w:b/>
                <w:bCs/>
                <w:sz w:val="32"/>
                <w:szCs w:val="32"/>
                <w:u w:val="single"/>
                <w:rtl/>
              </w:rPr>
            </w:pPr>
            <w:bookmarkStart w:id="6" w:name="PsakDin" w:colFirst="0" w:colLast="0"/>
            <w:r w:rsidRPr="00843C3E">
              <w:rPr>
                <w:rFonts w:ascii="David" w:hAnsi="David"/>
                <w:b/>
                <w:bCs/>
                <w:sz w:val="32"/>
                <w:szCs w:val="32"/>
                <w:u w:val="single"/>
                <w:rtl/>
              </w:rPr>
              <w:t>גזר דין</w:t>
            </w:r>
          </w:p>
          <w:p w14:paraId="165B9987" w14:textId="77777777" w:rsidR="00385539" w:rsidRPr="00843C3E" w:rsidRDefault="00385539" w:rsidP="00843C3E">
            <w:pPr>
              <w:jc w:val="center"/>
              <w:rPr>
                <w:rFonts w:ascii="David" w:hAnsi="David"/>
                <w:bCs/>
                <w:sz w:val="32"/>
                <w:szCs w:val="32"/>
                <w:u w:val="single"/>
                <w:rtl/>
              </w:rPr>
            </w:pPr>
          </w:p>
        </w:tc>
      </w:tr>
      <w:bookmarkEnd w:id="6"/>
    </w:tbl>
    <w:p w14:paraId="2E48771E" w14:textId="77777777" w:rsidR="00385539" w:rsidRPr="00E41400" w:rsidRDefault="00385539" w:rsidP="00385539">
      <w:pPr>
        <w:rPr>
          <w:rFonts w:ascii="David" w:hAnsi="David"/>
          <w:rtl/>
        </w:rPr>
      </w:pPr>
    </w:p>
    <w:p w14:paraId="2D0E9769" w14:textId="77777777" w:rsidR="00385539" w:rsidRDefault="00385539" w:rsidP="00385539">
      <w:pPr>
        <w:rPr>
          <w:rFonts w:ascii="David" w:hAnsi="David"/>
          <w:rtl/>
        </w:rPr>
      </w:pPr>
    </w:p>
    <w:p w14:paraId="23D364FF" w14:textId="77777777" w:rsidR="00385539" w:rsidRDefault="00385539" w:rsidP="00385539">
      <w:pPr>
        <w:spacing w:line="360" w:lineRule="auto"/>
        <w:jc w:val="both"/>
        <w:rPr>
          <w:rFonts w:ascii="David" w:hAnsi="David"/>
          <w:rtl/>
        </w:rPr>
      </w:pPr>
      <w:r>
        <w:rPr>
          <w:rFonts w:ascii="David" w:hAnsi="David" w:hint="cs"/>
          <w:b/>
          <w:bCs/>
          <w:u w:val="single"/>
          <w:rtl/>
        </w:rPr>
        <w:t>כתב האישום</w:t>
      </w:r>
    </w:p>
    <w:p w14:paraId="7FD659E8" w14:textId="77777777" w:rsidR="00385539" w:rsidRDefault="00385539" w:rsidP="00385539">
      <w:pPr>
        <w:jc w:val="both"/>
        <w:rPr>
          <w:rFonts w:ascii="David" w:hAnsi="David"/>
          <w:rtl/>
        </w:rPr>
      </w:pPr>
    </w:p>
    <w:p w14:paraId="5D44203A" w14:textId="77777777" w:rsidR="00385539" w:rsidRDefault="00385539" w:rsidP="00385539">
      <w:pPr>
        <w:pStyle w:val="a9"/>
        <w:numPr>
          <w:ilvl w:val="0"/>
          <w:numId w:val="1"/>
        </w:numPr>
        <w:spacing w:line="360" w:lineRule="auto"/>
        <w:jc w:val="both"/>
        <w:rPr>
          <w:rFonts w:ascii="David" w:hAnsi="David"/>
        </w:rPr>
      </w:pPr>
      <w:bookmarkStart w:id="7" w:name="ABSTRACT_START"/>
      <w:bookmarkEnd w:id="7"/>
      <w:r>
        <w:rPr>
          <w:rFonts w:ascii="David" w:hAnsi="David" w:hint="cs"/>
          <w:rtl/>
        </w:rPr>
        <w:t xml:space="preserve">הנאשם הורשע במסגרת הסדר טיעון שלא כלל הסכמה עונשית, בעבירת החזקת נשק שלא כדין, לפי </w:t>
      </w:r>
      <w:hyperlink r:id="rId16" w:history="1">
        <w:r w:rsidR="0090456E" w:rsidRPr="0090456E">
          <w:rPr>
            <w:rStyle w:val="Hyperlink"/>
            <w:rFonts w:ascii="David" w:hAnsi="David" w:hint="eastAsia"/>
            <w:color w:val="0000FF"/>
            <w:rtl/>
          </w:rPr>
          <w:t>סעיף</w:t>
        </w:r>
        <w:r w:rsidR="0090456E" w:rsidRPr="0090456E">
          <w:rPr>
            <w:rStyle w:val="Hyperlink"/>
            <w:rFonts w:ascii="David" w:hAnsi="David"/>
            <w:color w:val="0000FF"/>
            <w:rtl/>
          </w:rPr>
          <w:t xml:space="preserve"> 144(א)</w:t>
        </w:r>
      </w:hyperlink>
      <w:r>
        <w:rPr>
          <w:rFonts w:ascii="David" w:hAnsi="David" w:hint="cs"/>
          <w:rtl/>
        </w:rPr>
        <w:t xml:space="preserve"> רישא + </w:t>
      </w:r>
      <w:hyperlink r:id="rId17" w:history="1">
        <w:r w:rsidR="0090456E" w:rsidRPr="0090456E">
          <w:rPr>
            <w:rStyle w:val="Hyperlink"/>
            <w:rFonts w:ascii="David" w:hAnsi="David"/>
            <w:color w:val="0000FF"/>
            <w:rtl/>
          </w:rPr>
          <w:t>29</w:t>
        </w:r>
      </w:hyperlink>
      <w:r>
        <w:rPr>
          <w:rFonts w:ascii="David" w:hAnsi="David" w:hint="cs"/>
          <w:rtl/>
        </w:rPr>
        <w:t xml:space="preserve"> ל</w:t>
      </w:r>
      <w:hyperlink r:id="rId18" w:history="1">
        <w:r w:rsidR="00843C3E" w:rsidRPr="00843C3E">
          <w:rPr>
            <w:rFonts w:ascii="David" w:hAnsi="David"/>
            <w:color w:val="0000FF"/>
            <w:u w:val="single"/>
            <w:rtl/>
          </w:rPr>
          <w:t>חוק העונשין</w:t>
        </w:r>
      </w:hyperlink>
      <w:r>
        <w:rPr>
          <w:rFonts w:ascii="David" w:hAnsi="David" w:hint="cs"/>
          <w:rtl/>
        </w:rPr>
        <w:t xml:space="preserve">, תשל"ז- 1977 (להלן </w:t>
      </w:r>
      <w:r>
        <w:rPr>
          <w:rFonts w:ascii="David" w:hAnsi="David"/>
          <w:rtl/>
        </w:rPr>
        <w:t>–</w:t>
      </w:r>
      <w:r>
        <w:rPr>
          <w:rFonts w:ascii="David" w:hAnsi="David" w:hint="cs"/>
          <w:rtl/>
        </w:rPr>
        <w:t xml:space="preserve"> </w:t>
      </w:r>
      <w:r w:rsidRPr="0041014D">
        <w:rPr>
          <w:rFonts w:ascii="Miriam" w:hAnsi="Miriam" w:cs="Miriam"/>
          <w:rtl/>
        </w:rPr>
        <w:t>חוק העונשין</w:t>
      </w:r>
      <w:r>
        <w:rPr>
          <w:rFonts w:ascii="David" w:hAnsi="David" w:hint="cs"/>
          <w:rtl/>
        </w:rPr>
        <w:t xml:space="preserve">). על פי עובדות כתב האישום המתוקן, ביום 22.1.24 נמצא הנאשם מחזיק בביתו, בצוותא עם אחר שזהותו אינה ידועה, אקדח מסוג "תופי" וזאת בארגז המצעים שמתחת למיטה. </w:t>
      </w:r>
    </w:p>
    <w:p w14:paraId="19953028" w14:textId="77777777" w:rsidR="00385539" w:rsidRDefault="00385539" w:rsidP="00385539">
      <w:pPr>
        <w:pStyle w:val="a9"/>
        <w:ind w:left="0"/>
        <w:jc w:val="both"/>
        <w:rPr>
          <w:rFonts w:ascii="David" w:hAnsi="David"/>
          <w:rtl/>
        </w:rPr>
      </w:pPr>
      <w:bookmarkStart w:id="8" w:name="ABSTRACT_END"/>
      <w:bookmarkEnd w:id="8"/>
    </w:p>
    <w:p w14:paraId="0B653544" w14:textId="77777777" w:rsidR="00385539" w:rsidRDefault="00385539" w:rsidP="00385539">
      <w:pPr>
        <w:pStyle w:val="a9"/>
        <w:spacing w:line="360" w:lineRule="auto"/>
        <w:ind w:left="0"/>
        <w:jc w:val="both"/>
        <w:rPr>
          <w:rFonts w:ascii="David" w:hAnsi="David"/>
          <w:b/>
          <w:bCs/>
          <w:u w:val="single"/>
          <w:rtl/>
        </w:rPr>
      </w:pPr>
      <w:r>
        <w:rPr>
          <w:rFonts w:ascii="David" w:hAnsi="David" w:hint="cs"/>
          <w:b/>
          <w:bCs/>
          <w:u w:val="single"/>
          <w:rtl/>
        </w:rPr>
        <w:t xml:space="preserve">תסקיר שירות המבחן </w:t>
      </w:r>
    </w:p>
    <w:p w14:paraId="44B93729" w14:textId="77777777" w:rsidR="00385539" w:rsidRPr="00E41400" w:rsidRDefault="00385539" w:rsidP="00385539">
      <w:pPr>
        <w:pStyle w:val="a9"/>
        <w:ind w:left="0"/>
        <w:jc w:val="both"/>
        <w:rPr>
          <w:rFonts w:ascii="David" w:hAnsi="David"/>
          <w:b/>
          <w:bCs/>
          <w:u w:val="single"/>
        </w:rPr>
      </w:pPr>
    </w:p>
    <w:p w14:paraId="10860859" w14:textId="77777777" w:rsidR="00385539" w:rsidRDefault="00385539" w:rsidP="00385539">
      <w:pPr>
        <w:pStyle w:val="a9"/>
        <w:numPr>
          <w:ilvl w:val="0"/>
          <w:numId w:val="1"/>
        </w:numPr>
        <w:spacing w:line="360" w:lineRule="auto"/>
        <w:jc w:val="both"/>
        <w:rPr>
          <w:rFonts w:ascii="David" w:hAnsi="David"/>
        </w:rPr>
      </w:pPr>
      <w:r>
        <w:rPr>
          <w:rFonts w:ascii="David" w:hAnsi="David" w:hint="cs"/>
          <w:rtl/>
        </w:rPr>
        <w:t>בעניינו של הנאשם הוגש תסקיר ובו פורטו בהרחבה נסיבות חייו. מטעמים של צנעת הפרט לא ארחיב ובתמצית ייאמר כי הנאשם רווק כבן 35, טרם מעצרו התגורר בדירה שכורה ועבד בתחום ההובלות. הנאשם שרת בצבא, עברו נקי ולאורך השנים עבד לפרנסתו. במסגרת צו פיקוח מעצרים ביטא הנאשם מוטיבצי</w:t>
      </w:r>
      <w:r>
        <w:rPr>
          <w:rFonts w:ascii="David" w:hAnsi="David" w:hint="eastAsia"/>
          <w:rtl/>
        </w:rPr>
        <w:t>ה</w:t>
      </w:r>
      <w:r>
        <w:rPr>
          <w:rFonts w:ascii="David" w:hAnsi="David" w:hint="cs"/>
          <w:rtl/>
        </w:rPr>
        <w:t xml:space="preserve"> להשתלב בהליכים טיפוליים ובחודש 4/24 החל להשתתף בקבוצה טיפולית. </w:t>
      </w:r>
      <w:r>
        <w:rPr>
          <w:rFonts w:ascii="David" w:hAnsi="David" w:hint="cs"/>
          <w:rtl/>
        </w:rPr>
        <w:lastRenderedPageBreak/>
        <w:t xml:space="preserve">עם התקדמות המפגשים התרשמו גורמי הטיפול מכך שהוא נתרם מההליך הקבוצתי, משתף פעולה ואינו מחזיק בעמדות אנטי-סוציאליות או בערכים עברייניים. כן צוין שהוא בעל פוטנציאל שיקומי גבוה. ביחס לביצוע העבירה טען הנאשם שקיבל את הנשק ביום בו נערך החיפוש ועשה כן על מנת לחוש בעל ערך מכך שסומכים עליו וללא כוונה להשתמש בו. שירות המבחן ראה בכך נטילת אחריות חלקית ובפתח טיעוני הצדדים לעונש הבהיר הסנגור שהנאשם מקבל אחריות מלאה למעשה (הערה: עמדת הנאשם בפני קצינת המבחן אינה עומדת בסתירה לעובדות כתב האישום, שכן לא צוינה בו תקופת ההחזקה ומנגד צוין במפורש שהיה זה בצוותא. עם זאת, העמדה אכן מצמצמת ולדבר יש חשיבות טיפולית עבור שירות המבחן). שירות המבחן התרשם ממוטיבציה ומחויבות להמשך ההליך הטיפולי ונטען שקיים סיכון נמוך להישנות עבירות בעתיד. בסיכום הדברים הומלץ על העמדת הנאשם בצו מבחן למשך שנה ועל ענישה הרתעתית בדמות מאסר לריצוי בעבודות שירות. </w:t>
      </w:r>
    </w:p>
    <w:p w14:paraId="00FAF9C1" w14:textId="77777777" w:rsidR="00385539" w:rsidRPr="007158FA" w:rsidRDefault="00385539" w:rsidP="00385539">
      <w:pPr>
        <w:pStyle w:val="a9"/>
        <w:ind w:left="0"/>
        <w:jc w:val="both"/>
        <w:rPr>
          <w:rFonts w:ascii="David" w:hAnsi="David"/>
          <w:rtl/>
        </w:rPr>
      </w:pPr>
    </w:p>
    <w:p w14:paraId="374C162A" w14:textId="77777777" w:rsidR="00385539" w:rsidRDefault="00385539" w:rsidP="00385539">
      <w:pPr>
        <w:pStyle w:val="a9"/>
        <w:spacing w:line="360" w:lineRule="auto"/>
        <w:ind w:left="0"/>
        <w:jc w:val="both"/>
        <w:rPr>
          <w:rFonts w:ascii="David" w:hAnsi="David"/>
          <w:b/>
          <w:bCs/>
          <w:u w:val="single"/>
          <w:rtl/>
        </w:rPr>
      </w:pPr>
      <w:r>
        <w:rPr>
          <w:rFonts w:ascii="David" w:hAnsi="David" w:hint="cs"/>
          <w:b/>
          <w:bCs/>
          <w:u w:val="single"/>
          <w:rtl/>
        </w:rPr>
        <w:t xml:space="preserve">טיעוני הצדדים לעונש </w:t>
      </w:r>
    </w:p>
    <w:p w14:paraId="7CFB13CF" w14:textId="77777777" w:rsidR="00385539" w:rsidRPr="001A6D6D" w:rsidRDefault="00385539" w:rsidP="00385539">
      <w:pPr>
        <w:pStyle w:val="a9"/>
        <w:ind w:left="0"/>
        <w:jc w:val="both"/>
        <w:rPr>
          <w:rFonts w:ascii="David" w:hAnsi="David"/>
          <w:b/>
          <w:bCs/>
          <w:u w:val="single"/>
        </w:rPr>
      </w:pPr>
    </w:p>
    <w:p w14:paraId="4733ED9A" w14:textId="77777777" w:rsidR="00385539" w:rsidRDefault="00385539" w:rsidP="00385539">
      <w:pPr>
        <w:pStyle w:val="a9"/>
        <w:numPr>
          <w:ilvl w:val="0"/>
          <w:numId w:val="1"/>
        </w:numPr>
        <w:spacing w:line="360" w:lineRule="auto"/>
        <w:jc w:val="both"/>
        <w:rPr>
          <w:rFonts w:ascii="David" w:hAnsi="David"/>
        </w:rPr>
      </w:pPr>
      <w:r>
        <w:rPr>
          <w:rFonts w:ascii="David" w:hAnsi="David" w:hint="cs"/>
          <w:rtl/>
        </w:rPr>
        <w:t xml:space="preserve"> ב"כ המאשימה הגיש טיעון כתוב והוסיף על פה. הודגשו חומרת העבירה, הערכים המוגנים שנפגעו, פוטנציאל הנזק ומדיניות הענישה הנוהגת בעבירות נשק. לאור כל זאת  נטען למתחם ענישה הנע בין 18-36 חודשי מאסר בפועל. ביחס לעונש שיש להטיל על הנאשם נטען כי חרף העבר הפלילי הנקי והמלצת שירות המבחן יש להטיל עונש מאסר שלא יפחת מ-20 חודשים וענישה נלווית. </w:t>
      </w:r>
    </w:p>
    <w:p w14:paraId="2E2EFB19" w14:textId="77777777" w:rsidR="00385539" w:rsidRPr="007158FA" w:rsidRDefault="00385539" w:rsidP="00385539">
      <w:pPr>
        <w:pStyle w:val="a9"/>
        <w:spacing w:line="360" w:lineRule="auto"/>
        <w:ind w:left="0"/>
        <w:jc w:val="both"/>
        <w:rPr>
          <w:rFonts w:ascii="David" w:hAnsi="David"/>
        </w:rPr>
      </w:pPr>
    </w:p>
    <w:p w14:paraId="5B63B2DD" w14:textId="77777777" w:rsidR="00385539" w:rsidRDefault="00385539" w:rsidP="00385539">
      <w:pPr>
        <w:pStyle w:val="a9"/>
        <w:numPr>
          <w:ilvl w:val="0"/>
          <w:numId w:val="1"/>
        </w:numPr>
        <w:spacing w:line="360" w:lineRule="auto"/>
        <w:jc w:val="both"/>
        <w:rPr>
          <w:rFonts w:ascii="David" w:hAnsi="David"/>
        </w:rPr>
      </w:pPr>
      <w:r>
        <w:rPr>
          <w:rFonts w:ascii="David" w:hAnsi="David" w:hint="cs"/>
          <w:rtl/>
        </w:rPr>
        <w:t xml:space="preserve">ב"כ הנאשם טען כי מדובר באקדח מיושן ללא תחמושת אשר הוחזק בצוותא עם אחר. בעניין זה טען הסנגור שההחזקה המשותפת מפחיתה מחומרת העבירה שכן </w:t>
      </w:r>
      <w:r w:rsidRPr="00F9022D">
        <w:rPr>
          <w:rFonts w:ascii="Miriam" w:hAnsi="Miriam" w:cs="Miriam"/>
          <w:rtl/>
        </w:rPr>
        <w:t>"האחריות מתפצלת לעוד אדם שזהותו אינה ידועה"</w:t>
      </w:r>
      <w:r>
        <w:rPr>
          <w:rFonts w:ascii="David" w:hAnsi="David" w:hint="cs"/>
          <w:rtl/>
        </w:rPr>
        <w:t xml:space="preserve"> וכן שאין לדעת מיהו הדומיננטי מבין השניים. הסנגור לא הציע מתחם ענישה והפנה לפסיקה במסגרתה הוטלה ענישה בעבודות שירות בעבירות של החזקת נשק וזאת משיקולי שיקום. ביחס לעונש שיש להטיל על הנאשם הפנה הסנגור לעבר הפלילי הנקי, לאורח החיים הנורמטיבי והשתלבותו החיובית בטיפול. כן הדגיש את התקופה הממושכת בה נתון הנאשם במעצר באיזוק אלקטרוני וביקש להימנע מעונש מאסר בכליאה על מנת שלא לייצר אפקט קרימינוגני. ברמה האופרטיבית עתרה ההגנה לאמץ את המלצות התסקיר במלואן ולהטיל ענישה בעבודות שירות וצו מבחן. </w:t>
      </w:r>
    </w:p>
    <w:p w14:paraId="1AD1BEC0" w14:textId="77777777" w:rsidR="00385539" w:rsidRPr="00360708" w:rsidRDefault="00385539" w:rsidP="00385539">
      <w:pPr>
        <w:pStyle w:val="a9"/>
        <w:rPr>
          <w:rFonts w:ascii="David" w:hAnsi="David"/>
          <w:rtl/>
        </w:rPr>
      </w:pPr>
    </w:p>
    <w:p w14:paraId="7B8F85E4" w14:textId="77777777" w:rsidR="00385539" w:rsidRPr="00E41400" w:rsidRDefault="00385539" w:rsidP="00385539">
      <w:pPr>
        <w:pStyle w:val="a9"/>
        <w:numPr>
          <w:ilvl w:val="0"/>
          <w:numId w:val="1"/>
        </w:numPr>
        <w:spacing w:line="360" w:lineRule="auto"/>
        <w:jc w:val="both"/>
        <w:rPr>
          <w:rFonts w:ascii="David" w:hAnsi="David"/>
          <w:rtl/>
        </w:rPr>
      </w:pPr>
      <w:r>
        <w:rPr>
          <w:rFonts w:ascii="David" w:hAnsi="David" w:hint="cs"/>
          <w:rtl/>
        </w:rPr>
        <w:t xml:space="preserve">הנאשם בדברו האחרון ציין כי הוא מודע לחומרת מעשיו והבין שטעה. כן תאר בהרחבה את תרומת הטיפול שעבר בשירות המבחן וציין שהוא מתמיד בטיפול והתנתק מחברה שולית. </w:t>
      </w:r>
    </w:p>
    <w:p w14:paraId="4C107A3B" w14:textId="77777777" w:rsidR="00385539" w:rsidRDefault="00385539" w:rsidP="00385539">
      <w:pPr>
        <w:jc w:val="both"/>
        <w:rPr>
          <w:rFonts w:ascii="David" w:hAnsi="David"/>
          <w:rtl/>
        </w:rPr>
      </w:pPr>
    </w:p>
    <w:p w14:paraId="2F2E13C2" w14:textId="77777777" w:rsidR="00385539" w:rsidRDefault="00385539" w:rsidP="00385539">
      <w:pPr>
        <w:spacing w:line="360" w:lineRule="auto"/>
        <w:jc w:val="both"/>
        <w:rPr>
          <w:rFonts w:ascii="David" w:hAnsi="David"/>
          <w:b/>
          <w:bCs/>
          <w:u w:val="single"/>
          <w:rtl/>
        </w:rPr>
      </w:pPr>
      <w:r>
        <w:rPr>
          <w:rFonts w:ascii="David" w:hAnsi="David" w:hint="cs"/>
          <w:b/>
          <w:bCs/>
          <w:u w:val="single"/>
          <w:rtl/>
        </w:rPr>
        <w:t>דיון והכרעה</w:t>
      </w:r>
    </w:p>
    <w:p w14:paraId="15B8C9A7" w14:textId="77777777" w:rsidR="00385539" w:rsidRDefault="00385539" w:rsidP="00385539">
      <w:pPr>
        <w:spacing w:line="360" w:lineRule="auto"/>
        <w:jc w:val="both"/>
        <w:rPr>
          <w:rFonts w:ascii="David" w:hAnsi="David"/>
          <w:rtl/>
        </w:rPr>
      </w:pPr>
      <w:r>
        <w:rPr>
          <w:rFonts w:ascii="David" w:hAnsi="David" w:hint="cs"/>
          <w:b/>
          <w:bCs/>
          <w:u w:val="single"/>
          <w:rtl/>
        </w:rPr>
        <w:t>קביעת מתחם הענישה</w:t>
      </w:r>
    </w:p>
    <w:p w14:paraId="6D1CCCC7" w14:textId="77777777" w:rsidR="00385539" w:rsidRDefault="00385539" w:rsidP="00385539">
      <w:pPr>
        <w:jc w:val="both"/>
        <w:rPr>
          <w:rFonts w:ascii="David" w:hAnsi="David"/>
          <w:rtl/>
        </w:rPr>
      </w:pPr>
    </w:p>
    <w:p w14:paraId="04E8E894" w14:textId="77777777" w:rsidR="00385539" w:rsidRDefault="00385539" w:rsidP="00385539">
      <w:pPr>
        <w:pStyle w:val="a9"/>
        <w:numPr>
          <w:ilvl w:val="0"/>
          <w:numId w:val="1"/>
        </w:numPr>
        <w:spacing w:line="360" w:lineRule="auto"/>
        <w:jc w:val="both"/>
        <w:rPr>
          <w:rFonts w:ascii="David" w:hAnsi="David"/>
        </w:rPr>
      </w:pPr>
      <w:r>
        <w:rPr>
          <w:rFonts w:ascii="David" w:hAnsi="David"/>
          <w:rtl/>
        </w:rPr>
        <w:t xml:space="preserve">הערכים המוגנים שנפגעו בשל העבירות ברורים ומדובר בפגיעה בשלום הציבור, בטחונו ואף בסיכון </w:t>
      </w:r>
      <w:r>
        <w:rPr>
          <w:rFonts w:ascii="David" w:hAnsi="David" w:hint="cs"/>
          <w:rtl/>
        </w:rPr>
        <w:t xml:space="preserve">אפשרי של </w:t>
      </w:r>
      <w:r>
        <w:rPr>
          <w:rFonts w:ascii="David" w:hAnsi="David"/>
          <w:rtl/>
        </w:rPr>
        <w:t xml:space="preserve">חיי אדם. בהקשר זה </w:t>
      </w:r>
      <w:r>
        <w:rPr>
          <w:rFonts w:ascii="David" w:hAnsi="David" w:hint="cs"/>
          <w:rtl/>
        </w:rPr>
        <w:t>אפנה ל</w:t>
      </w:r>
      <w:hyperlink r:id="rId19" w:history="1">
        <w:r w:rsidR="00843C3E" w:rsidRPr="00843C3E">
          <w:rPr>
            <w:rFonts w:ascii="David" w:hAnsi="David"/>
            <w:color w:val="0000FF"/>
            <w:u w:val="single"/>
            <w:rtl/>
          </w:rPr>
          <w:t>ע"פ 309/22</w:t>
        </w:r>
      </w:hyperlink>
      <w:r>
        <w:rPr>
          <w:rFonts w:ascii="David" w:hAnsi="David"/>
          <w:rtl/>
        </w:rPr>
        <w:t xml:space="preserve"> </w:t>
      </w:r>
      <w:r>
        <w:rPr>
          <w:rFonts w:ascii="David" w:hAnsi="David"/>
          <w:b/>
          <w:bCs/>
          <w:rtl/>
        </w:rPr>
        <w:t>מדינת ישראל נ' חאמד ביאדסה</w:t>
      </w:r>
      <w:r>
        <w:rPr>
          <w:rFonts w:ascii="David" w:hAnsi="David"/>
          <w:rtl/>
        </w:rPr>
        <w:t xml:space="preserve"> (10.5.2022) שם נקבע כי </w:t>
      </w:r>
      <w:r>
        <w:rPr>
          <w:rFonts w:ascii="Miriam" w:hAnsi="Miriam" w:cs="Miriam"/>
          <w:rtl/>
        </w:rPr>
        <w:t xml:space="preserve">"בשורה ארוכה של פסקי דין עמד בית משפט זה על החומרה הרבה </w:t>
      </w:r>
      <w:r>
        <w:rPr>
          <w:rFonts w:ascii="Miriam" w:hAnsi="Miriam" w:cs="Miriam"/>
          <w:rtl/>
        </w:rPr>
        <w:lastRenderedPageBreak/>
        <w:t>הגלומה בעבירות הנשק. ביסוד עבירות אלו עומדת פגיעה בחיי האדם ובשלמות גופו, כמו גם בביטחון הציבור ובסדר הציבורי בכללותו [..] עבירות אלו חמורות במיוחד, בין היתר משום שהן עשויות לשמש בסיס לביצוע פעילות עבריינית או פעילות טרור...".</w:t>
      </w:r>
    </w:p>
    <w:p w14:paraId="762F3A06" w14:textId="77777777" w:rsidR="00385539" w:rsidRDefault="00385539" w:rsidP="00385539">
      <w:pPr>
        <w:pStyle w:val="a9"/>
        <w:spacing w:line="360" w:lineRule="auto"/>
        <w:ind w:left="0"/>
        <w:jc w:val="both"/>
        <w:rPr>
          <w:rFonts w:ascii="David" w:hAnsi="David"/>
        </w:rPr>
      </w:pPr>
    </w:p>
    <w:p w14:paraId="0CD1E43B" w14:textId="77777777" w:rsidR="00385539" w:rsidRPr="00BC4A92" w:rsidRDefault="00385539" w:rsidP="00385539">
      <w:pPr>
        <w:pStyle w:val="a9"/>
        <w:numPr>
          <w:ilvl w:val="0"/>
          <w:numId w:val="1"/>
        </w:numPr>
        <w:spacing w:line="360" w:lineRule="auto"/>
        <w:jc w:val="both"/>
        <w:rPr>
          <w:rFonts w:ascii="David" w:hAnsi="David"/>
        </w:rPr>
      </w:pPr>
      <w:r w:rsidRPr="00BC4A92">
        <w:rPr>
          <w:rFonts w:ascii="David" w:hAnsi="David"/>
          <w:rtl/>
        </w:rPr>
        <w:t xml:space="preserve">בשנים האחרונות עדים </w:t>
      </w:r>
      <w:r>
        <w:rPr>
          <w:rFonts w:ascii="David" w:hAnsi="David" w:hint="cs"/>
          <w:rtl/>
        </w:rPr>
        <w:t xml:space="preserve">אנו </w:t>
      </w:r>
      <w:r w:rsidRPr="00BC4A92">
        <w:rPr>
          <w:rFonts w:ascii="David" w:hAnsi="David"/>
          <w:rtl/>
        </w:rPr>
        <w:t>למקרים רבים של שימוש בנשק במרחב הציבורי הגובה מחיר כבד בגוף ובנפש, לעיתים אף של בלתי מעורבים ש</w:t>
      </w:r>
      <w:r>
        <w:rPr>
          <w:rFonts w:ascii="David" w:hAnsi="David" w:hint="cs"/>
          <w:rtl/>
        </w:rPr>
        <w:t xml:space="preserve">לרוע מזלם </w:t>
      </w:r>
      <w:r w:rsidRPr="00BC4A92">
        <w:rPr>
          <w:rFonts w:ascii="David" w:hAnsi="David"/>
          <w:rtl/>
        </w:rPr>
        <w:t>נקלעו לאירוע ירי שכוון לעבר אחר. בהקשר זה ראו:</w:t>
      </w:r>
    </w:p>
    <w:p w14:paraId="6B2D5C36" w14:textId="77777777" w:rsidR="00385539" w:rsidRDefault="00385539" w:rsidP="00385539">
      <w:pPr>
        <w:pStyle w:val="a9"/>
        <w:ind w:left="1134" w:right="851"/>
        <w:jc w:val="both"/>
        <w:rPr>
          <w:rFonts w:ascii="David" w:hAnsi="David"/>
          <w:rtl/>
        </w:rPr>
      </w:pPr>
      <w:r>
        <w:rPr>
          <w:rFonts w:ascii="David" w:hAnsi="David"/>
          <w:rtl/>
        </w:rPr>
        <w:t>"</w:t>
      </w:r>
      <w:r>
        <w:rPr>
          <w:rFonts w:ascii="Miriam" w:hAnsi="Miriam" w:cs="Miriam"/>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w:t>
      </w:r>
      <w:r>
        <w:rPr>
          <w:rFonts w:ascii="David" w:hAnsi="David"/>
          <w:rtl/>
        </w:rPr>
        <w:t>" (</w:t>
      </w:r>
      <w:hyperlink r:id="rId20" w:history="1">
        <w:r w:rsidR="00843C3E" w:rsidRPr="00843C3E">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xml:space="preserve">, פסקה 5 (14.4.2022); להלן – עניין </w:t>
      </w:r>
      <w:r>
        <w:rPr>
          <w:rFonts w:ascii="David" w:hAnsi="David"/>
          <w:b/>
          <w:bCs/>
          <w:rtl/>
        </w:rPr>
        <w:t>קדורה</w:t>
      </w:r>
      <w:r>
        <w:rPr>
          <w:rFonts w:ascii="David" w:hAnsi="David"/>
          <w:rtl/>
        </w:rPr>
        <w:t>).</w:t>
      </w:r>
    </w:p>
    <w:p w14:paraId="463766F9" w14:textId="77777777" w:rsidR="00385539" w:rsidRDefault="00385539" w:rsidP="00385539">
      <w:pPr>
        <w:ind w:right="851"/>
        <w:jc w:val="both"/>
        <w:rPr>
          <w:rFonts w:ascii="David" w:hAnsi="David"/>
          <w:rtl/>
        </w:rPr>
      </w:pPr>
    </w:p>
    <w:p w14:paraId="567632E6" w14:textId="77777777" w:rsidR="00385539" w:rsidRDefault="00385539" w:rsidP="00385539">
      <w:pPr>
        <w:spacing w:line="360" w:lineRule="auto"/>
        <w:ind w:right="851" w:firstLine="720"/>
        <w:jc w:val="both"/>
        <w:rPr>
          <w:rFonts w:ascii="David" w:hAnsi="David"/>
          <w:rtl/>
        </w:rPr>
      </w:pPr>
      <w:r>
        <w:rPr>
          <w:rFonts w:ascii="David" w:hAnsi="David"/>
          <w:rtl/>
        </w:rPr>
        <w:t xml:space="preserve">וראו גם: </w:t>
      </w:r>
    </w:p>
    <w:p w14:paraId="0F8B9699" w14:textId="77777777" w:rsidR="00385539" w:rsidRDefault="00385539" w:rsidP="00385539">
      <w:pPr>
        <w:ind w:right="851"/>
        <w:jc w:val="both"/>
        <w:rPr>
          <w:rFonts w:ascii="David" w:hAnsi="David"/>
          <w:rtl/>
        </w:rPr>
      </w:pPr>
    </w:p>
    <w:p w14:paraId="791D146A" w14:textId="77777777" w:rsidR="00385539" w:rsidRDefault="00385539" w:rsidP="00385539">
      <w:pPr>
        <w:ind w:left="1134" w:right="851"/>
        <w:jc w:val="both"/>
        <w:rPr>
          <w:rFonts w:ascii="David" w:hAnsi="David"/>
          <w:rtl/>
        </w:rPr>
      </w:pPr>
      <w:r>
        <w:rPr>
          <w:rFonts w:ascii="David" w:hAnsi="David"/>
          <w:rtl/>
        </w:rPr>
        <w:t>"</w:t>
      </w:r>
      <w:r>
        <w:rPr>
          <w:rFonts w:ascii="Miriam" w:hAnsi="Miriam" w:cs="Miriam"/>
          <w:rtl/>
        </w:rPr>
        <w:t>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 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r>
        <w:rPr>
          <w:rFonts w:ascii="David" w:hAnsi="David"/>
          <w:rtl/>
        </w:rPr>
        <w:t>" (</w:t>
      </w:r>
      <w:hyperlink r:id="rId21" w:history="1">
        <w:r w:rsidR="00843C3E" w:rsidRPr="00843C3E">
          <w:rPr>
            <w:rFonts w:ascii="David" w:hAnsi="David"/>
            <w:color w:val="0000FF"/>
            <w:u w:val="single"/>
            <w:rtl/>
          </w:rPr>
          <w:t>ע"פ 6383/21</w:t>
        </w:r>
      </w:hyperlink>
      <w:r>
        <w:rPr>
          <w:rFonts w:ascii="David" w:hAnsi="David"/>
          <w:rtl/>
        </w:rPr>
        <w:t xml:space="preserve"> </w:t>
      </w:r>
      <w:r>
        <w:rPr>
          <w:rFonts w:ascii="David" w:hAnsi="David"/>
          <w:b/>
          <w:bCs/>
          <w:rtl/>
        </w:rPr>
        <w:t>קריף נ' מדינת ישראל</w:t>
      </w:r>
      <w:r>
        <w:rPr>
          <w:rFonts w:ascii="David" w:hAnsi="David"/>
          <w:rtl/>
        </w:rPr>
        <w:t xml:space="preserve"> (13.02.2022)).</w:t>
      </w:r>
    </w:p>
    <w:p w14:paraId="6BA5267C" w14:textId="77777777" w:rsidR="00385539" w:rsidRDefault="00385539" w:rsidP="00385539">
      <w:pPr>
        <w:ind w:right="851"/>
        <w:jc w:val="both"/>
        <w:rPr>
          <w:rFonts w:ascii="David" w:hAnsi="David"/>
          <w:rtl/>
        </w:rPr>
      </w:pPr>
    </w:p>
    <w:p w14:paraId="39C2462D" w14:textId="77777777" w:rsidR="00385539" w:rsidRDefault="00385539" w:rsidP="00385539">
      <w:pPr>
        <w:pStyle w:val="a9"/>
        <w:numPr>
          <w:ilvl w:val="0"/>
          <w:numId w:val="1"/>
        </w:numPr>
        <w:spacing w:line="360" w:lineRule="auto"/>
        <w:jc w:val="both"/>
        <w:rPr>
          <w:rFonts w:ascii="David" w:hAnsi="David"/>
        </w:rPr>
      </w:pPr>
      <w:r w:rsidRPr="00C4541F">
        <w:rPr>
          <w:rFonts w:ascii="David" w:hAnsi="David" w:hint="cs"/>
          <w:rtl/>
        </w:rPr>
        <w:t>בבחינת הנסיבות הקשורות לביצוע העבירה אציין כי מדובר בהחזקת אקדח תופי (</w:t>
      </w:r>
      <w:r w:rsidRPr="00C4541F">
        <w:rPr>
          <w:rFonts w:ascii="David" w:hAnsi="David"/>
        </w:rPr>
        <w:t>revolver</w:t>
      </w:r>
      <w:r w:rsidRPr="00C4541F">
        <w:rPr>
          <w:rFonts w:ascii="David" w:hAnsi="David" w:hint="cs"/>
          <w:rtl/>
        </w:rPr>
        <w:t xml:space="preserve">) היינו אקדח בעל מחסנית קבועה ומובנית. הסנגור טען שמדובר באקדח "מיושן" ודומה שחרף היעדרה של עובדה זו </w:t>
      </w:r>
      <w:r>
        <w:rPr>
          <w:rFonts w:ascii="David" w:hAnsi="David" w:hint="cs"/>
          <w:rtl/>
        </w:rPr>
        <w:t>מ</w:t>
      </w:r>
      <w:r w:rsidRPr="00C4541F">
        <w:rPr>
          <w:rFonts w:ascii="David" w:hAnsi="David" w:hint="cs"/>
          <w:rtl/>
        </w:rPr>
        <w:t>כתב האישום המתוקן</w:t>
      </w:r>
      <w:r>
        <w:rPr>
          <w:rFonts w:ascii="David" w:hAnsi="David" w:hint="cs"/>
          <w:rtl/>
        </w:rPr>
        <w:t>,</w:t>
      </w:r>
      <w:r w:rsidRPr="00C4541F">
        <w:rPr>
          <w:rFonts w:ascii="David" w:hAnsi="David" w:hint="cs"/>
          <w:rtl/>
        </w:rPr>
        <w:t xml:space="preserve"> ניתן לקבוע כך בהתאם לתמונה שהגישה המאשימה. עם זאת, אינני סבור שלנושא השלכה על גבולות מתחם הענישה שכן ה</w:t>
      </w:r>
      <w:r>
        <w:rPr>
          <w:rFonts w:ascii="David" w:hAnsi="David" w:hint="cs"/>
          <w:rtl/>
        </w:rPr>
        <w:t xml:space="preserve">נחת המוצא היא שמדובר בנשק תקין אך </w:t>
      </w:r>
      <w:r w:rsidRPr="00C4541F">
        <w:rPr>
          <w:rFonts w:ascii="David" w:hAnsi="David" w:hint="cs"/>
          <w:rtl/>
        </w:rPr>
        <w:t>האקדח הוחזק ללא תחמושת כך שפוטנציא</w:t>
      </w:r>
      <w:r w:rsidRPr="00C4541F">
        <w:rPr>
          <w:rFonts w:ascii="David" w:hAnsi="David" w:hint="eastAsia"/>
          <w:rtl/>
        </w:rPr>
        <w:t>ל</w:t>
      </w:r>
      <w:r w:rsidRPr="00C4541F">
        <w:rPr>
          <w:rFonts w:ascii="David" w:hAnsi="David" w:hint="cs"/>
          <w:rtl/>
        </w:rPr>
        <w:t xml:space="preserve"> הנזק לא היה מידי. מנגד, האקדח הוחזק בארגז מצעים בביתו של הנאשם היינו במקום זמין עבורו. ביחס לעובדה שהנאשם החזיק את האקדח </w:t>
      </w:r>
      <w:r>
        <w:rPr>
          <w:rFonts w:ascii="David" w:hAnsi="David" w:hint="cs"/>
          <w:rtl/>
        </w:rPr>
        <w:t xml:space="preserve">"בצוותא" </w:t>
      </w:r>
      <w:r w:rsidRPr="00C4541F">
        <w:rPr>
          <w:rFonts w:ascii="David" w:hAnsi="David" w:hint="cs"/>
          <w:rtl/>
        </w:rPr>
        <w:t xml:space="preserve">עם אחר שזהותו אינה ידועה, </w:t>
      </w:r>
      <w:r>
        <w:rPr>
          <w:rFonts w:ascii="David" w:hAnsi="David" w:hint="cs"/>
          <w:rtl/>
        </w:rPr>
        <w:t>יש ממש בטענת הסנגור שלאור כך שחלוקת התפקידים בין השניים אינה ידועה, לא ניתן לדעת מיהו הדומיננטי מבין השניים, היינו למי זיקה ממשית יותר לנשק ויש להניח את ההנחה המקלה עם הנאשם. עם זאת, כאמור, אין להתעלם מכך שהנשק הוחזק בביתו של הנאשם והייתה לו זמינות מעשית ומידית אליו ושליטה פיזית בו.</w:t>
      </w:r>
    </w:p>
    <w:p w14:paraId="6D0B122C" w14:textId="77777777" w:rsidR="00385539" w:rsidRPr="00AF2FA4" w:rsidRDefault="00385539" w:rsidP="00385539">
      <w:pPr>
        <w:pStyle w:val="a9"/>
        <w:spacing w:line="360" w:lineRule="auto"/>
        <w:ind w:left="0"/>
        <w:jc w:val="both"/>
        <w:rPr>
          <w:rFonts w:ascii="David" w:hAnsi="David"/>
        </w:rPr>
      </w:pPr>
    </w:p>
    <w:p w14:paraId="5CC51C6A" w14:textId="77777777" w:rsidR="00385539" w:rsidRDefault="00385539" w:rsidP="00385539">
      <w:pPr>
        <w:pStyle w:val="a9"/>
        <w:numPr>
          <w:ilvl w:val="0"/>
          <w:numId w:val="1"/>
        </w:numPr>
        <w:spacing w:line="360" w:lineRule="auto"/>
        <w:jc w:val="both"/>
        <w:rPr>
          <w:rFonts w:ascii="David" w:hAnsi="David"/>
        </w:rPr>
      </w:pPr>
      <w:r w:rsidRPr="00BC4A92">
        <w:rPr>
          <w:rFonts w:ascii="David" w:hAnsi="David"/>
          <w:rtl/>
        </w:rPr>
        <w:t xml:space="preserve">בית המשפט העליון קבע בשנים האחרונות בשורה ארוכה של מקרים כי על בתי המשפט לתרום תרומתם בביעור עבירות הנשק וכי יש להחמיר בענישה במקרים אלו. ראו מיני רבים: </w:t>
      </w:r>
    </w:p>
    <w:p w14:paraId="10E00738" w14:textId="77777777" w:rsidR="00385539" w:rsidRDefault="00385539" w:rsidP="00385539">
      <w:pPr>
        <w:pStyle w:val="a9"/>
        <w:ind w:left="0"/>
        <w:jc w:val="both"/>
        <w:rPr>
          <w:rFonts w:ascii="David" w:hAnsi="David"/>
          <w:rtl/>
        </w:rPr>
      </w:pPr>
    </w:p>
    <w:p w14:paraId="7D81BAB8" w14:textId="77777777" w:rsidR="00385539" w:rsidRDefault="00385539" w:rsidP="00385539">
      <w:pPr>
        <w:pStyle w:val="a9"/>
        <w:ind w:left="1440" w:right="1418"/>
        <w:jc w:val="both"/>
        <w:rPr>
          <w:rFonts w:ascii="David" w:hAnsi="David"/>
          <w:rtl/>
        </w:rPr>
      </w:pPr>
      <w:r>
        <w:rPr>
          <w:rFonts w:ascii="Miriam" w:hAnsi="Miriam" w:cs="Miriam"/>
          <w:color w:val="000000"/>
          <w:spacing w:val="10"/>
          <w:rtl/>
        </w:rPr>
        <w:t>"עלינו להעביר מסר חד וברור - כל מי שנושא ומחזיק נשק בלתי חוקי ואף אם מדובר בצורך להגנה אישית, עליו להיות מודע לכך שהוא עובר על החוק וצפוי לענישה קשה בדמות עונש מאסר משמעותי בפועל. במילים אחרות, הענישה המחמירה והבלתי מתפשרת צריכה לחול ללא קשר על כל עבירה בנשק לנוכח</w:t>
      </w:r>
      <w:r w:rsidR="00843C3E">
        <w:rPr>
          <w:rFonts w:ascii="Miriam" w:hAnsi="Miriam" w:cs="Miriam"/>
          <w:color w:val="000000"/>
          <w:spacing w:val="10"/>
          <w:rtl/>
        </w:rPr>
        <w:t xml:space="preserve"> </w:t>
      </w:r>
      <w:r>
        <w:rPr>
          <w:rFonts w:ascii="Miriam" w:hAnsi="Miriam" w:cs="Miriam"/>
          <w:color w:val="000000"/>
          <w:spacing w:val="10"/>
          <w:rtl/>
        </w:rPr>
        <w:t>חשש מפגיעה ממשית בערכים החברתיים, ואיומים משמעותיים על שלום הציבור וביטחונו"</w:t>
      </w:r>
      <w:r>
        <w:rPr>
          <w:rFonts w:ascii="Miriam" w:hAnsi="Miriam" w:cs="Miriam"/>
          <w:color w:val="000000"/>
          <w:spacing w:val="10"/>
        </w:rPr>
        <w:t>.</w:t>
      </w:r>
      <w:r>
        <w:rPr>
          <w:rFonts w:ascii="David" w:hAnsi="David"/>
          <w:rtl/>
        </w:rPr>
        <w:t xml:space="preserve"> </w:t>
      </w:r>
      <w:r>
        <w:rPr>
          <w:rFonts w:ascii="David" w:hAnsi="David" w:hint="cs"/>
          <w:rtl/>
        </w:rPr>
        <w:t>(</w:t>
      </w:r>
      <w:hyperlink r:id="rId22" w:history="1">
        <w:r w:rsidR="00843C3E" w:rsidRPr="00843C3E">
          <w:rPr>
            <w:rFonts w:ascii="David" w:hAnsi="David"/>
            <w:color w:val="0000FF"/>
            <w:u w:val="single"/>
            <w:rtl/>
          </w:rPr>
          <w:t>ע"פ 5681/23</w:t>
        </w:r>
      </w:hyperlink>
      <w:r>
        <w:rPr>
          <w:rFonts w:ascii="David" w:hAnsi="David" w:hint="cs"/>
          <w:rtl/>
        </w:rPr>
        <w:t xml:space="preserve"> </w:t>
      </w:r>
      <w:r>
        <w:rPr>
          <w:rFonts w:ascii="David" w:hAnsi="David" w:hint="cs"/>
          <w:b/>
          <w:bCs/>
          <w:rtl/>
        </w:rPr>
        <w:t>נח חווא נ' מדינת ישראל</w:t>
      </w:r>
      <w:r>
        <w:rPr>
          <w:rFonts w:ascii="David" w:hAnsi="David" w:hint="cs"/>
          <w:rtl/>
        </w:rPr>
        <w:t xml:space="preserve"> (20.12.2023) להלן </w:t>
      </w:r>
      <w:r>
        <w:rPr>
          <w:rFonts w:ascii="David" w:hAnsi="David"/>
          <w:rtl/>
        </w:rPr>
        <w:t>–</w:t>
      </w:r>
      <w:r>
        <w:rPr>
          <w:rFonts w:ascii="David" w:hAnsi="David" w:hint="cs"/>
          <w:rtl/>
        </w:rPr>
        <w:t xml:space="preserve"> </w:t>
      </w:r>
      <w:r w:rsidRPr="00663404">
        <w:rPr>
          <w:rFonts w:ascii="David" w:hAnsi="David" w:hint="cs"/>
          <w:b/>
          <w:bCs/>
          <w:rtl/>
        </w:rPr>
        <w:t>עניין חווא</w:t>
      </w:r>
      <w:r>
        <w:rPr>
          <w:rFonts w:ascii="David" w:hAnsi="David" w:hint="cs"/>
          <w:rtl/>
        </w:rPr>
        <w:t xml:space="preserve">).  </w:t>
      </w:r>
    </w:p>
    <w:p w14:paraId="74E51AB4" w14:textId="77777777" w:rsidR="00385539" w:rsidRDefault="00385539" w:rsidP="00385539">
      <w:pPr>
        <w:pStyle w:val="a9"/>
        <w:spacing w:line="360" w:lineRule="auto"/>
        <w:ind w:left="0"/>
        <w:jc w:val="both"/>
        <w:rPr>
          <w:rFonts w:ascii="David" w:hAnsi="David"/>
          <w:rtl/>
        </w:rPr>
      </w:pPr>
    </w:p>
    <w:p w14:paraId="143E60F5" w14:textId="77777777" w:rsidR="00385539" w:rsidRDefault="00385539" w:rsidP="00385539">
      <w:pPr>
        <w:pStyle w:val="a9"/>
        <w:ind w:left="1440" w:right="1418"/>
        <w:jc w:val="both"/>
        <w:rPr>
          <w:rFonts w:ascii="David" w:hAnsi="David"/>
          <w:rtl/>
        </w:rPr>
      </w:pPr>
      <w:r>
        <w:rPr>
          <w:rFonts w:ascii="Miriam" w:hAnsi="Miriam" w:cs="Miriam"/>
          <w:rtl/>
        </w:rPr>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 מקלע [...] 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ascii="Miriam" w:hAnsi="Miriam" w:cs="Miriam"/>
        </w:rPr>
        <w:t>)</w:t>
      </w:r>
      <w:r w:rsidR="00843C3E">
        <w:rPr>
          <w:rFonts w:ascii="David" w:hAnsi="David"/>
        </w:rPr>
        <w:t xml:space="preserve"> </w:t>
      </w:r>
      <w:hyperlink r:id="rId23" w:history="1">
        <w:r w:rsidR="00843C3E" w:rsidRPr="00843C3E">
          <w:rPr>
            <w:rFonts w:ascii="David" w:hAnsi="David"/>
            <w:color w:val="0000FF"/>
            <w:u w:val="single"/>
            <w:rtl/>
          </w:rPr>
          <w:t>ע"פ 147/21</w:t>
        </w:r>
      </w:hyperlink>
      <w:r w:rsidR="00843C3E">
        <w:rPr>
          <w:rFonts w:ascii="David" w:hAnsi="David"/>
        </w:rPr>
        <w:t xml:space="preserve"> </w:t>
      </w:r>
      <w:r>
        <w:rPr>
          <w:rFonts w:ascii="David" w:hAnsi="David"/>
          <w:b/>
          <w:bCs/>
          <w:rtl/>
        </w:rPr>
        <w:t>מדינת ישראל נ' ביטון</w:t>
      </w:r>
      <w:r w:rsidR="00843C3E">
        <w:rPr>
          <w:rFonts w:ascii="David" w:hAnsi="David"/>
          <w:b/>
          <w:bCs/>
        </w:rPr>
        <w:t xml:space="preserve"> </w:t>
      </w:r>
      <w:r>
        <w:rPr>
          <w:rFonts w:ascii="David" w:hAnsi="David"/>
        </w:rPr>
        <w:t xml:space="preserve">((14.2.2021) </w:t>
      </w:r>
    </w:p>
    <w:p w14:paraId="381A4A55" w14:textId="77777777" w:rsidR="00385539" w:rsidRDefault="00385539" w:rsidP="00385539">
      <w:pPr>
        <w:pStyle w:val="a9"/>
        <w:ind w:left="1440" w:right="1418"/>
        <w:jc w:val="both"/>
        <w:rPr>
          <w:rFonts w:ascii="David" w:hAnsi="David"/>
          <w:rtl/>
        </w:rPr>
      </w:pPr>
    </w:p>
    <w:p w14:paraId="63A2629D" w14:textId="77777777" w:rsidR="00385539" w:rsidRPr="002B6C18" w:rsidRDefault="00385539" w:rsidP="00385539">
      <w:pPr>
        <w:pStyle w:val="a9"/>
        <w:ind w:left="1440" w:right="1418"/>
        <w:jc w:val="both"/>
        <w:rPr>
          <w:rFonts w:ascii="David" w:hAnsi="David"/>
          <w:rtl/>
        </w:rPr>
      </w:pPr>
    </w:p>
    <w:p w14:paraId="67AE02AA" w14:textId="77777777" w:rsidR="00385539" w:rsidRPr="00AF2FA4" w:rsidRDefault="00385539" w:rsidP="00385539">
      <w:pPr>
        <w:pStyle w:val="a9"/>
        <w:numPr>
          <w:ilvl w:val="0"/>
          <w:numId w:val="1"/>
        </w:numPr>
        <w:spacing w:line="360" w:lineRule="auto"/>
        <w:jc w:val="both"/>
        <w:rPr>
          <w:rFonts w:ascii="David" w:hAnsi="David"/>
        </w:rPr>
      </w:pPr>
      <w:r w:rsidRPr="00BC768F">
        <w:rPr>
          <w:rFonts w:ascii="David" w:hAnsi="David" w:hint="cs"/>
          <w:rtl/>
        </w:rPr>
        <w:t>נקודה נוספת הראויה לציון היא הוראת השעה שנקבעה ב</w:t>
      </w:r>
      <w:r w:rsidRPr="00BC768F">
        <w:rPr>
          <w:rFonts w:ascii="David" w:hAnsi="David"/>
          <w:rtl/>
        </w:rPr>
        <w:t>תיקון 140 ל</w:t>
      </w:r>
      <w:hyperlink r:id="rId24" w:history="1">
        <w:r w:rsidR="00843C3E" w:rsidRPr="00843C3E">
          <w:rPr>
            <w:rFonts w:ascii="David" w:hAnsi="David"/>
            <w:color w:val="0000FF"/>
            <w:u w:val="single"/>
            <w:rtl/>
          </w:rPr>
          <w:t>חוק העונשין</w:t>
        </w:r>
      </w:hyperlink>
      <w:r w:rsidRPr="00BC768F">
        <w:rPr>
          <w:rFonts w:ascii="David" w:hAnsi="David" w:hint="cs"/>
          <w:rtl/>
        </w:rPr>
        <w:t xml:space="preserve">. כידוע, במסגרת הוראת השעה נקבע </w:t>
      </w:r>
      <w:hyperlink r:id="rId25" w:history="1">
        <w:r w:rsidR="0090456E" w:rsidRPr="0090456E">
          <w:rPr>
            <w:rStyle w:val="Hyperlink"/>
            <w:rFonts w:ascii="David" w:hAnsi="David"/>
            <w:color w:val="0000FF"/>
            <w:rtl/>
          </w:rPr>
          <w:t>בסעיף 144(ז)</w:t>
        </w:r>
      </w:hyperlink>
      <w:r w:rsidRPr="00BC768F">
        <w:rPr>
          <w:rFonts w:ascii="David" w:hAnsi="David"/>
          <w:rtl/>
        </w:rPr>
        <w:t xml:space="preserve"> </w:t>
      </w:r>
      <w:r w:rsidRPr="00BC768F">
        <w:rPr>
          <w:rFonts w:ascii="David" w:hAnsi="David" w:hint="cs"/>
          <w:rtl/>
        </w:rPr>
        <w:t>ל</w:t>
      </w:r>
      <w:hyperlink r:id="rId26" w:history="1">
        <w:r w:rsidR="00843C3E" w:rsidRPr="00843C3E">
          <w:rPr>
            <w:rFonts w:ascii="David" w:hAnsi="David"/>
            <w:color w:val="0000FF"/>
            <w:u w:val="single"/>
            <w:rtl/>
          </w:rPr>
          <w:t>חוק העונשין</w:t>
        </w:r>
      </w:hyperlink>
      <w:r w:rsidRPr="00BC768F">
        <w:rPr>
          <w:rFonts w:ascii="David" w:hAnsi="David" w:hint="cs"/>
          <w:rtl/>
        </w:rPr>
        <w:t xml:space="preserve"> עונש מזערי של רבע מהעונש המרבי (בענייננו - 21 חודשי מאסר). הדבר מבטא בצורה ברורה את עמדת המחוקק להחמרה הנדרשת בעת הזו בעבירות נשק (עניין </w:t>
      </w:r>
      <w:r w:rsidRPr="00BC768F">
        <w:rPr>
          <w:rFonts w:ascii="David" w:hAnsi="David" w:hint="cs"/>
          <w:b/>
          <w:bCs/>
          <w:rtl/>
        </w:rPr>
        <w:t>חווא</w:t>
      </w:r>
      <w:r w:rsidRPr="00BC768F">
        <w:rPr>
          <w:rFonts w:ascii="David" w:hAnsi="David" w:hint="cs"/>
          <w:rtl/>
        </w:rPr>
        <w:t>, פסקה 11). בטיעון בכתב טענה המאשימה שלהוראה אין תחולה לאור כך שהעבירה נעברה טרם כניסת</w:t>
      </w:r>
      <w:r>
        <w:rPr>
          <w:rFonts w:ascii="David" w:hAnsi="David" w:hint="cs"/>
          <w:rtl/>
        </w:rPr>
        <w:t>ה</w:t>
      </w:r>
      <w:r w:rsidRPr="00BC768F">
        <w:rPr>
          <w:rFonts w:ascii="David" w:hAnsi="David" w:hint="cs"/>
          <w:rtl/>
        </w:rPr>
        <w:t xml:space="preserve"> לתוקף (סעיף 7). טענה זו אינה נכונה כמובן מבחינה עובדתית שכן התיקון נכנס לתוקף ביום 8.12.21 ו</w:t>
      </w:r>
      <w:r>
        <w:rPr>
          <w:rFonts w:ascii="David" w:hAnsi="David" w:hint="cs"/>
          <w:rtl/>
        </w:rPr>
        <w:t xml:space="preserve">אילו </w:t>
      </w:r>
      <w:r w:rsidRPr="00BC768F">
        <w:rPr>
          <w:rFonts w:ascii="David" w:hAnsi="David" w:hint="cs"/>
          <w:rtl/>
        </w:rPr>
        <w:t>העבירה בוצעה ביום 21.1.24 ודומה שסעיף זה שורבב לטיעונים</w:t>
      </w:r>
      <w:r>
        <w:rPr>
          <w:rFonts w:ascii="David" w:hAnsi="David" w:hint="cs"/>
          <w:rtl/>
        </w:rPr>
        <w:t xml:space="preserve"> בשגגה </w:t>
      </w:r>
      <w:r w:rsidRPr="00BC768F">
        <w:rPr>
          <w:rFonts w:ascii="David" w:hAnsi="David" w:hint="cs"/>
          <w:rtl/>
        </w:rPr>
        <w:t>ואינו</w:t>
      </w:r>
      <w:r>
        <w:rPr>
          <w:rFonts w:ascii="David" w:hAnsi="David" w:hint="cs"/>
          <w:rtl/>
        </w:rPr>
        <w:t xml:space="preserve"> קשור לענייננו. </w:t>
      </w:r>
      <w:r w:rsidRPr="00AF2FA4">
        <w:rPr>
          <w:rFonts w:ascii="David" w:hAnsi="David" w:hint="cs"/>
          <w:rtl/>
        </w:rPr>
        <w:t xml:space="preserve">עם זאת, הוראת השעה מעוררת שאלה הראויה לדיון שכן תיקון 140 קבע שהיא תעמוד בתוקפה למשך שלוש שנים (היינו עד יום </w:t>
      </w:r>
      <w:r>
        <w:rPr>
          <w:rFonts w:ascii="David" w:hAnsi="David" w:hint="cs"/>
          <w:rtl/>
        </w:rPr>
        <w:t>8</w:t>
      </w:r>
      <w:r w:rsidRPr="00AF2FA4">
        <w:rPr>
          <w:rFonts w:ascii="David" w:hAnsi="David" w:hint="cs"/>
          <w:rtl/>
        </w:rPr>
        <w:t>.12.24)</w:t>
      </w:r>
      <w:r w:rsidRPr="00AF2FA4">
        <w:rPr>
          <w:rFonts w:ascii="David" w:hAnsi="David" w:hint="cs"/>
        </w:rPr>
        <w:t xml:space="preserve"> </w:t>
      </w:r>
      <w:r w:rsidRPr="00AF2FA4">
        <w:rPr>
          <w:rFonts w:ascii="David" w:hAnsi="David" w:hint="cs"/>
          <w:rtl/>
        </w:rPr>
        <w:t xml:space="preserve">וככל שידיעתי מגעת היא טרם חודשה במסגרת חוק, הגם </w:t>
      </w:r>
      <w:r>
        <w:rPr>
          <w:rFonts w:ascii="David" w:hAnsi="David" w:hint="cs"/>
          <w:rtl/>
        </w:rPr>
        <w:t>ש</w:t>
      </w:r>
      <w:r w:rsidRPr="00AF2FA4">
        <w:rPr>
          <w:rFonts w:ascii="David" w:hAnsi="David" w:hint="cs"/>
          <w:rtl/>
        </w:rPr>
        <w:t xml:space="preserve">ביום 29.11.24 הוגש תזכיר </w:t>
      </w:r>
      <w:r w:rsidR="00843C3E" w:rsidRPr="0090456E">
        <w:rPr>
          <w:rFonts w:ascii="David" w:hAnsi="David"/>
          <w:rtl/>
        </w:rPr>
        <w:t>חוק העונשין</w:t>
      </w:r>
      <w:r w:rsidRPr="00AF2FA4">
        <w:rPr>
          <w:rFonts w:ascii="David" w:hAnsi="David" w:hint="cs"/>
          <w:rtl/>
        </w:rPr>
        <w:t xml:space="preserve"> (תיקון מס' 140 </w:t>
      </w:r>
      <w:r w:rsidRPr="00AF2FA4">
        <w:rPr>
          <w:rFonts w:ascii="David" w:hAnsi="David"/>
          <w:rtl/>
        </w:rPr>
        <w:t>–</w:t>
      </w:r>
      <w:r w:rsidRPr="00AF2FA4">
        <w:rPr>
          <w:rFonts w:ascii="David" w:hAnsi="David" w:hint="cs"/>
          <w:rtl/>
        </w:rPr>
        <w:t xml:space="preserve"> הוראת שעה (תיקון), התשפ"ה-2024)</w:t>
      </w:r>
      <w:r w:rsidRPr="00AF2FA4">
        <w:rPr>
          <w:rFonts w:ascii="David" w:hAnsi="David" w:hint="cs"/>
        </w:rPr>
        <w:t xml:space="preserve"> </w:t>
      </w:r>
      <w:r w:rsidRPr="00AF2FA4">
        <w:rPr>
          <w:rFonts w:ascii="David" w:hAnsi="David" w:hint="cs"/>
          <w:rtl/>
        </w:rPr>
        <w:t xml:space="preserve">המציע להאריך את הוראת השעה בשנתיים נוספות. </w:t>
      </w:r>
    </w:p>
    <w:p w14:paraId="19A9279A" w14:textId="77777777" w:rsidR="00385539" w:rsidRPr="00AF2FA4" w:rsidRDefault="00385539" w:rsidP="00385539">
      <w:pPr>
        <w:pStyle w:val="a9"/>
        <w:spacing w:line="360" w:lineRule="auto"/>
        <w:ind w:left="0"/>
        <w:jc w:val="both"/>
        <w:rPr>
          <w:rFonts w:ascii="David" w:hAnsi="David"/>
        </w:rPr>
      </w:pPr>
    </w:p>
    <w:p w14:paraId="0960EB62" w14:textId="77777777" w:rsidR="00385539" w:rsidRDefault="00385539" w:rsidP="00385539">
      <w:pPr>
        <w:pStyle w:val="a9"/>
        <w:numPr>
          <w:ilvl w:val="0"/>
          <w:numId w:val="1"/>
        </w:numPr>
        <w:spacing w:line="360" w:lineRule="auto"/>
        <w:jc w:val="both"/>
        <w:rPr>
          <w:rFonts w:ascii="David" w:hAnsi="David"/>
        </w:rPr>
      </w:pPr>
      <w:r w:rsidRPr="00BC768F">
        <w:rPr>
          <w:rFonts w:ascii="David" w:hAnsi="David" w:hint="cs"/>
          <w:rtl/>
        </w:rPr>
        <w:t>הצדדים לא התייחסו לנושא ולכן לא ראיתי להרחיב. עם זאת אומר בקצרה כי לאור כך שמדובר בהוראת שעה, דעתי היא שהיא חלה על עניינו של הנאשם אף אם פקעה טרם מתן גזר הדין</w:t>
      </w:r>
      <w:r>
        <w:rPr>
          <w:rFonts w:ascii="David" w:hAnsi="David" w:hint="cs"/>
          <w:rtl/>
        </w:rPr>
        <w:t xml:space="preserve"> ובלבד שהייתה בתוקף בעת שהעבירה נעברה</w:t>
      </w:r>
      <w:r w:rsidRPr="00BC768F">
        <w:rPr>
          <w:rFonts w:ascii="David" w:hAnsi="David" w:hint="cs"/>
          <w:rtl/>
        </w:rPr>
        <w:t xml:space="preserve">, שכן </w:t>
      </w:r>
      <w:r w:rsidRPr="00BC768F">
        <w:rPr>
          <w:rFonts w:ascii="Miriam" w:hAnsi="Miriam" w:cs="Miriam"/>
          <w:rtl/>
        </w:rPr>
        <w:t>"איסור לשעה נשלט על ידי החוק שעמד בתוקפו בעת הפרתו, בהתעלם מחיקוק מאוחר המיטיב עם הנאשם, לרבות חיקוק המבטל כליל את העבירה"</w:t>
      </w:r>
      <w:r w:rsidRPr="00BC768F">
        <w:rPr>
          <w:rFonts w:ascii="David" w:hAnsi="David" w:hint="cs"/>
        </w:rPr>
        <w:t xml:space="preserve"> </w:t>
      </w:r>
      <w:r w:rsidRPr="00BC768F">
        <w:rPr>
          <w:rFonts w:ascii="David" w:hAnsi="David" w:hint="cs"/>
          <w:rtl/>
        </w:rPr>
        <w:t>(</w:t>
      </w:r>
      <w:hyperlink r:id="rId27" w:history="1">
        <w:r w:rsidR="00843C3E" w:rsidRPr="00843C3E">
          <w:rPr>
            <w:rFonts w:ascii="David" w:hAnsi="David"/>
            <w:color w:val="0000FF"/>
            <w:u w:val="single"/>
            <w:rtl/>
          </w:rPr>
          <w:t>רע"פ 4562/11</w:t>
        </w:r>
      </w:hyperlink>
      <w:r w:rsidRPr="00BC768F">
        <w:rPr>
          <w:rFonts w:ascii="David" w:hAnsi="David" w:hint="cs"/>
          <w:rtl/>
        </w:rPr>
        <w:t xml:space="preserve"> </w:t>
      </w:r>
      <w:r w:rsidRPr="00BC768F">
        <w:rPr>
          <w:rFonts w:ascii="David" w:hAnsi="David"/>
          <w:b/>
          <w:bCs/>
          <w:rtl/>
        </w:rPr>
        <w:t>אבראהים מוחתסב</w:t>
      </w:r>
      <w:r w:rsidRPr="00BC768F">
        <w:rPr>
          <w:rFonts w:ascii="David" w:hAnsi="David" w:hint="cs"/>
          <w:b/>
          <w:bCs/>
          <w:rtl/>
        </w:rPr>
        <w:t xml:space="preserve"> נ' מדינת ישראל</w:t>
      </w:r>
      <w:r w:rsidRPr="00BC768F">
        <w:rPr>
          <w:rFonts w:ascii="David" w:hAnsi="David" w:hint="cs"/>
          <w:rtl/>
        </w:rPr>
        <w:t xml:space="preserve"> (7.3.2013), פסקה 11). </w:t>
      </w:r>
      <w:r>
        <w:rPr>
          <w:rFonts w:ascii="David" w:hAnsi="David" w:hint="cs"/>
          <w:rtl/>
        </w:rPr>
        <w:t xml:space="preserve">אכן, בהתאם להוראות </w:t>
      </w:r>
      <w:hyperlink r:id="rId28" w:history="1">
        <w:r w:rsidR="0090456E" w:rsidRPr="0090456E">
          <w:rPr>
            <w:rStyle w:val="Hyperlink"/>
            <w:rFonts w:ascii="David" w:hAnsi="David" w:hint="eastAsia"/>
            <w:color w:val="0000FF"/>
            <w:rtl/>
          </w:rPr>
          <w:t>סעיף</w:t>
        </w:r>
        <w:r w:rsidR="0090456E" w:rsidRPr="0090456E">
          <w:rPr>
            <w:rStyle w:val="Hyperlink"/>
            <w:rFonts w:ascii="David" w:hAnsi="David"/>
            <w:color w:val="0000FF"/>
            <w:rtl/>
          </w:rPr>
          <w:t xml:space="preserve"> 5(א)</w:t>
        </w:r>
      </w:hyperlink>
      <w:r>
        <w:rPr>
          <w:rFonts w:ascii="David" w:hAnsi="David" w:hint="cs"/>
          <w:rtl/>
        </w:rPr>
        <w:t xml:space="preserve"> ל</w:t>
      </w:r>
      <w:hyperlink r:id="rId29" w:history="1">
        <w:r w:rsidR="00843C3E" w:rsidRPr="00843C3E">
          <w:rPr>
            <w:rFonts w:ascii="David" w:hAnsi="David"/>
            <w:color w:val="0000FF"/>
            <w:u w:val="single"/>
            <w:rtl/>
          </w:rPr>
          <w:t>חוק העונשין</w:t>
        </w:r>
      </w:hyperlink>
      <w:r>
        <w:rPr>
          <w:rFonts w:ascii="David" w:hAnsi="David" w:hint="cs"/>
          <w:rtl/>
        </w:rPr>
        <w:t xml:space="preserve"> </w:t>
      </w:r>
      <w:r>
        <w:rPr>
          <w:rFonts w:ascii="Miriam" w:hAnsi="Miriam" w:cs="Miriam" w:hint="cs"/>
          <w:color w:val="000000"/>
          <w:rtl/>
        </w:rPr>
        <w:t>"</w:t>
      </w:r>
      <w:r>
        <w:rPr>
          <w:rFonts w:ascii="Miriam" w:hAnsi="Miriam" w:cs="Miriam"/>
          <w:color w:val="000000"/>
          <w:rtl/>
        </w:rPr>
        <w:t>נעברה עבירה ובטרם ניתן פסק דין חלוט לגביה, חל שינוי בנוגע להגדרתה או לאחריות לה, או בנוגע לעונש שנקבע לה, יחול על הענין החיקוק המקל עם העושה</w:t>
      </w:r>
      <w:r>
        <w:rPr>
          <w:rFonts w:ascii="Miriam" w:hAnsi="Miriam" w:cs="Miriam" w:hint="cs"/>
          <w:color w:val="000000"/>
          <w:rtl/>
        </w:rPr>
        <w:t>"</w:t>
      </w:r>
      <w:r>
        <w:rPr>
          <w:rFonts w:ascii="David" w:hAnsi="David" w:hint="cs"/>
          <w:rtl/>
        </w:rPr>
        <w:t xml:space="preserve"> ואולם תיקון 140 נחקק במסגרת הוראת שעה קצובה בזמן, כך שעל הנושא חולש </w:t>
      </w:r>
      <w:hyperlink r:id="rId30" w:history="1">
        <w:r w:rsidR="0090456E" w:rsidRPr="0090456E">
          <w:rPr>
            <w:rStyle w:val="Hyperlink"/>
            <w:rFonts w:ascii="David" w:hAnsi="David" w:hint="eastAsia"/>
            <w:color w:val="0000FF"/>
            <w:rtl/>
          </w:rPr>
          <w:t>סעיף</w:t>
        </w:r>
        <w:r w:rsidR="0090456E" w:rsidRPr="0090456E">
          <w:rPr>
            <w:rStyle w:val="Hyperlink"/>
            <w:rFonts w:ascii="David" w:hAnsi="David"/>
            <w:color w:val="0000FF"/>
            <w:rtl/>
          </w:rPr>
          <w:t xml:space="preserve"> 6</w:t>
        </w:r>
      </w:hyperlink>
      <w:r w:rsidRPr="00BC768F">
        <w:rPr>
          <w:rFonts w:ascii="David" w:hAnsi="David" w:hint="cs"/>
          <w:rtl/>
        </w:rPr>
        <w:t xml:space="preserve"> לחוק העונשין </w:t>
      </w:r>
      <w:r>
        <w:rPr>
          <w:rFonts w:ascii="David" w:hAnsi="David" w:hint="cs"/>
          <w:rtl/>
        </w:rPr>
        <w:t xml:space="preserve">לפיו </w:t>
      </w:r>
      <w:r w:rsidRPr="00BC768F">
        <w:rPr>
          <w:rFonts w:ascii="David" w:hAnsi="David" w:hint="cs"/>
          <w:rtl/>
        </w:rPr>
        <w:t xml:space="preserve">אין תחולה </w:t>
      </w:r>
      <w:r>
        <w:rPr>
          <w:rFonts w:ascii="David" w:hAnsi="David" w:hint="cs"/>
          <w:rtl/>
        </w:rPr>
        <w:t xml:space="preserve">במקרים של </w:t>
      </w:r>
      <w:r w:rsidRPr="00360956">
        <w:rPr>
          <w:rFonts w:ascii="Miriam" w:hAnsi="Miriam" w:cs="Miriam"/>
          <w:rtl/>
        </w:rPr>
        <w:t>"עבירות שהזמן גרמן"</w:t>
      </w:r>
      <w:r>
        <w:rPr>
          <w:rFonts w:ascii="David" w:hAnsi="David" w:hint="cs"/>
        </w:rPr>
        <w:t xml:space="preserve"> </w:t>
      </w:r>
      <w:r>
        <w:rPr>
          <w:rFonts w:ascii="David" w:hAnsi="David" w:hint="cs"/>
          <w:rtl/>
        </w:rPr>
        <w:t>(וכך הוא תיקון 140 )</w:t>
      </w:r>
      <w:r>
        <w:rPr>
          <w:rFonts w:ascii="David" w:hAnsi="David" w:hint="cs"/>
        </w:rPr>
        <w:t xml:space="preserve"> </w:t>
      </w:r>
      <w:r w:rsidRPr="00BC768F">
        <w:rPr>
          <w:rFonts w:ascii="David" w:hAnsi="David" w:hint="cs"/>
          <w:rtl/>
        </w:rPr>
        <w:t xml:space="preserve">להוראות סעיפים </w:t>
      </w:r>
      <w:hyperlink r:id="rId31" w:history="1">
        <w:r w:rsidR="0090456E" w:rsidRPr="0090456E">
          <w:rPr>
            <w:rStyle w:val="Hyperlink"/>
            <w:rFonts w:ascii="David" w:hAnsi="David"/>
            <w:color w:val="0000FF"/>
            <w:rtl/>
          </w:rPr>
          <w:t>4 ו-5</w:t>
        </w:r>
      </w:hyperlink>
      <w:r>
        <w:rPr>
          <w:rFonts w:ascii="David" w:hAnsi="David" w:hint="cs"/>
          <w:rtl/>
        </w:rPr>
        <w:t xml:space="preserve"> </w:t>
      </w:r>
      <w:r w:rsidRPr="00BC768F">
        <w:rPr>
          <w:rFonts w:ascii="David" w:hAnsi="David" w:hint="cs"/>
          <w:rtl/>
        </w:rPr>
        <w:t xml:space="preserve">לחוק. במצב דברים זה יש לגזור את הדין בהתאם למצב שחל בעת שהנאשם עבר את העבירה, היינו בעת תחולתה של הוראת השעה. </w:t>
      </w:r>
      <w:r>
        <w:rPr>
          <w:rFonts w:ascii="David" w:hAnsi="David" w:hint="cs"/>
          <w:rtl/>
        </w:rPr>
        <w:t xml:space="preserve">ודוק: </w:t>
      </w:r>
      <w:r w:rsidRPr="00BC768F">
        <w:rPr>
          <w:rFonts w:ascii="David" w:hAnsi="David" w:hint="cs"/>
          <w:rtl/>
        </w:rPr>
        <w:t xml:space="preserve">לכלל זה קיים חריג </w:t>
      </w:r>
      <w:r>
        <w:rPr>
          <w:rFonts w:ascii="David" w:hAnsi="David" w:hint="cs"/>
          <w:rtl/>
        </w:rPr>
        <w:t xml:space="preserve">והוא </w:t>
      </w:r>
      <w:r w:rsidRPr="00BC768F">
        <w:rPr>
          <w:rFonts w:ascii="David" w:hAnsi="David" w:hint="cs"/>
          <w:rtl/>
        </w:rPr>
        <w:t>כאשר מדובר ב</w:t>
      </w:r>
      <w:r w:rsidRPr="00BC768F">
        <w:rPr>
          <w:rFonts w:ascii="Miriam" w:hAnsi="Miriam" w:cs="Miriam"/>
          <w:rtl/>
        </w:rPr>
        <w:t>"מצבים נדירים, שבהם יהא זה מוצדק להקל עם הפרט למפרע אפילו בנוגע לעבירות מסוגים אלו</w:t>
      </w:r>
      <w:r>
        <w:rPr>
          <w:rFonts w:ascii="Miriam" w:hAnsi="Miriam" w:cs="Miriam" w:hint="cs"/>
          <w:rtl/>
        </w:rPr>
        <w:t xml:space="preserve"> </w:t>
      </w:r>
      <w:r w:rsidRPr="006252E8">
        <w:rPr>
          <w:rFonts w:ascii="David" w:hAnsi="David"/>
          <w:rtl/>
        </w:rPr>
        <w:t>(היינו – עבירות ש</w:t>
      </w:r>
      <w:r>
        <w:rPr>
          <w:rFonts w:ascii="David" w:hAnsi="David" w:hint="cs"/>
          <w:rtl/>
        </w:rPr>
        <w:t>נ</w:t>
      </w:r>
      <w:r w:rsidRPr="006252E8">
        <w:rPr>
          <w:rFonts w:ascii="David" w:hAnsi="David"/>
          <w:rtl/>
        </w:rPr>
        <w:t>חקקו לזמן קצוב</w:t>
      </w:r>
      <w:r>
        <w:rPr>
          <w:rFonts w:ascii="David" w:hAnsi="David" w:hint="cs"/>
          <w:rtl/>
        </w:rPr>
        <w:t xml:space="preserve"> </w:t>
      </w:r>
      <w:r w:rsidRPr="006252E8">
        <w:rPr>
          <w:rFonts w:ascii="David" w:hAnsi="David"/>
          <w:rtl/>
        </w:rPr>
        <w:t>- י"ט)</w:t>
      </w:r>
      <w:r w:rsidRPr="00BC768F">
        <w:rPr>
          <w:rFonts w:ascii="Miriam" w:hAnsi="Miriam" w:cs="Miriam"/>
          <w:rtl/>
        </w:rPr>
        <w:t xml:space="preserve">, אם אכן התחולל שינוי תפיסה של ממש ביחס אליהן" </w:t>
      </w:r>
      <w:r w:rsidRPr="00BC768F">
        <w:rPr>
          <w:rFonts w:ascii="David" w:hAnsi="David" w:hint="cs"/>
          <w:rtl/>
        </w:rPr>
        <w:t>(</w:t>
      </w:r>
      <w:hyperlink r:id="rId32" w:history="1">
        <w:r w:rsidR="00843C3E" w:rsidRPr="00843C3E">
          <w:rPr>
            <w:rFonts w:ascii="David" w:hAnsi="David"/>
            <w:color w:val="0000FF"/>
            <w:u w:val="single"/>
            <w:rtl/>
          </w:rPr>
          <w:t>רע"פ 8273/13</w:t>
        </w:r>
      </w:hyperlink>
      <w:r w:rsidRPr="00BC768F">
        <w:rPr>
          <w:rFonts w:ascii="David" w:hAnsi="David" w:hint="cs"/>
          <w:rtl/>
        </w:rPr>
        <w:t xml:space="preserve"> </w:t>
      </w:r>
      <w:r w:rsidRPr="00BC768F">
        <w:rPr>
          <w:rFonts w:ascii="David" w:hAnsi="David" w:hint="cs"/>
          <w:b/>
          <w:bCs/>
          <w:rtl/>
        </w:rPr>
        <w:t xml:space="preserve">מדינת ישראל/עיריית תל אביב נ' ליאור חיימוביץ </w:t>
      </w:r>
      <w:r>
        <w:rPr>
          <w:rFonts w:ascii="David" w:hAnsi="David" w:hint="cs"/>
          <w:rtl/>
        </w:rPr>
        <w:t xml:space="preserve">(25.12.2014), פסקה 54; וראו בנושא גם </w:t>
      </w:r>
      <w:r w:rsidRPr="00A75495">
        <w:rPr>
          <w:rFonts w:ascii="David" w:hAnsi="David"/>
          <w:rtl/>
        </w:rPr>
        <w:t xml:space="preserve">יורם רבין, יניב ואקי, </w:t>
      </w:r>
      <w:hyperlink r:id="rId33" w:history="1">
        <w:r w:rsidR="00843C3E" w:rsidRPr="00843C3E">
          <w:rPr>
            <w:rFonts w:ascii="David" w:hAnsi="David"/>
            <w:b/>
            <w:bCs/>
            <w:color w:val="0000FF"/>
            <w:u w:val="single"/>
            <w:rtl/>
          </w:rPr>
          <w:t>דיני עונשין</w:t>
        </w:r>
      </w:hyperlink>
      <w:r w:rsidRPr="00A75495">
        <w:rPr>
          <w:rFonts w:ascii="David" w:hAnsi="David"/>
          <w:rtl/>
        </w:rPr>
        <w:t xml:space="preserve"> - כרך א (מהדורה שלישית, 2014)</w:t>
      </w:r>
      <w:r w:rsidRPr="00A75495">
        <w:rPr>
          <w:rFonts w:ascii="David" w:hAnsi="David" w:hint="cs"/>
          <w:rtl/>
        </w:rPr>
        <w:t>, בעמ' 148</w:t>
      </w:r>
      <w:r>
        <w:rPr>
          <w:rFonts w:ascii="David" w:hAnsi="David" w:hint="cs"/>
          <w:rtl/>
        </w:rPr>
        <w:t xml:space="preserve">). אינני סבור שזה המצב במקרה זה, </w:t>
      </w:r>
      <w:r w:rsidRPr="00F23174">
        <w:rPr>
          <w:rFonts w:ascii="David" w:hAnsi="David" w:hint="cs"/>
          <w:rtl/>
        </w:rPr>
        <w:t xml:space="preserve">שהרי לא רק שלא חל שינוי תפיסה של ממש בנושא </w:t>
      </w:r>
      <w:r>
        <w:rPr>
          <w:rFonts w:ascii="David" w:hAnsi="David" w:hint="cs"/>
          <w:rtl/>
        </w:rPr>
        <w:t xml:space="preserve">עבירות בנשק, </w:t>
      </w:r>
      <w:r w:rsidRPr="00F23174">
        <w:rPr>
          <w:rFonts w:ascii="David" w:hAnsi="David" w:hint="cs"/>
          <w:rtl/>
        </w:rPr>
        <w:t>אלא שהוגש תזכיר חוק</w:t>
      </w:r>
      <w:r>
        <w:rPr>
          <w:rFonts w:ascii="David" w:hAnsi="David" w:hint="cs"/>
          <w:rtl/>
        </w:rPr>
        <w:t xml:space="preserve"> להארכת הוראת השעה (למשמעות הנוג</w:t>
      </w:r>
      <w:r w:rsidRPr="00F23174">
        <w:rPr>
          <w:rFonts w:ascii="David" w:hAnsi="David" w:hint="cs"/>
          <w:rtl/>
        </w:rPr>
        <w:t>עת לעמדת המחוקק בתזכיר חוק הגם שטרם הבשיל לכדי חוק, ראו:</w:t>
      </w:r>
      <w:r w:rsidRPr="00F23174">
        <w:rPr>
          <w:rFonts w:ascii="David" w:hAnsi="David" w:hint="cs"/>
        </w:rPr>
        <w:t xml:space="preserve"> </w:t>
      </w:r>
      <w:hyperlink r:id="rId34" w:history="1">
        <w:r w:rsidR="00843C3E" w:rsidRPr="00843C3E">
          <w:rPr>
            <w:rFonts w:ascii="David" w:hAnsi="David"/>
            <w:color w:val="0000FF"/>
            <w:u w:val="single"/>
            <w:rtl/>
          </w:rPr>
          <w:t>ע"פ  5668/13</w:t>
        </w:r>
      </w:hyperlink>
      <w:r w:rsidRPr="00F23174">
        <w:rPr>
          <w:rFonts w:ascii="David" w:hAnsi="David" w:hint="cs"/>
          <w:rtl/>
        </w:rPr>
        <w:t xml:space="preserve"> </w:t>
      </w:r>
      <w:r w:rsidRPr="00F23174">
        <w:rPr>
          <w:rFonts w:ascii="David" w:hAnsi="David" w:hint="cs"/>
          <w:b/>
          <w:bCs/>
          <w:rtl/>
        </w:rPr>
        <w:t>ערן מזרחי נ' מדינת ישראל</w:t>
      </w:r>
      <w:r w:rsidRPr="00F23174">
        <w:rPr>
          <w:rFonts w:ascii="David" w:hAnsi="David" w:hint="cs"/>
          <w:rtl/>
        </w:rPr>
        <w:t xml:space="preserve"> (17.3.2016), פסקה 23 לפסק דינו של כב' השופט סולברג).</w:t>
      </w:r>
    </w:p>
    <w:p w14:paraId="6632B710" w14:textId="77777777" w:rsidR="00385539" w:rsidRPr="00BC4BCF" w:rsidRDefault="00385539" w:rsidP="00385539">
      <w:pPr>
        <w:pStyle w:val="a9"/>
        <w:ind w:left="0"/>
        <w:jc w:val="both"/>
        <w:rPr>
          <w:rFonts w:ascii="David" w:hAnsi="David"/>
        </w:rPr>
      </w:pPr>
    </w:p>
    <w:p w14:paraId="42A5BDF3" w14:textId="77777777" w:rsidR="00385539" w:rsidRPr="00FB65E6" w:rsidRDefault="00385539" w:rsidP="00385539">
      <w:pPr>
        <w:pStyle w:val="a9"/>
        <w:numPr>
          <w:ilvl w:val="0"/>
          <w:numId w:val="1"/>
        </w:numPr>
        <w:spacing w:line="360" w:lineRule="auto"/>
        <w:jc w:val="both"/>
        <w:rPr>
          <w:rFonts w:ascii="David" w:hAnsi="David"/>
          <w:rtl/>
        </w:rPr>
      </w:pPr>
      <w:r>
        <w:rPr>
          <w:rFonts w:ascii="David" w:hAnsi="David" w:hint="cs"/>
          <w:rtl/>
        </w:rPr>
        <w:t>לסיכום:</w:t>
      </w:r>
      <w:r>
        <w:rPr>
          <w:rFonts w:ascii="David" w:hAnsi="David" w:hint="cs"/>
        </w:rPr>
        <w:t xml:space="preserve"> </w:t>
      </w:r>
      <w:r>
        <w:rPr>
          <w:rFonts w:ascii="David" w:hAnsi="David" w:hint="cs"/>
          <w:rtl/>
        </w:rPr>
        <w:t xml:space="preserve"> לדעתי הוראות תיקון 140 חלות בענייננו ואולם לאור עמדתה השגויה והמטעה של המאשימה בטיעוניה בכתב ולהיעדר טיעון בנושא, יינתן לנושא משקל נמוך. </w:t>
      </w:r>
    </w:p>
    <w:p w14:paraId="6B74E4A6" w14:textId="77777777" w:rsidR="00385539" w:rsidRPr="00BB6BC1" w:rsidRDefault="00385539" w:rsidP="00385539">
      <w:pPr>
        <w:pStyle w:val="a9"/>
        <w:ind w:left="0"/>
        <w:jc w:val="both"/>
        <w:rPr>
          <w:rFonts w:ascii="David" w:hAnsi="David"/>
          <w:highlight w:val="yellow"/>
        </w:rPr>
      </w:pPr>
    </w:p>
    <w:p w14:paraId="7E74982E" w14:textId="77777777" w:rsidR="00385539" w:rsidRPr="00F1249A" w:rsidRDefault="00385539" w:rsidP="00385539">
      <w:pPr>
        <w:pStyle w:val="a9"/>
        <w:numPr>
          <w:ilvl w:val="0"/>
          <w:numId w:val="1"/>
        </w:numPr>
        <w:spacing w:line="360" w:lineRule="auto"/>
        <w:jc w:val="both"/>
        <w:rPr>
          <w:rFonts w:ascii="David" w:hAnsi="David"/>
          <w:rtl/>
        </w:rPr>
      </w:pPr>
      <w:r w:rsidRPr="00505BE7">
        <w:rPr>
          <w:rFonts w:ascii="David" w:hAnsi="David"/>
          <w:rtl/>
        </w:rPr>
        <w:t xml:space="preserve">לצורך בחינת מדיניות הענישה הנוהגת אפנה </w:t>
      </w:r>
      <w:r>
        <w:rPr>
          <w:rFonts w:ascii="David" w:hAnsi="David" w:hint="cs"/>
          <w:rtl/>
        </w:rPr>
        <w:t>למקרים הבאים תוך שאציין את המקרים בהם לא הייתה תחולה לתיקון 140 ל</w:t>
      </w:r>
      <w:hyperlink r:id="rId35" w:history="1">
        <w:r w:rsidR="00843C3E" w:rsidRPr="00843C3E">
          <w:rPr>
            <w:rFonts w:ascii="David" w:hAnsi="David"/>
            <w:color w:val="0000FF"/>
            <w:u w:val="single"/>
            <w:rtl/>
          </w:rPr>
          <w:t>חוק העונשין</w:t>
        </w:r>
      </w:hyperlink>
      <w:r>
        <w:rPr>
          <w:rFonts w:ascii="David" w:hAnsi="David" w:hint="cs"/>
          <w:rtl/>
        </w:rPr>
        <w:t>. בע</w:t>
      </w:r>
      <w:r w:rsidRPr="00505BE7">
        <w:rPr>
          <w:rFonts w:ascii="David" w:hAnsi="David"/>
          <w:rtl/>
        </w:rPr>
        <w:t xml:space="preserve">ניין </w:t>
      </w:r>
      <w:r w:rsidRPr="00505BE7">
        <w:rPr>
          <w:rFonts w:ascii="David" w:hAnsi="David"/>
          <w:b/>
          <w:bCs/>
          <w:rtl/>
        </w:rPr>
        <w:t>קדורה</w:t>
      </w:r>
      <w:r w:rsidRPr="00505BE7">
        <w:rPr>
          <w:rFonts w:ascii="David" w:hAnsi="David"/>
          <w:rtl/>
        </w:rPr>
        <w:t xml:space="preserve"> הוטלו על נאשם 18 חודשי מאסר בשל החזקת אקדח, כדורים ורימון </w:t>
      </w:r>
      <w:r>
        <w:rPr>
          <w:rFonts w:ascii="David" w:hAnsi="David" w:hint="cs"/>
          <w:rtl/>
        </w:rPr>
        <w:t xml:space="preserve">הלם </w:t>
      </w:r>
      <w:r w:rsidRPr="00B03210">
        <w:rPr>
          <w:rFonts w:ascii="David" w:hAnsi="David" w:hint="cs"/>
          <w:u w:val="single"/>
          <w:rtl/>
        </w:rPr>
        <w:t xml:space="preserve">בצוותא עם </w:t>
      </w:r>
      <w:r w:rsidRPr="00B03210">
        <w:rPr>
          <w:rFonts w:ascii="David" w:hAnsi="David"/>
          <w:u w:val="single"/>
          <w:rtl/>
        </w:rPr>
        <w:t>אחר</w:t>
      </w:r>
      <w:r>
        <w:rPr>
          <w:rFonts w:ascii="David" w:hAnsi="David" w:hint="cs"/>
          <w:u w:val="single"/>
          <w:rtl/>
        </w:rPr>
        <w:t xml:space="preserve"> וזאת עבור אדם שלישי</w:t>
      </w:r>
      <w:r w:rsidRPr="00094C57">
        <w:rPr>
          <w:rFonts w:ascii="David" w:hAnsi="David"/>
          <w:rtl/>
        </w:rPr>
        <w:t xml:space="preserve">. </w:t>
      </w:r>
      <w:r>
        <w:rPr>
          <w:rFonts w:ascii="David" w:hAnsi="David" w:hint="cs"/>
          <w:rtl/>
        </w:rPr>
        <w:t xml:space="preserve">תוך שהוסכם שמדובר בהחזקה קצרת מועד. </w:t>
      </w:r>
      <w:r w:rsidRPr="00094C57">
        <w:rPr>
          <w:rFonts w:ascii="David" w:hAnsi="David"/>
          <w:rtl/>
        </w:rPr>
        <w:t>בית</w:t>
      </w:r>
      <w:r w:rsidRPr="00505BE7">
        <w:rPr>
          <w:rFonts w:ascii="David" w:hAnsi="David"/>
          <w:rtl/>
        </w:rPr>
        <w:t xml:space="preserve"> המשפט העליון ציין </w:t>
      </w:r>
      <w:r w:rsidRPr="00094C57">
        <w:rPr>
          <w:rFonts w:ascii="Miriam" w:hAnsi="Miriam" w:cs="Miriam"/>
          <w:rtl/>
        </w:rPr>
        <w:t>כי "ענייננו ב'מכת מדינה' שהצורך להילחם בה על מנת להגן על הציבור, מצריך מענה הולם והטלת עונשי מאסר משמעותיים [...] ידע כל מי שמחזיק בנשק בלתי חוקי כי צפוי הוא להיענש בחומרה, בבחינת 'אם מחזיקים – למאסר נשלחים' "</w:t>
      </w:r>
      <w:r w:rsidRPr="00505BE7">
        <w:rPr>
          <w:rFonts w:ascii="David" w:hAnsi="David"/>
          <w:rtl/>
        </w:rPr>
        <w:t xml:space="preserve">. </w:t>
      </w:r>
      <w:r>
        <w:rPr>
          <w:rFonts w:ascii="David" w:hAnsi="David" w:hint="cs"/>
          <w:rtl/>
        </w:rPr>
        <w:t xml:space="preserve">העבירה נעברה טרם כניסתו לתוקף של </w:t>
      </w:r>
      <w:r>
        <w:rPr>
          <w:rFonts w:ascii="David" w:hAnsi="David"/>
          <w:rtl/>
        </w:rPr>
        <w:t>תיקון 140</w:t>
      </w:r>
      <w:r>
        <w:rPr>
          <w:rFonts w:ascii="David" w:hAnsi="David" w:hint="cs"/>
          <w:rtl/>
        </w:rPr>
        <w:t xml:space="preserve"> ולכן הוא לא חל במקרה זה, אך בית </w:t>
      </w:r>
      <w:r w:rsidRPr="00094C57">
        <w:rPr>
          <w:rFonts w:ascii="David" w:hAnsi="David"/>
          <w:rtl/>
        </w:rPr>
        <w:t>המשפט העליון ציין כי</w:t>
      </w:r>
      <w:r w:rsidRPr="00094C57">
        <w:rPr>
          <w:rFonts w:ascii="Miriam" w:hAnsi="Miriam" w:cs="Miriam"/>
          <w:rtl/>
        </w:rPr>
        <w:t xml:space="preserve"> "ה</w:t>
      </w:r>
      <w:r w:rsidRPr="00094C57">
        <w:rPr>
          <w:rFonts w:ascii="Miriam" w:hAnsi="Miriam" w:cs="Miriam"/>
          <w:color w:val="000000"/>
          <w:spacing w:val="10"/>
          <w:rtl/>
        </w:rPr>
        <w:t>תיקון לחוק לא חל בענייננו, מאחר שהמעשים בהם הורשע המשיב נעשו עוד קודם לתיקון, אך יש בו כדי לשקף את רצון המחוקק להחמיר בענישה בעבירות נשק</w:t>
      </w:r>
      <w:r w:rsidRPr="00094C57">
        <w:rPr>
          <w:rFonts w:ascii="Miriam" w:hAnsi="Miriam" w:cs="Miriam"/>
          <w:rtl/>
        </w:rPr>
        <w:t>"</w:t>
      </w:r>
      <w:r w:rsidRPr="00505BE7">
        <w:rPr>
          <w:rFonts w:ascii="David" w:hAnsi="David"/>
          <w:rtl/>
        </w:rPr>
        <w:t xml:space="preserve">; </w:t>
      </w:r>
      <w:hyperlink r:id="rId36" w:history="1">
        <w:r w:rsidR="00843C3E" w:rsidRPr="00843C3E">
          <w:rPr>
            <w:rFonts w:ascii="David" w:hAnsi="David"/>
            <w:color w:val="0000FF"/>
            <w:u w:val="single"/>
            <w:rtl/>
          </w:rPr>
          <w:t>רע"פ 22180-10-24</w:t>
        </w:r>
      </w:hyperlink>
      <w:r w:rsidRPr="00AA5FF2">
        <w:rPr>
          <w:rFonts w:ascii="David" w:hAnsi="David"/>
          <w:rtl/>
        </w:rPr>
        <w:t xml:space="preserve"> </w:t>
      </w:r>
      <w:r w:rsidRPr="00AA5FF2">
        <w:rPr>
          <w:rFonts w:ascii="David" w:hAnsi="David"/>
          <w:b/>
          <w:bCs/>
          <w:rtl/>
        </w:rPr>
        <w:t>סמאח עותמאן נ' מדינת ישראל</w:t>
      </w:r>
      <w:r w:rsidRPr="00AA5FF2">
        <w:rPr>
          <w:rFonts w:ascii="David" w:hAnsi="David" w:hint="cs"/>
          <w:rtl/>
        </w:rPr>
        <w:t xml:space="preserve"> (14.10.2024), בו נידון עניינה של נאשמת שבנה החזיק בביתם אקדח ותחמושת </w:t>
      </w:r>
      <w:r>
        <w:rPr>
          <w:rFonts w:ascii="David" w:hAnsi="David" w:hint="cs"/>
          <w:rtl/>
        </w:rPr>
        <w:t>(בידיעתה)</w:t>
      </w:r>
      <w:r>
        <w:rPr>
          <w:rFonts w:ascii="David" w:hAnsi="David" w:hint="cs"/>
        </w:rPr>
        <w:t xml:space="preserve"> </w:t>
      </w:r>
      <w:r w:rsidRPr="00AA5FF2">
        <w:rPr>
          <w:rFonts w:ascii="David" w:hAnsi="David" w:hint="cs"/>
          <w:rtl/>
        </w:rPr>
        <w:t>ועם הגעת שוטרים החביאה את האקדח והתחמושת מתחת לבגדיה. נקבע מתחם ענישה הנע בין 11-24 חודשי מאסר בפועל ועל הנאש</w:t>
      </w:r>
      <w:r>
        <w:rPr>
          <w:rFonts w:ascii="David" w:hAnsi="David" w:hint="cs"/>
          <w:rtl/>
        </w:rPr>
        <w:t>מת</w:t>
      </w:r>
      <w:r w:rsidRPr="00AA5FF2">
        <w:rPr>
          <w:rFonts w:ascii="David" w:hAnsi="David" w:hint="cs"/>
          <w:rtl/>
        </w:rPr>
        <w:t xml:space="preserve"> שעברה הפלילי </w:t>
      </w:r>
      <w:r>
        <w:rPr>
          <w:rFonts w:ascii="David" w:hAnsi="David" w:hint="cs"/>
          <w:rtl/>
        </w:rPr>
        <w:t xml:space="preserve">היה </w:t>
      </w:r>
      <w:r w:rsidRPr="00AA5FF2">
        <w:rPr>
          <w:rFonts w:ascii="David" w:hAnsi="David" w:hint="cs"/>
          <w:rtl/>
        </w:rPr>
        <w:t xml:space="preserve">נקי, הוטלו 11 חודשי מאסר. ערעור ובקשת רשות ערעור נדחו ובית המשפט העליון ציין כי </w:t>
      </w:r>
      <w:r w:rsidRPr="00CE6B5C">
        <w:rPr>
          <w:rFonts w:ascii="Miriam" w:hAnsi="Miriam" w:cs="Miriam"/>
          <w:rtl/>
        </w:rPr>
        <w:t>"מגמת ההחמרה בענישת עבירות נשק היא ברורה, ונגזרת, בין היתר, מהצורך לשדר מסר מרתיע מפני ביצוען...</w:t>
      </w:r>
      <w:r w:rsidRPr="00CE6B5C">
        <w:rPr>
          <w:rFonts w:ascii="Miriam" w:hAnsi="Miriam" w:cs="Miriam"/>
          <w:color w:val="000000"/>
          <w:spacing w:val="10"/>
          <w:rtl/>
        </w:rPr>
        <w:t>מדיניות הענישה הנוהגת בעבירות אלה מצדיקה בדרך כלל הטלת עונש מאסר לריצוי בפועל, גם על מי שזו הרשעתו הראשונה</w:t>
      </w:r>
      <w:r w:rsidRPr="00CE6B5C">
        <w:rPr>
          <w:rFonts w:ascii="Miriam" w:hAnsi="Miriam" w:cs="Miriam"/>
          <w:rtl/>
        </w:rPr>
        <w:t>"</w:t>
      </w:r>
      <w:r w:rsidRPr="00AA5FF2">
        <w:rPr>
          <w:rFonts w:ascii="David" w:hAnsi="David" w:hint="cs"/>
          <w:rtl/>
        </w:rPr>
        <w:t>;</w:t>
      </w:r>
      <w:r>
        <w:rPr>
          <w:rFonts w:ascii="David" w:hAnsi="David" w:hint="cs"/>
          <w:rtl/>
        </w:rPr>
        <w:t xml:space="preserve"> </w:t>
      </w:r>
      <w:r w:rsidRPr="00AA5FF2">
        <w:rPr>
          <w:rFonts w:ascii="David" w:hAnsi="David" w:hint="cs"/>
          <w:rtl/>
        </w:rPr>
        <w:t xml:space="preserve"> </w:t>
      </w:r>
      <w:hyperlink r:id="rId37" w:history="1">
        <w:r w:rsidR="00843C3E" w:rsidRPr="00843C3E">
          <w:rPr>
            <w:rFonts w:ascii="David" w:hAnsi="David"/>
            <w:color w:val="0000FF"/>
            <w:u w:val="single"/>
            <w:rtl/>
          </w:rPr>
          <w:t>עפ"ג 59848-12-23</w:t>
        </w:r>
      </w:hyperlink>
      <w:r w:rsidRPr="00AA5FF2">
        <w:rPr>
          <w:rFonts w:ascii="David" w:hAnsi="David"/>
          <w:rtl/>
        </w:rPr>
        <w:t xml:space="preserve"> </w:t>
      </w:r>
      <w:r w:rsidRPr="00AA5FF2">
        <w:rPr>
          <w:rFonts w:ascii="David" w:hAnsi="David"/>
          <w:b/>
          <w:bCs/>
          <w:rtl/>
        </w:rPr>
        <w:t>מחאגנה נ' מדינת ישראל (</w:t>
      </w:r>
      <w:r w:rsidRPr="00AA5FF2">
        <w:rPr>
          <w:rFonts w:ascii="David" w:hAnsi="David"/>
          <w:rtl/>
        </w:rPr>
        <w:t xml:space="preserve">15.2.2024), בו נדון נאשם שהורשע בעבירת החזקת אקדח הזנקה ותחמושת ל-20 חודשי מאסר בפועל. במקרה זה קבע בית משפט השלום מתחם ענישה הנע בין 18-36 חודשי מאסר בפועל; </w:t>
      </w:r>
      <w:hyperlink r:id="rId38" w:history="1">
        <w:r w:rsidR="00843C3E" w:rsidRPr="00843C3E">
          <w:rPr>
            <w:rFonts w:ascii="David" w:hAnsi="David"/>
            <w:color w:val="0000FF"/>
            <w:u w:val="single"/>
            <w:rtl/>
          </w:rPr>
          <w:t>עפ"ג 75694-07-24</w:t>
        </w:r>
      </w:hyperlink>
      <w:r w:rsidRPr="00AA5FF2">
        <w:rPr>
          <w:rFonts w:ascii="David" w:hAnsi="David"/>
          <w:rtl/>
        </w:rPr>
        <w:t xml:space="preserve"> </w:t>
      </w:r>
      <w:r w:rsidRPr="00AA5FF2">
        <w:rPr>
          <w:rFonts w:ascii="David" w:hAnsi="David"/>
          <w:b/>
          <w:bCs/>
          <w:rtl/>
        </w:rPr>
        <w:t>מדינת ישראל נ' מיעארי</w:t>
      </w:r>
      <w:r w:rsidRPr="00AA5FF2">
        <w:rPr>
          <w:rFonts w:ascii="David" w:hAnsi="David" w:hint="cs"/>
          <w:rtl/>
        </w:rPr>
        <w:t xml:space="preserve"> (10.9.2024, לא פורסם), בו הוחמר עונשו של נאשם שהחזיק אקדח ומחסנית ריקה </w:t>
      </w:r>
      <w:r>
        <w:rPr>
          <w:rFonts w:ascii="David" w:hAnsi="David" w:hint="cs"/>
          <w:rtl/>
        </w:rPr>
        <w:t xml:space="preserve">בבית סבתו, </w:t>
      </w:r>
      <w:r w:rsidRPr="00AA5FF2">
        <w:rPr>
          <w:rFonts w:ascii="David" w:hAnsi="David" w:hint="cs"/>
          <w:rtl/>
        </w:rPr>
        <w:t xml:space="preserve">ממאסר לריצוי בעבודות שירות ל-14 חודשי מאסר בפועל; עפ"ג 57230-03-24 </w:t>
      </w:r>
      <w:r w:rsidRPr="00AA5FF2">
        <w:rPr>
          <w:rFonts w:ascii="David" w:hAnsi="David"/>
          <w:b/>
          <w:bCs/>
          <w:rtl/>
        </w:rPr>
        <w:t xml:space="preserve">נאיף אבו עראר </w:t>
      </w:r>
      <w:r w:rsidRPr="00AA5FF2">
        <w:rPr>
          <w:rFonts w:ascii="David" w:hAnsi="David" w:hint="cs"/>
          <w:b/>
          <w:bCs/>
          <w:rtl/>
        </w:rPr>
        <w:t>נ' מדינת ישראל</w:t>
      </w:r>
      <w:r w:rsidRPr="00AA5FF2">
        <w:rPr>
          <w:rFonts w:ascii="David" w:hAnsi="David" w:hint="cs"/>
          <w:rtl/>
        </w:rPr>
        <w:t xml:space="preserve"> (22.5.2024), בו </w:t>
      </w:r>
      <w:r w:rsidRPr="005170A3">
        <w:rPr>
          <w:rFonts w:ascii="David" w:hAnsi="David" w:hint="cs"/>
          <w:rtl/>
        </w:rPr>
        <w:t xml:space="preserve">הוטלו 24 חודשי מאסר </w:t>
      </w:r>
      <w:r>
        <w:rPr>
          <w:rFonts w:ascii="David" w:hAnsi="David" w:hint="cs"/>
          <w:rtl/>
        </w:rPr>
        <w:t xml:space="preserve">על </w:t>
      </w:r>
      <w:r w:rsidRPr="00AA5FF2">
        <w:rPr>
          <w:rFonts w:ascii="David" w:hAnsi="David" w:hint="cs"/>
          <w:rtl/>
        </w:rPr>
        <w:t>נאשם שהורשע בהחזקת אקדח מוסב ותחמושת</w:t>
      </w:r>
      <w:r w:rsidRPr="005170A3">
        <w:rPr>
          <w:rFonts w:ascii="David" w:hAnsi="David" w:hint="cs"/>
          <w:rtl/>
        </w:rPr>
        <w:t xml:space="preserve"> בצוותא עם אחר; </w:t>
      </w:r>
      <w:hyperlink r:id="rId39" w:history="1">
        <w:r w:rsidR="00843C3E" w:rsidRPr="00843C3E">
          <w:rPr>
            <w:rFonts w:ascii="David" w:hAnsi="David"/>
            <w:color w:val="0000FF"/>
            <w:u w:val="single"/>
            <w:rtl/>
          </w:rPr>
          <w:t>עפ"ג 32402-12-22</w:t>
        </w:r>
      </w:hyperlink>
      <w:r w:rsidRPr="005170A3">
        <w:rPr>
          <w:rFonts w:ascii="David" w:hAnsi="David"/>
          <w:rtl/>
        </w:rPr>
        <w:t xml:space="preserve"> </w:t>
      </w:r>
      <w:r w:rsidRPr="005170A3">
        <w:rPr>
          <w:rFonts w:ascii="David" w:hAnsi="David"/>
          <w:b/>
          <w:bCs/>
          <w:rtl/>
        </w:rPr>
        <w:t>מדינת ישראל נ' עלי (בן סמיר) ג'בארין</w:t>
      </w:r>
      <w:r w:rsidRPr="005170A3">
        <w:rPr>
          <w:rFonts w:ascii="David" w:hAnsi="David" w:hint="cs"/>
          <w:rtl/>
        </w:rPr>
        <w:t xml:space="preserve"> (9.3.2023), בו הוחמר עונשו של נאשם שהורשע בהחזקת אקדח ומחסנית וכן בעבירת מעשה פזיזות בנשק בכך שאפשר לבנו התינוק לשחק עם האקדח ות</w:t>
      </w:r>
      <w:r>
        <w:rPr>
          <w:rFonts w:ascii="David" w:hAnsi="David" w:hint="cs"/>
          <w:rtl/>
        </w:rPr>
        <w:t>י</w:t>
      </w:r>
      <w:r w:rsidRPr="005170A3">
        <w:rPr>
          <w:rFonts w:ascii="David" w:hAnsi="David" w:hint="cs"/>
          <w:rtl/>
        </w:rPr>
        <w:t xml:space="preserve">עד זאת בסרטון. על הנאשם הוטלו 12 חודשי מאסר בפועל על אף עברו הנקי, המלצת שירות המבחן והליך שיקומי (יצוין כי מדובר בעבירה טרם כניסת תיקון </w:t>
      </w:r>
      <w:r>
        <w:rPr>
          <w:rFonts w:ascii="David" w:hAnsi="David" w:hint="cs"/>
          <w:rtl/>
        </w:rPr>
        <w:t xml:space="preserve">140 </w:t>
      </w:r>
      <w:r w:rsidRPr="005170A3">
        <w:rPr>
          <w:rFonts w:ascii="David" w:hAnsi="David" w:hint="cs"/>
          <w:rtl/>
        </w:rPr>
        <w:t xml:space="preserve">לתוקף); </w:t>
      </w:r>
      <w:hyperlink r:id="rId40" w:history="1">
        <w:r w:rsidR="00843C3E" w:rsidRPr="00843C3E">
          <w:rPr>
            <w:rFonts w:ascii="David" w:hAnsi="David"/>
            <w:color w:val="0000FF"/>
            <w:u w:val="single"/>
            <w:rtl/>
          </w:rPr>
          <w:t>ת"פ 63100-02-24</w:t>
        </w:r>
      </w:hyperlink>
      <w:r w:rsidR="00843C3E">
        <w:rPr>
          <w:rFonts w:ascii="David" w:hAnsi="David"/>
          <w:rtl/>
        </w:rPr>
        <w:t xml:space="preserve"> </w:t>
      </w:r>
      <w:r w:rsidRPr="005170A3">
        <w:rPr>
          <w:rFonts w:ascii="David" w:hAnsi="David"/>
          <w:b/>
          <w:bCs/>
          <w:rtl/>
        </w:rPr>
        <w:t>מדינת ישראל נ' כילאני מחאג'נה</w:t>
      </w:r>
      <w:r w:rsidRPr="005170A3">
        <w:rPr>
          <w:rFonts w:ascii="David" w:hAnsi="David"/>
          <w:rtl/>
        </w:rPr>
        <w:t xml:space="preserve"> (25.6.2024)</w:t>
      </w:r>
      <w:r w:rsidRPr="005170A3">
        <w:rPr>
          <w:rFonts w:ascii="David" w:hAnsi="David" w:hint="cs"/>
          <w:rtl/>
        </w:rPr>
        <w:t>,</w:t>
      </w:r>
      <w:r w:rsidRPr="005170A3">
        <w:rPr>
          <w:rFonts w:ascii="David" w:hAnsi="David"/>
          <w:rtl/>
        </w:rPr>
        <w:t xml:space="preserve"> בו נדון נאשם לעונש מאסר בן 28 חודשים בגין כך שהחזיק בביתו שני אקדחים </w:t>
      </w:r>
      <w:r>
        <w:rPr>
          <w:rFonts w:ascii="David" w:hAnsi="David" w:hint="cs"/>
          <w:rtl/>
        </w:rPr>
        <w:t xml:space="preserve">טעונים </w:t>
      </w:r>
      <w:r w:rsidRPr="005170A3">
        <w:rPr>
          <w:rFonts w:ascii="David" w:hAnsi="David"/>
          <w:rtl/>
        </w:rPr>
        <w:t xml:space="preserve">וכן שלוש מחסניות נוספות מלאות בתחמושת, וקופסה נוספת המכילה 31 כדורים. בית המשפט המחוזי קבע מתחם ענישה הנע בין 24-40 חודשי מאסר; </w:t>
      </w:r>
      <w:hyperlink r:id="rId41" w:history="1">
        <w:r w:rsidR="00843C3E" w:rsidRPr="00843C3E">
          <w:rPr>
            <w:rFonts w:ascii="David" w:hAnsi="David"/>
            <w:color w:val="0000FF"/>
            <w:u w:val="single"/>
            <w:rtl/>
          </w:rPr>
          <w:t>ת"פ 46939-09-23</w:t>
        </w:r>
      </w:hyperlink>
      <w:r w:rsidR="00843C3E">
        <w:rPr>
          <w:rFonts w:ascii="David" w:hAnsi="David"/>
          <w:rtl/>
        </w:rPr>
        <w:t xml:space="preserve"> </w:t>
      </w:r>
      <w:r w:rsidRPr="005170A3">
        <w:rPr>
          <w:rFonts w:ascii="David" w:hAnsi="David"/>
          <w:b/>
          <w:bCs/>
          <w:rtl/>
        </w:rPr>
        <w:t>מדינת ישראל נ' יצחק צ'קולה</w:t>
      </w:r>
      <w:r w:rsidRPr="005170A3">
        <w:rPr>
          <w:rFonts w:ascii="David" w:hAnsi="David"/>
          <w:rtl/>
        </w:rPr>
        <w:t xml:space="preserve"> (24.6.2024)</w:t>
      </w:r>
      <w:r w:rsidRPr="005170A3">
        <w:rPr>
          <w:rFonts w:ascii="David" w:hAnsi="David" w:hint="cs"/>
          <w:rtl/>
        </w:rPr>
        <w:t>,</w:t>
      </w:r>
      <w:r w:rsidRPr="005170A3">
        <w:rPr>
          <w:rFonts w:ascii="David" w:hAnsi="David"/>
          <w:rtl/>
        </w:rPr>
        <w:t xml:space="preserve"> בו נקבע מתחם ענישה הנע בן 15-30 חודשי מאסר בגין החזקת אקדח טעון במחסנית </w:t>
      </w:r>
      <w:r w:rsidRPr="007271BC">
        <w:rPr>
          <w:rFonts w:ascii="David" w:hAnsi="David"/>
          <w:rtl/>
        </w:rPr>
        <w:t>ריקה</w:t>
      </w:r>
      <w:r w:rsidRPr="005170A3">
        <w:rPr>
          <w:rFonts w:ascii="David" w:hAnsi="David"/>
          <w:rtl/>
        </w:rPr>
        <w:t xml:space="preserve"> ו-12 כדורי תחמושת; </w:t>
      </w:r>
      <w:hyperlink r:id="rId42" w:history="1">
        <w:r w:rsidR="00843C3E" w:rsidRPr="00843C3E">
          <w:rPr>
            <w:rFonts w:ascii="David" w:hAnsi="David"/>
            <w:color w:val="0000FF"/>
            <w:u w:val="single"/>
            <w:rtl/>
          </w:rPr>
          <w:t>ע"פ 6332-22</w:t>
        </w:r>
      </w:hyperlink>
      <w:r w:rsidRPr="001A582C">
        <w:rPr>
          <w:rFonts w:ascii="David" w:hAnsi="David"/>
          <w:rtl/>
        </w:rPr>
        <w:t xml:space="preserve"> </w:t>
      </w:r>
      <w:r w:rsidRPr="001A582C">
        <w:rPr>
          <w:rFonts w:ascii="David" w:hAnsi="David"/>
          <w:b/>
          <w:bCs/>
          <w:rtl/>
        </w:rPr>
        <w:t>אסף פדידה נ' מדינת ישראל</w:t>
      </w:r>
      <w:r w:rsidRPr="001A582C">
        <w:rPr>
          <w:rFonts w:ascii="David" w:hAnsi="David" w:hint="cs"/>
          <w:rtl/>
        </w:rPr>
        <w:t xml:space="preserve"> (16.2.2023), בו נידון עניינו של נאשם שהורשע בהחזקת אקדח הזנקה מוסב ומחסנית שהוחבאו בתיק מתחת למושב המשאית בה נהג. בית המשפט המחוזי הטיל על הנאשם 11 חודשי מאסר בפועל. ערעורו לבית המשפט העליון התקבל ועונשו הוקל לתשעה חודשי מאסר לריצוי בעבודות שירות, בין היתר לאור השתלבותו החיובית בטיפול</w:t>
      </w:r>
      <w:r>
        <w:rPr>
          <w:rFonts w:ascii="David" w:hAnsi="David" w:hint="cs"/>
          <w:rtl/>
        </w:rPr>
        <w:t xml:space="preserve">. </w:t>
      </w:r>
      <w:r w:rsidRPr="001A582C">
        <w:rPr>
          <w:rFonts w:ascii="David" w:hAnsi="David" w:hint="cs"/>
          <w:rtl/>
        </w:rPr>
        <w:t>העבירה בוצעה טרם כניסתו של תיקון 140 לתוקף</w:t>
      </w:r>
      <w:r>
        <w:rPr>
          <w:rFonts w:ascii="David" w:hAnsi="David" w:hint="cs"/>
          <w:rtl/>
        </w:rPr>
        <w:t xml:space="preserve">; </w:t>
      </w:r>
      <w:hyperlink r:id="rId43" w:history="1">
        <w:r w:rsidR="00843C3E" w:rsidRPr="00843C3E">
          <w:rPr>
            <w:rFonts w:ascii="David" w:hAnsi="David"/>
            <w:color w:val="0000FF"/>
            <w:u w:val="single"/>
            <w:rtl/>
          </w:rPr>
          <w:t>ת"פ 30867-06-22</w:t>
        </w:r>
      </w:hyperlink>
      <w:r w:rsidRPr="001A582C">
        <w:rPr>
          <w:rFonts w:ascii="David" w:hAnsi="David"/>
          <w:rtl/>
        </w:rPr>
        <w:t xml:space="preserve">‏‏ </w:t>
      </w:r>
      <w:r w:rsidRPr="001A582C">
        <w:rPr>
          <w:rFonts w:ascii="David" w:hAnsi="David"/>
          <w:b/>
          <w:bCs/>
          <w:rtl/>
        </w:rPr>
        <w:t>מדינת ישראל נ' מחמוד אבו קטיש</w:t>
      </w:r>
      <w:r w:rsidRPr="001A582C">
        <w:rPr>
          <w:rFonts w:ascii="David" w:hAnsi="David" w:hint="cs"/>
          <w:rtl/>
        </w:rPr>
        <w:t xml:space="preserve"> (28.5.2024), בו נידון עניינו של נאשם שהחזיק אקדח תופי שאינו תקין אך יורה תרמילים ואקדח חצי אוטומט שאינו תקין</w:t>
      </w:r>
      <w:r>
        <w:rPr>
          <w:rFonts w:ascii="David" w:hAnsi="David" w:hint="cs"/>
          <w:rtl/>
        </w:rPr>
        <w:t xml:space="preserve"> (ואינו יורה)</w:t>
      </w:r>
      <w:r w:rsidRPr="001A582C">
        <w:rPr>
          <w:rFonts w:ascii="David" w:hAnsi="David" w:hint="cs"/>
          <w:rtl/>
        </w:rPr>
        <w:t>. בית משפט השלום קבע מתחם ענישה הנע בין 12-32 חודשי מאסר בפועל ועל הנאשם הוטלו 9 חודשי מאסר לריצוי בעבודות שירות תוך סטייה לקולה ממתחם הענישה משיקולי ש</w:t>
      </w:r>
      <w:r>
        <w:rPr>
          <w:rFonts w:ascii="David" w:hAnsi="David" w:hint="cs"/>
          <w:rtl/>
        </w:rPr>
        <w:t xml:space="preserve">יקום. בעניין האפשרות לסטות ממתחם הענישה בעבירות בנשק אפנה גם </w:t>
      </w:r>
      <w:r w:rsidRPr="00F1249A">
        <w:rPr>
          <w:rFonts w:ascii="David" w:hAnsi="David"/>
          <w:rtl/>
        </w:rPr>
        <w:t>ל</w:t>
      </w:r>
      <w:hyperlink r:id="rId44" w:history="1">
        <w:r w:rsidR="00843C3E" w:rsidRPr="00843C3E">
          <w:rPr>
            <w:rFonts w:ascii="David" w:hAnsi="David"/>
            <w:color w:val="0000FF"/>
            <w:u w:val="single"/>
            <w:rtl/>
          </w:rPr>
          <w:t>ע"פ 4552/21</w:t>
        </w:r>
      </w:hyperlink>
      <w:r w:rsidRPr="00F1249A">
        <w:rPr>
          <w:rFonts w:ascii="David" w:hAnsi="David"/>
          <w:rtl/>
        </w:rPr>
        <w:t xml:space="preserve"> </w:t>
      </w:r>
      <w:r w:rsidRPr="00F1249A">
        <w:rPr>
          <w:rFonts w:ascii="David" w:hAnsi="David"/>
          <w:b/>
          <w:bCs/>
          <w:rtl/>
        </w:rPr>
        <w:t>רושדי כיאל נ' מדינת ישראל</w:t>
      </w:r>
      <w:r w:rsidRPr="00F1249A">
        <w:rPr>
          <w:rFonts w:ascii="David" w:hAnsi="David"/>
          <w:rtl/>
        </w:rPr>
        <w:t xml:space="preserve"> (25.10.2022)</w:t>
      </w:r>
      <w:r>
        <w:rPr>
          <w:rFonts w:ascii="David" w:hAnsi="David" w:hint="cs"/>
          <w:rtl/>
        </w:rPr>
        <w:t xml:space="preserve"> שם הוקל עונשו של הנאשם לעונש בעבודות שירות </w:t>
      </w:r>
      <w:r w:rsidRPr="00B77A89">
        <w:rPr>
          <w:rFonts w:ascii="Miriam" w:hAnsi="Miriam" w:cs="Miriam"/>
          <w:rtl/>
        </w:rPr>
        <w:t>"</w:t>
      </w:r>
      <w:r w:rsidRPr="00B77A89">
        <w:rPr>
          <w:rFonts w:ascii="Miriam" w:hAnsi="Miriam" w:cs="Miriam"/>
          <w:color w:val="000000"/>
          <w:spacing w:val="10"/>
          <w:rtl/>
        </w:rPr>
        <w:t>נוכח התהליך השיקומי המשמעותי והרציף שעבר"</w:t>
      </w:r>
      <w:r>
        <w:rPr>
          <w:rFonts w:ascii="David" w:hAnsi="David" w:hint="cs"/>
          <w:rtl/>
        </w:rPr>
        <w:t>. העבירה נעברה טרם כניסתו לתוקף של תיקון 140</w:t>
      </w:r>
      <w:r w:rsidRPr="00F1249A">
        <w:rPr>
          <w:rFonts w:ascii="David" w:hAnsi="David"/>
          <w:rtl/>
        </w:rPr>
        <w:t xml:space="preserve">; </w:t>
      </w:r>
      <w:hyperlink r:id="rId45" w:history="1">
        <w:r w:rsidR="00843C3E" w:rsidRPr="00843C3E">
          <w:rPr>
            <w:rFonts w:ascii="David" w:hAnsi="David"/>
            <w:color w:val="0000FF"/>
            <w:u w:val="single"/>
            <w:rtl/>
          </w:rPr>
          <w:t>ע"פ 4332/21</w:t>
        </w:r>
      </w:hyperlink>
      <w:r w:rsidRPr="00F1249A">
        <w:rPr>
          <w:rFonts w:ascii="David" w:hAnsi="David"/>
          <w:rtl/>
        </w:rPr>
        <w:t xml:space="preserve"> ‏</w:t>
      </w:r>
      <w:r w:rsidRPr="00F1249A">
        <w:rPr>
          <w:rFonts w:ascii="David" w:hAnsi="David"/>
          <w:b/>
          <w:bCs/>
          <w:rtl/>
        </w:rPr>
        <w:t>כרם עאסלה נ' מדינת ישראל</w:t>
      </w:r>
      <w:r w:rsidRPr="00F1249A">
        <w:rPr>
          <w:rFonts w:ascii="David" w:hAnsi="David"/>
          <w:rtl/>
        </w:rPr>
        <w:t xml:space="preserve"> (20.2.2022)</w:t>
      </w:r>
      <w:r>
        <w:rPr>
          <w:rFonts w:ascii="David" w:hAnsi="David" w:hint="cs"/>
          <w:rtl/>
        </w:rPr>
        <w:t>. העבירה נעברה טרם כניסתו לתוקף של תיקון 140</w:t>
      </w:r>
      <w:r w:rsidRPr="00F1249A">
        <w:rPr>
          <w:rFonts w:ascii="David" w:hAnsi="David"/>
          <w:rtl/>
        </w:rPr>
        <w:t xml:space="preserve">; </w:t>
      </w:r>
      <w:hyperlink r:id="rId46" w:history="1">
        <w:r w:rsidR="00843C3E" w:rsidRPr="00843C3E">
          <w:rPr>
            <w:rFonts w:ascii="David" w:hAnsi="David"/>
            <w:color w:val="0000FF"/>
            <w:u w:val="single"/>
            <w:rtl/>
          </w:rPr>
          <w:t>עפ"ג 29123-08-22</w:t>
        </w:r>
      </w:hyperlink>
      <w:r w:rsidRPr="00F1249A">
        <w:rPr>
          <w:rFonts w:ascii="David" w:hAnsi="David"/>
          <w:rtl/>
        </w:rPr>
        <w:t xml:space="preserve"> </w:t>
      </w:r>
      <w:r w:rsidRPr="00F1249A">
        <w:rPr>
          <w:rFonts w:ascii="David" w:hAnsi="David"/>
          <w:b/>
          <w:bCs/>
          <w:rtl/>
        </w:rPr>
        <w:t>מדינת ישראל נ' דעים</w:t>
      </w:r>
      <w:r w:rsidRPr="00F1249A">
        <w:rPr>
          <w:rFonts w:ascii="David" w:hAnsi="David"/>
          <w:rtl/>
        </w:rPr>
        <w:t xml:space="preserve"> (17.11.2022)</w:t>
      </w:r>
      <w:r>
        <w:rPr>
          <w:rFonts w:ascii="David" w:hAnsi="David" w:hint="cs"/>
          <w:rtl/>
        </w:rPr>
        <w:t>. העבירה נעברה טרם כניסתו לתוקף של תיקון 140</w:t>
      </w:r>
      <w:r>
        <w:rPr>
          <w:rFonts w:ascii="David" w:hAnsi="David"/>
          <w:rtl/>
        </w:rPr>
        <w:t xml:space="preserve">; </w:t>
      </w:r>
      <w:hyperlink r:id="rId47" w:history="1">
        <w:r w:rsidR="00843C3E" w:rsidRPr="00843C3E">
          <w:rPr>
            <w:rFonts w:ascii="David" w:hAnsi="David"/>
            <w:color w:val="0000FF"/>
            <w:u w:val="single"/>
            <w:rtl/>
          </w:rPr>
          <w:t>עפ"ג 45331-04-23</w:t>
        </w:r>
      </w:hyperlink>
      <w:r w:rsidRPr="00F1249A">
        <w:rPr>
          <w:rFonts w:ascii="David" w:hAnsi="David"/>
          <w:rtl/>
        </w:rPr>
        <w:t xml:space="preserve"> </w:t>
      </w:r>
      <w:r w:rsidRPr="00F1249A">
        <w:rPr>
          <w:rFonts w:ascii="David" w:hAnsi="David"/>
          <w:b/>
          <w:bCs/>
          <w:rtl/>
        </w:rPr>
        <w:t>רבקה ביטון נ' מדינת ישראל</w:t>
      </w:r>
      <w:r w:rsidRPr="00F1249A">
        <w:rPr>
          <w:rFonts w:ascii="David" w:hAnsi="David"/>
          <w:rtl/>
        </w:rPr>
        <w:t xml:space="preserve"> (21.12.2023), בו התקבל ערעור נאשמת שהחזיקה אקדח מוסב ותחמושת ועונשה הוקל מעשרה חודשי מאסר בפועל לתשעה חודשי מאסר לריצוי בעבודות שירות.</w:t>
      </w:r>
      <w:r w:rsidRPr="00652035">
        <w:rPr>
          <w:rFonts w:ascii="David" w:hAnsi="David" w:hint="cs"/>
          <w:rtl/>
        </w:rPr>
        <w:t xml:space="preserve"> </w:t>
      </w:r>
      <w:r>
        <w:rPr>
          <w:rFonts w:ascii="David" w:hAnsi="David" w:hint="cs"/>
          <w:rtl/>
        </w:rPr>
        <w:t>העבירה נעברה טרם כניסתו לתוקף של תיקון 140.</w:t>
      </w:r>
    </w:p>
    <w:p w14:paraId="59FF21DB" w14:textId="77777777" w:rsidR="00385539" w:rsidRDefault="00385539" w:rsidP="00385539">
      <w:pPr>
        <w:pStyle w:val="a9"/>
        <w:ind w:left="0"/>
        <w:jc w:val="both"/>
        <w:rPr>
          <w:rFonts w:ascii="David" w:hAnsi="David"/>
          <w:rtl/>
        </w:rPr>
      </w:pPr>
    </w:p>
    <w:p w14:paraId="2BC2C638" w14:textId="77777777" w:rsidR="00385539" w:rsidRPr="007C4AF9" w:rsidRDefault="00385539" w:rsidP="00385539">
      <w:pPr>
        <w:pStyle w:val="a9"/>
        <w:numPr>
          <w:ilvl w:val="0"/>
          <w:numId w:val="1"/>
        </w:numPr>
        <w:spacing w:line="360" w:lineRule="auto"/>
        <w:jc w:val="both"/>
        <w:rPr>
          <w:rFonts w:ascii="David" w:hAnsi="David"/>
        </w:rPr>
      </w:pPr>
      <w:r w:rsidRPr="007C4AF9">
        <w:rPr>
          <w:rFonts w:ascii="David" w:hAnsi="David"/>
          <w:rtl/>
        </w:rPr>
        <w:t>לאור כל זאת, אני בדעה כי מתחם הענישה ההולם את העביר</w:t>
      </w:r>
      <w:r w:rsidRPr="007C4AF9">
        <w:rPr>
          <w:rFonts w:ascii="David" w:hAnsi="David" w:hint="cs"/>
          <w:rtl/>
        </w:rPr>
        <w:t>ה</w:t>
      </w:r>
      <w:r w:rsidRPr="007C4AF9">
        <w:rPr>
          <w:rFonts w:ascii="David" w:hAnsi="David"/>
          <w:rtl/>
        </w:rPr>
        <w:t xml:space="preserve"> מושא ענייננו נע בין </w:t>
      </w:r>
      <w:r w:rsidRPr="007C4AF9">
        <w:rPr>
          <w:rFonts w:ascii="David" w:hAnsi="David" w:hint="cs"/>
          <w:rtl/>
        </w:rPr>
        <w:t>14</w:t>
      </w:r>
      <w:r w:rsidRPr="007C4AF9">
        <w:rPr>
          <w:rFonts w:ascii="David" w:hAnsi="David"/>
          <w:rtl/>
        </w:rPr>
        <w:t xml:space="preserve"> חודשי מאסר בפועל ועד </w:t>
      </w:r>
      <w:r w:rsidRPr="007C4AF9">
        <w:rPr>
          <w:rFonts w:ascii="David" w:hAnsi="David" w:hint="cs"/>
          <w:rtl/>
        </w:rPr>
        <w:t>28</w:t>
      </w:r>
      <w:r w:rsidRPr="007C4AF9">
        <w:rPr>
          <w:rFonts w:ascii="David" w:hAnsi="David"/>
          <w:rtl/>
        </w:rPr>
        <w:t xml:space="preserve"> חודשי מאסר.</w:t>
      </w:r>
    </w:p>
    <w:p w14:paraId="6A3B2F41" w14:textId="77777777" w:rsidR="00385539" w:rsidRPr="005364B6" w:rsidRDefault="00385539" w:rsidP="00385539">
      <w:pPr>
        <w:pStyle w:val="a9"/>
        <w:rPr>
          <w:rFonts w:ascii="David" w:hAnsi="David"/>
          <w:rtl/>
        </w:rPr>
      </w:pPr>
    </w:p>
    <w:p w14:paraId="7B90B371" w14:textId="77777777" w:rsidR="00385539" w:rsidRDefault="00385539" w:rsidP="00385539">
      <w:pPr>
        <w:spacing w:line="360" w:lineRule="auto"/>
        <w:jc w:val="both"/>
        <w:rPr>
          <w:rFonts w:ascii="David" w:hAnsi="David"/>
        </w:rPr>
      </w:pPr>
      <w:r>
        <w:rPr>
          <w:rFonts w:ascii="David" w:hAnsi="David"/>
          <w:b/>
          <w:bCs/>
          <w:color w:val="000000"/>
          <w:u w:val="single"/>
          <w:rtl/>
        </w:rPr>
        <w:t>קביעת עונשו של הנאשם</w:t>
      </w:r>
    </w:p>
    <w:p w14:paraId="7940E64A" w14:textId="77777777" w:rsidR="00385539" w:rsidRDefault="00385539" w:rsidP="00385539">
      <w:pPr>
        <w:pStyle w:val="a9"/>
        <w:spacing w:line="360" w:lineRule="auto"/>
        <w:ind w:left="0"/>
        <w:jc w:val="both"/>
        <w:rPr>
          <w:rFonts w:ascii="David" w:hAnsi="David"/>
        </w:rPr>
      </w:pPr>
    </w:p>
    <w:p w14:paraId="49CFA8FB" w14:textId="77777777" w:rsidR="00385539" w:rsidRDefault="00385539" w:rsidP="00385539">
      <w:pPr>
        <w:pStyle w:val="a9"/>
        <w:numPr>
          <w:ilvl w:val="0"/>
          <w:numId w:val="1"/>
        </w:numPr>
        <w:spacing w:line="360" w:lineRule="auto"/>
        <w:jc w:val="both"/>
        <w:rPr>
          <w:rFonts w:ascii="David" w:hAnsi="David"/>
        </w:rPr>
      </w:pPr>
      <w:r>
        <w:rPr>
          <w:rFonts w:ascii="David" w:hAnsi="David" w:hint="cs"/>
          <w:rtl/>
        </w:rPr>
        <w:t xml:space="preserve">עניינו של הנאשם </w:t>
      </w:r>
      <w:r w:rsidRPr="005059DC">
        <w:rPr>
          <w:rFonts w:ascii="David" w:hAnsi="David"/>
          <w:rtl/>
        </w:rPr>
        <w:t xml:space="preserve">מעמת בין השיקולים המנחים בענישה – </w:t>
      </w:r>
      <w:r w:rsidRPr="005059DC">
        <w:rPr>
          <w:rFonts w:ascii="David" w:hAnsi="David" w:hint="cs"/>
          <w:rtl/>
        </w:rPr>
        <w:t xml:space="preserve">הרתעה, </w:t>
      </w:r>
      <w:r w:rsidRPr="005059DC">
        <w:rPr>
          <w:rFonts w:ascii="David" w:hAnsi="David"/>
          <w:rtl/>
        </w:rPr>
        <w:t xml:space="preserve">הלימה ושיקום. </w:t>
      </w:r>
      <w:r>
        <w:rPr>
          <w:rFonts w:ascii="David" w:hAnsi="David" w:hint="cs"/>
          <w:rtl/>
        </w:rPr>
        <w:t>העבירה שעבר</w:t>
      </w:r>
      <w:r w:rsidRPr="005059DC">
        <w:rPr>
          <w:rFonts w:ascii="David" w:hAnsi="David"/>
          <w:rtl/>
        </w:rPr>
        <w:t xml:space="preserve"> </w:t>
      </w:r>
      <w:r w:rsidRPr="006B4399">
        <w:rPr>
          <w:rFonts w:ascii="David" w:hAnsi="David"/>
          <w:rtl/>
        </w:rPr>
        <w:t>חמור</w:t>
      </w:r>
      <w:r>
        <w:rPr>
          <w:rFonts w:ascii="David" w:hAnsi="David" w:hint="cs"/>
          <w:rtl/>
        </w:rPr>
        <w:t>ה</w:t>
      </w:r>
      <w:r w:rsidRPr="006B4399">
        <w:rPr>
          <w:rFonts w:ascii="David" w:hAnsi="David"/>
          <w:rtl/>
        </w:rPr>
        <w:t xml:space="preserve"> וככלל </w:t>
      </w:r>
      <w:r>
        <w:rPr>
          <w:rFonts w:ascii="David" w:hAnsi="David" w:hint="cs"/>
          <w:rtl/>
        </w:rPr>
        <w:t xml:space="preserve">ראויה </w:t>
      </w:r>
      <w:r w:rsidRPr="006B4399">
        <w:rPr>
          <w:rFonts w:ascii="David" w:hAnsi="David"/>
          <w:rtl/>
        </w:rPr>
        <w:t>לתגובה עונשית הולמת</w:t>
      </w:r>
      <w:r>
        <w:rPr>
          <w:rFonts w:ascii="David" w:hAnsi="David" w:hint="cs"/>
          <w:rtl/>
        </w:rPr>
        <w:t xml:space="preserve">, </w:t>
      </w:r>
      <w:r w:rsidRPr="006B4399">
        <w:rPr>
          <w:rFonts w:ascii="David" w:hAnsi="David" w:hint="cs"/>
          <w:rtl/>
        </w:rPr>
        <w:t xml:space="preserve">ובעת הזו </w:t>
      </w:r>
      <w:r w:rsidRPr="006B4399">
        <w:rPr>
          <w:rFonts w:ascii="David" w:hAnsi="David"/>
          <w:rtl/>
        </w:rPr>
        <w:t>–</w:t>
      </w:r>
      <w:r w:rsidRPr="006B4399">
        <w:rPr>
          <w:rFonts w:ascii="David" w:hAnsi="David" w:hint="cs"/>
          <w:rtl/>
        </w:rPr>
        <w:t xml:space="preserve"> עונש מאסר בפועל. מנגד, מדובר</w:t>
      </w:r>
      <w:r>
        <w:rPr>
          <w:rFonts w:ascii="David" w:hAnsi="David" w:hint="cs"/>
          <w:rtl/>
        </w:rPr>
        <w:t xml:space="preserve"> בבחור צעיר שעברו נקי ושירות המבחן סבור שראוי לנקוט בעניינו בדרך שיקומית. מהי הדרך בה יש לילך במקרה זה ?</w:t>
      </w:r>
      <w:r>
        <w:rPr>
          <w:rFonts w:ascii="David" w:hAnsi="David" w:hint="cs"/>
        </w:rPr>
        <w:t xml:space="preserve"> </w:t>
      </w:r>
    </w:p>
    <w:p w14:paraId="3E928804" w14:textId="77777777" w:rsidR="00385539" w:rsidRPr="005059DC" w:rsidRDefault="00385539" w:rsidP="00385539">
      <w:pPr>
        <w:pStyle w:val="a9"/>
        <w:ind w:left="0"/>
        <w:jc w:val="both"/>
        <w:rPr>
          <w:rFonts w:ascii="David" w:hAnsi="David"/>
        </w:rPr>
      </w:pPr>
    </w:p>
    <w:p w14:paraId="1678CB56" w14:textId="77777777" w:rsidR="00385539" w:rsidRDefault="00385539" w:rsidP="00385539">
      <w:pPr>
        <w:pStyle w:val="a9"/>
        <w:numPr>
          <w:ilvl w:val="0"/>
          <w:numId w:val="1"/>
        </w:numPr>
        <w:spacing w:line="360" w:lineRule="auto"/>
        <w:jc w:val="both"/>
        <w:rPr>
          <w:rFonts w:ascii="David" w:hAnsi="David"/>
        </w:rPr>
      </w:pPr>
      <w:r>
        <w:rPr>
          <w:rFonts w:ascii="David" w:hAnsi="David" w:hint="cs"/>
          <w:rtl/>
        </w:rPr>
        <w:t xml:space="preserve">לאחר שבחנתי את טיעוני הצדדים סברתי שחרף הנתונים האישיים, תחילתו של הליך טיפולי והמלצת שירות המבחן, אין הצדקה במקרה זה לסטות ממתחם הענישה, בוודאי שלא עד כדי ענישה בעבודות שירות. אנמק מסקנתי להלן. </w:t>
      </w:r>
    </w:p>
    <w:p w14:paraId="331D5977" w14:textId="77777777" w:rsidR="00385539" w:rsidRPr="00E458B4" w:rsidRDefault="00385539" w:rsidP="00385539">
      <w:pPr>
        <w:pStyle w:val="a9"/>
        <w:rPr>
          <w:rFonts w:ascii="David" w:hAnsi="David"/>
          <w:rtl/>
        </w:rPr>
      </w:pPr>
    </w:p>
    <w:p w14:paraId="07FDFF0E" w14:textId="77777777" w:rsidR="00385539" w:rsidRDefault="00385539" w:rsidP="00385539">
      <w:pPr>
        <w:pStyle w:val="a9"/>
        <w:numPr>
          <w:ilvl w:val="0"/>
          <w:numId w:val="1"/>
        </w:numPr>
        <w:spacing w:line="360" w:lineRule="auto"/>
        <w:jc w:val="both"/>
        <w:rPr>
          <w:rFonts w:ascii="David" w:hAnsi="David"/>
        </w:rPr>
      </w:pPr>
      <w:r>
        <w:rPr>
          <w:rFonts w:ascii="David" w:hAnsi="David" w:hint="cs"/>
          <w:rtl/>
        </w:rPr>
        <w:t xml:space="preserve">כפי שצוין לעיל, הנאשם הוא צעיר שעברו נקי. הוא קיבל אחריות למעשיו, השתלב בהליך טיפולי בשירות המבחן וצוין שהוא בעל מוטיבציה, משתף ואינו מחזיק בעמדות אנטי סוציאליות או בערכים עברייניים. עם זאת, שיקום אינו חזות הכל ויש שעליו לסגת מפני שיקולי ההלימה והרתעה ולעיתים חרף סיכויי שיקום אין מנוס בשל חומרת המעשה מעונש מאסר בפועל </w:t>
      </w:r>
      <w:r w:rsidRPr="00CB2012">
        <w:rPr>
          <w:rFonts w:ascii="David" w:hAnsi="David"/>
          <w:rtl/>
        </w:rPr>
        <w:t>(</w:t>
      </w:r>
      <w:hyperlink r:id="rId48" w:history="1">
        <w:r w:rsidR="00843C3E" w:rsidRPr="00843C3E">
          <w:rPr>
            <w:rFonts w:ascii="David" w:hAnsi="David"/>
            <w:color w:val="0000FF"/>
            <w:u w:val="single"/>
            <w:rtl/>
          </w:rPr>
          <w:t>ע"פ 8622/21</w:t>
        </w:r>
      </w:hyperlink>
      <w:r w:rsidRPr="00CB2012">
        <w:rPr>
          <w:rFonts w:ascii="David" w:hAnsi="David"/>
          <w:rtl/>
        </w:rPr>
        <w:t xml:space="preserve"> </w:t>
      </w:r>
      <w:r w:rsidRPr="00CB2012">
        <w:rPr>
          <w:rFonts w:ascii="David" w:hAnsi="David"/>
          <w:b/>
          <w:bCs/>
          <w:rtl/>
        </w:rPr>
        <w:t>הולר נ' מדינת ישראל</w:t>
      </w:r>
      <w:r w:rsidRPr="00CB2012">
        <w:rPr>
          <w:rFonts w:ascii="David" w:hAnsi="David"/>
          <w:rtl/>
        </w:rPr>
        <w:t>, פסקה 12 (15.5.2022)</w:t>
      </w:r>
      <w:r>
        <w:rPr>
          <w:rFonts w:ascii="David" w:hAnsi="David" w:hint="cs"/>
          <w:rtl/>
        </w:rPr>
        <w:t xml:space="preserve">; </w:t>
      </w:r>
      <w:hyperlink r:id="rId49" w:history="1">
        <w:r w:rsidR="00843C3E" w:rsidRPr="00843C3E">
          <w:rPr>
            <w:rFonts w:ascii="David" w:hAnsi="David"/>
            <w:color w:val="0000FF"/>
            <w:u w:val="single"/>
            <w:rtl/>
          </w:rPr>
          <w:t>ע"פ 2260/22</w:t>
        </w:r>
      </w:hyperlink>
      <w:r>
        <w:rPr>
          <w:rFonts w:ascii="David" w:hAnsi="David" w:hint="cs"/>
          <w:rtl/>
        </w:rPr>
        <w:t xml:space="preserve"> </w:t>
      </w:r>
      <w:r w:rsidRPr="00CB2012">
        <w:rPr>
          <w:rFonts w:ascii="David" w:hAnsi="David" w:hint="cs"/>
          <w:b/>
          <w:bCs/>
          <w:rtl/>
        </w:rPr>
        <w:t>פלוני נ' מדינת ישראל</w:t>
      </w:r>
      <w:r>
        <w:rPr>
          <w:rFonts w:ascii="David" w:hAnsi="David" w:hint="cs"/>
          <w:rtl/>
        </w:rPr>
        <w:t xml:space="preserve">, פסקה 10 (18.7.2022); </w:t>
      </w:r>
      <w:hyperlink r:id="rId50" w:history="1">
        <w:r w:rsidR="00843C3E" w:rsidRPr="00843C3E">
          <w:rPr>
            <w:rFonts w:ascii="David" w:hAnsi="David"/>
            <w:color w:val="0000FF"/>
            <w:u w:val="single"/>
            <w:rtl/>
          </w:rPr>
          <w:t>ע"פ 7159/21</w:t>
        </w:r>
      </w:hyperlink>
      <w:r>
        <w:rPr>
          <w:rFonts w:ascii="David" w:hAnsi="David" w:hint="cs"/>
          <w:rtl/>
        </w:rPr>
        <w:t xml:space="preserve"> </w:t>
      </w:r>
      <w:r w:rsidRPr="00FB461E">
        <w:rPr>
          <w:rFonts w:ascii="David" w:hAnsi="David" w:hint="cs"/>
          <w:b/>
          <w:bCs/>
          <w:rtl/>
        </w:rPr>
        <w:t>בניהו מנשירוב נ' מדינת ישראל</w:t>
      </w:r>
      <w:r>
        <w:rPr>
          <w:rFonts w:ascii="David" w:hAnsi="David" w:hint="cs"/>
          <w:rtl/>
        </w:rPr>
        <w:t xml:space="preserve"> (28.10.2021)</w:t>
      </w:r>
      <w:r w:rsidRPr="00CB2012">
        <w:rPr>
          <w:rFonts w:ascii="David" w:hAnsi="David"/>
          <w:rtl/>
        </w:rPr>
        <w:t>).</w:t>
      </w:r>
      <w:r>
        <w:rPr>
          <w:rFonts w:ascii="David" w:hAnsi="David" w:hint="cs"/>
          <w:rtl/>
        </w:rPr>
        <w:t xml:space="preserve"> כמו כן, כידוע, המלצת שירות המבחן כשמה כן היא, המלצה, ובית המשפט אינו מחויב לאמצה, הגם שניתן לה משקל של ממש בעת גזירת הדין. </w:t>
      </w:r>
    </w:p>
    <w:p w14:paraId="362E60E0" w14:textId="77777777" w:rsidR="00385539" w:rsidRPr="00586995" w:rsidRDefault="00385539" w:rsidP="00385539">
      <w:pPr>
        <w:pStyle w:val="a9"/>
        <w:rPr>
          <w:rFonts w:ascii="David" w:hAnsi="David"/>
          <w:rtl/>
        </w:rPr>
      </w:pPr>
    </w:p>
    <w:p w14:paraId="2C475255" w14:textId="77777777" w:rsidR="00385539" w:rsidRDefault="00385539" w:rsidP="00385539">
      <w:pPr>
        <w:pStyle w:val="a9"/>
        <w:numPr>
          <w:ilvl w:val="0"/>
          <w:numId w:val="1"/>
        </w:numPr>
        <w:spacing w:line="360" w:lineRule="auto"/>
        <w:jc w:val="both"/>
        <w:rPr>
          <w:rFonts w:ascii="David" w:hAnsi="David"/>
        </w:rPr>
      </w:pPr>
      <w:r w:rsidRPr="00050BDC">
        <w:rPr>
          <w:rFonts w:ascii="David" w:hAnsi="David" w:hint="cs"/>
          <w:rtl/>
        </w:rPr>
        <w:t xml:space="preserve">מודע אני לחומרתו של עונש </w:t>
      </w:r>
      <w:r w:rsidRPr="00050BDC">
        <w:rPr>
          <w:rFonts w:ascii="David" w:hAnsi="David"/>
          <w:rtl/>
        </w:rPr>
        <w:t>מאסר בכליאה</w:t>
      </w:r>
      <w:r w:rsidRPr="00050BDC">
        <w:rPr>
          <w:rFonts w:ascii="David" w:hAnsi="David" w:hint="cs"/>
          <w:rtl/>
        </w:rPr>
        <w:t xml:space="preserve"> ולהשפעות </w:t>
      </w:r>
      <w:r>
        <w:rPr>
          <w:rFonts w:ascii="David" w:hAnsi="David" w:hint="cs"/>
          <w:rtl/>
        </w:rPr>
        <w:t>הרעות הנלוות לו לרבות אפקט קרימי</w:t>
      </w:r>
      <w:r w:rsidRPr="00050BDC">
        <w:rPr>
          <w:rFonts w:ascii="David" w:hAnsi="David" w:hint="cs"/>
          <w:rtl/>
        </w:rPr>
        <w:t>נ</w:t>
      </w:r>
      <w:r>
        <w:rPr>
          <w:rFonts w:ascii="David" w:hAnsi="David" w:hint="cs"/>
          <w:rtl/>
        </w:rPr>
        <w:t>ו</w:t>
      </w:r>
      <w:r w:rsidRPr="00050BDC">
        <w:rPr>
          <w:rFonts w:ascii="David" w:hAnsi="David" w:hint="cs"/>
          <w:rtl/>
        </w:rPr>
        <w:t xml:space="preserve">גני, לא כל שכן עבור צעיר שעברו נקי </w:t>
      </w:r>
      <w:r w:rsidRPr="00050BDC">
        <w:rPr>
          <w:rFonts w:ascii="David" w:hAnsi="David"/>
          <w:rtl/>
        </w:rPr>
        <w:t>(ראו בנושא דו"ח הועדה הציבורית לבחינת מדיניות הענישה והטיפול בעבריינים, 2015 (המכונה "</w:t>
      </w:r>
      <w:r w:rsidRPr="00050BDC">
        <w:rPr>
          <w:rFonts w:ascii="David" w:hAnsi="David"/>
          <w:b/>
          <w:bCs/>
          <w:rtl/>
        </w:rPr>
        <w:t>דו"ח ועדת דורנר</w:t>
      </w:r>
      <w:r w:rsidRPr="00050BDC">
        <w:rPr>
          <w:rFonts w:ascii="David" w:hAnsi="David"/>
          <w:rtl/>
        </w:rPr>
        <w:t>")</w:t>
      </w:r>
      <w:r w:rsidRPr="00050BDC">
        <w:rPr>
          <w:rFonts w:ascii="David" w:hAnsi="David" w:hint="cs"/>
          <w:rtl/>
        </w:rPr>
        <w:t xml:space="preserve">. עם זאת, כפי שנקבע לא אחת בפסיקת בית המשפט העליון, נקודת המוצא </w:t>
      </w:r>
      <w:r>
        <w:rPr>
          <w:rFonts w:ascii="David" w:hAnsi="David" w:hint="cs"/>
          <w:rtl/>
        </w:rPr>
        <w:t xml:space="preserve">בעת הזו </w:t>
      </w:r>
      <w:r w:rsidRPr="00050BDC">
        <w:rPr>
          <w:rFonts w:ascii="David" w:hAnsi="David" w:hint="cs"/>
          <w:rtl/>
        </w:rPr>
        <w:t>היא שמדובר בעבירה שמחייבת ענישה מחמירה וזאת כחלק מהמלחמה בעבירות הנשק הבלתי חוקי והסכנ</w:t>
      </w:r>
      <w:r>
        <w:rPr>
          <w:rFonts w:ascii="David" w:hAnsi="David" w:hint="cs"/>
          <w:rtl/>
        </w:rPr>
        <w:t>ות</w:t>
      </w:r>
      <w:r w:rsidRPr="00050BDC">
        <w:rPr>
          <w:rFonts w:ascii="David" w:hAnsi="David" w:hint="cs"/>
          <w:rtl/>
        </w:rPr>
        <w:t xml:space="preserve"> </w:t>
      </w:r>
      <w:r>
        <w:rPr>
          <w:rFonts w:ascii="David" w:hAnsi="David" w:hint="cs"/>
          <w:rtl/>
        </w:rPr>
        <w:t xml:space="preserve">הנובעות מהן </w:t>
      </w:r>
      <w:r w:rsidRPr="00050BDC">
        <w:rPr>
          <w:rFonts w:ascii="David" w:hAnsi="David" w:hint="cs"/>
          <w:rtl/>
        </w:rPr>
        <w:t>לציבור</w:t>
      </w:r>
      <w:r>
        <w:rPr>
          <w:rFonts w:ascii="David" w:hAnsi="David" w:hint="cs"/>
          <w:rtl/>
        </w:rPr>
        <w:t xml:space="preserve"> (ראו מיני רבים: </w:t>
      </w:r>
      <w:hyperlink r:id="rId51" w:history="1">
        <w:r w:rsidR="00843C3E" w:rsidRPr="00843C3E">
          <w:rPr>
            <w:rFonts w:ascii="David" w:hAnsi="David"/>
            <w:color w:val="0000FF"/>
            <w:u w:val="single"/>
            <w:rtl/>
          </w:rPr>
          <w:t>ע"פ 2482/22</w:t>
        </w:r>
      </w:hyperlink>
      <w:r w:rsidRPr="0065477B">
        <w:rPr>
          <w:rFonts w:ascii="David" w:hAnsi="David" w:hint="cs"/>
          <w:rtl/>
        </w:rPr>
        <w:t xml:space="preserve"> </w:t>
      </w:r>
      <w:r w:rsidRPr="0065477B">
        <w:rPr>
          <w:rFonts w:ascii="David" w:hAnsi="David" w:hint="cs"/>
          <w:b/>
          <w:bCs/>
          <w:rtl/>
        </w:rPr>
        <w:t>מדינת ישראל נ' אחמד קדורה</w:t>
      </w:r>
      <w:r w:rsidRPr="0065477B">
        <w:rPr>
          <w:rFonts w:ascii="David" w:hAnsi="David" w:hint="cs"/>
          <w:rtl/>
        </w:rPr>
        <w:t xml:space="preserve"> (14.4.2022), פסקה 6</w:t>
      </w:r>
      <w:r>
        <w:rPr>
          <w:rFonts w:ascii="David" w:hAnsi="David" w:hint="cs"/>
          <w:rtl/>
        </w:rPr>
        <w:t>:</w:t>
      </w:r>
      <w:r w:rsidRPr="0065477B">
        <w:rPr>
          <w:rFonts w:ascii="David" w:hAnsi="David"/>
          <w:rtl/>
        </w:rPr>
        <w:t xml:space="preserve"> </w:t>
      </w:r>
      <w:r w:rsidRPr="0065477B">
        <w:rPr>
          <w:rFonts w:ascii="Miriam" w:hAnsi="Miriam" w:cs="Miriam"/>
          <w:rtl/>
        </w:rPr>
        <w:t>"ידע כל מי שמחזיק בנשק בלתי חוקי כי צפוי הוא להיענש בחומרה, בבחינת 'אם מחזיקים – למאסר נשלחים' "</w:t>
      </w:r>
      <w:r>
        <w:rPr>
          <w:rFonts w:ascii="David" w:hAnsi="David" w:hint="cs"/>
          <w:rtl/>
        </w:rPr>
        <w:t>)</w:t>
      </w:r>
      <w:r w:rsidRPr="0065477B">
        <w:rPr>
          <w:rFonts w:ascii="David" w:hAnsi="David"/>
          <w:rtl/>
        </w:rPr>
        <w:t>.</w:t>
      </w:r>
      <w:r w:rsidRPr="00050BDC">
        <w:rPr>
          <w:rFonts w:ascii="David" w:hAnsi="David" w:hint="cs"/>
          <w:rtl/>
        </w:rPr>
        <w:t xml:space="preserve"> מגמה זו באה לידי ביטוי ברור בקביעת מתח</w:t>
      </w:r>
      <w:r>
        <w:rPr>
          <w:rFonts w:ascii="David" w:hAnsi="David" w:hint="cs"/>
          <w:rtl/>
        </w:rPr>
        <w:t>מי</w:t>
      </w:r>
      <w:r w:rsidRPr="00050BDC">
        <w:rPr>
          <w:rFonts w:ascii="David" w:hAnsi="David" w:hint="cs"/>
          <w:rtl/>
        </w:rPr>
        <w:t xml:space="preserve"> ענישה </w:t>
      </w:r>
      <w:r>
        <w:rPr>
          <w:rFonts w:ascii="David" w:hAnsi="David" w:hint="cs"/>
          <w:rtl/>
        </w:rPr>
        <w:t xml:space="preserve">מחמירים בעבירות אלו בשנים האחרונות ובעונשי מאסר בפועל </w:t>
      </w:r>
      <w:r w:rsidRPr="00050BDC">
        <w:rPr>
          <w:rFonts w:ascii="David" w:hAnsi="David" w:hint="cs"/>
          <w:rtl/>
        </w:rPr>
        <w:t>המוטלים בעבירות אלו</w:t>
      </w:r>
      <w:r>
        <w:rPr>
          <w:rFonts w:ascii="David" w:hAnsi="David" w:hint="cs"/>
          <w:rtl/>
        </w:rPr>
        <w:t xml:space="preserve"> גם על מי שעברו נקי ואף שקיימת </w:t>
      </w:r>
      <w:r w:rsidRPr="00CF7A9A">
        <w:rPr>
          <w:rFonts w:ascii="David" w:hAnsi="David" w:hint="cs"/>
          <w:rtl/>
        </w:rPr>
        <w:t>בעניינו המלצה חיובית של שירות המבחן (</w:t>
      </w:r>
      <w:hyperlink r:id="rId52" w:history="1">
        <w:r w:rsidR="00843C3E" w:rsidRPr="00843C3E">
          <w:rPr>
            <w:rFonts w:ascii="David" w:hAnsi="David"/>
            <w:color w:val="0000FF"/>
            <w:u w:val="single"/>
            <w:rtl/>
          </w:rPr>
          <w:t>ע"פ 4077/22</w:t>
        </w:r>
      </w:hyperlink>
      <w:r w:rsidRPr="00CF7A9A">
        <w:rPr>
          <w:rFonts w:ascii="David" w:hAnsi="David" w:hint="cs"/>
          <w:rtl/>
        </w:rPr>
        <w:t xml:space="preserve"> </w:t>
      </w:r>
      <w:r w:rsidRPr="00CF7A9A">
        <w:rPr>
          <w:rFonts w:ascii="David" w:hAnsi="David" w:hint="cs"/>
          <w:b/>
          <w:bCs/>
          <w:rtl/>
        </w:rPr>
        <w:t>פלוני נ' מדינת ישראל</w:t>
      </w:r>
      <w:r w:rsidRPr="00CF7A9A">
        <w:rPr>
          <w:rFonts w:ascii="David" w:hAnsi="David" w:hint="cs"/>
          <w:rtl/>
        </w:rPr>
        <w:t xml:space="preserve"> (28.7.2022)</w:t>
      </w:r>
      <w:r>
        <w:rPr>
          <w:rFonts w:ascii="David" w:hAnsi="David" w:hint="cs"/>
          <w:rtl/>
        </w:rPr>
        <w:t xml:space="preserve">, פסקה 12; </w:t>
      </w:r>
      <w:hyperlink r:id="rId53" w:history="1">
        <w:r w:rsidR="00843C3E" w:rsidRPr="00843C3E">
          <w:rPr>
            <w:rFonts w:ascii="David" w:hAnsi="David"/>
            <w:color w:val="0000FF"/>
            <w:u w:val="single"/>
            <w:rtl/>
          </w:rPr>
          <w:t>ע"פ 5602/22</w:t>
        </w:r>
      </w:hyperlink>
      <w:r w:rsidRPr="00CF7A9A">
        <w:rPr>
          <w:rFonts w:ascii="David" w:hAnsi="David" w:hint="cs"/>
          <w:rtl/>
        </w:rPr>
        <w:t xml:space="preserve"> </w:t>
      </w:r>
      <w:r w:rsidRPr="00CF7A9A">
        <w:rPr>
          <w:rFonts w:ascii="David" w:hAnsi="David" w:hint="cs"/>
          <w:b/>
          <w:bCs/>
          <w:rtl/>
        </w:rPr>
        <w:t>מדינת ישראל נ' פלוני</w:t>
      </w:r>
      <w:r w:rsidRPr="00CF7A9A">
        <w:rPr>
          <w:rFonts w:ascii="David" w:hAnsi="David" w:hint="cs"/>
          <w:rtl/>
        </w:rPr>
        <w:t xml:space="preserve"> (14.9.2022)</w:t>
      </w:r>
      <w:r>
        <w:rPr>
          <w:rFonts w:ascii="David" w:hAnsi="David" w:hint="cs"/>
          <w:rtl/>
        </w:rPr>
        <w:t>, פסקה 15)</w:t>
      </w:r>
      <w:r w:rsidRPr="00CF7A9A">
        <w:rPr>
          <w:rFonts w:ascii="David" w:hAnsi="David" w:hint="cs"/>
          <w:rtl/>
        </w:rPr>
        <w:t xml:space="preserve">. </w:t>
      </w:r>
    </w:p>
    <w:p w14:paraId="472E625E" w14:textId="77777777" w:rsidR="00385539" w:rsidRPr="00CF7A9A" w:rsidRDefault="00385539" w:rsidP="00385539">
      <w:pPr>
        <w:pStyle w:val="a9"/>
        <w:rPr>
          <w:rFonts w:ascii="David" w:hAnsi="David"/>
          <w:rtl/>
        </w:rPr>
      </w:pPr>
    </w:p>
    <w:p w14:paraId="598081AB" w14:textId="77777777" w:rsidR="00385539" w:rsidRPr="00050BDC" w:rsidRDefault="00385539" w:rsidP="00385539">
      <w:pPr>
        <w:pStyle w:val="a9"/>
        <w:numPr>
          <w:ilvl w:val="0"/>
          <w:numId w:val="1"/>
        </w:numPr>
        <w:spacing w:line="360" w:lineRule="auto"/>
        <w:jc w:val="both"/>
        <w:rPr>
          <w:rFonts w:ascii="David" w:hAnsi="David"/>
        </w:rPr>
      </w:pPr>
      <w:r w:rsidRPr="00CF7A9A">
        <w:rPr>
          <w:rFonts w:ascii="David" w:hAnsi="David" w:hint="cs"/>
          <w:rtl/>
        </w:rPr>
        <w:t xml:space="preserve">משכך, דומה שרק במקרים חריגים ניתן יהיה </w:t>
      </w:r>
      <w:r>
        <w:rPr>
          <w:rFonts w:ascii="David" w:hAnsi="David" w:hint="cs"/>
          <w:rtl/>
        </w:rPr>
        <w:t>לסטות</w:t>
      </w:r>
      <w:r w:rsidRPr="00CF7A9A">
        <w:rPr>
          <w:rFonts w:ascii="David" w:hAnsi="David" w:hint="cs"/>
          <w:rtl/>
        </w:rPr>
        <w:t xml:space="preserve"> </w:t>
      </w:r>
      <w:r w:rsidRPr="00050BDC">
        <w:rPr>
          <w:rFonts w:ascii="David" w:hAnsi="David" w:hint="cs"/>
          <w:rtl/>
        </w:rPr>
        <w:t xml:space="preserve">ממתחם הענישה בשל סיכויי שיקום ולהעדיף את האינטרס האישי על פני הציבורי ולצורך כך נדרשים נימוקים כבדי משקל ומשמעותיים אשר לא קיימים בענייננו. אכן, מדובר בצעיר שעברו נקי ואשר השתלב בהליך טיפולי ואולם בכך מסתכמים הדברים. איני מקל ראש בדרך שעבר הנאשם, ותקוותי שימשיך בה, ואולם, אין מדובר בשינוי כה עמוק ומשמעותי המצדיק הימנעות ממאסר בעבירה כגון זו. כמו כן אין במקרה זה נימוקים אחרים כבדי משקל המצדיקים להעדיף את האינטרס האישי (ראו בהשוואה נסיבותיו של </w:t>
      </w:r>
      <w:hyperlink r:id="rId54" w:history="1">
        <w:r w:rsidR="00843C3E" w:rsidRPr="00843C3E">
          <w:rPr>
            <w:rFonts w:ascii="David" w:hAnsi="David"/>
            <w:color w:val="0000FF"/>
            <w:u w:val="single"/>
            <w:rtl/>
          </w:rPr>
          <w:t>עפ"ג 75694-07-24</w:t>
        </w:r>
      </w:hyperlink>
      <w:r w:rsidRPr="00050BDC">
        <w:rPr>
          <w:rFonts w:ascii="David" w:hAnsi="David"/>
          <w:rtl/>
        </w:rPr>
        <w:t xml:space="preserve"> </w:t>
      </w:r>
      <w:r w:rsidRPr="00050BDC">
        <w:rPr>
          <w:rFonts w:ascii="David" w:hAnsi="David"/>
          <w:b/>
          <w:bCs/>
          <w:rtl/>
        </w:rPr>
        <w:t>מדינת ישראל נ' מיעארי</w:t>
      </w:r>
      <w:r w:rsidRPr="00050BDC">
        <w:rPr>
          <w:rFonts w:ascii="David" w:hAnsi="David" w:hint="cs"/>
          <w:rtl/>
        </w:rPr>
        <w:t xml:space="preserve"> (10.9.2024) הדומ</w:t>
      </w:r>
      <w:r>
        <w:rPr>
          <w:rFonts w:ascii="David" w:hAnsi="David" w:hint="cs"/>
          <w:rtl/>
        </w:rPr>
        <w:t>ות</w:t>
      </w:r>
      <w:r w:rsidRPr="00050BDC">
        <w:rPr>
          <w:rFonts w:ascii="David" w:hAnsi="David" w:hint="cs"/>
          <w:rtl/>
        </w:rPr>
        <w:t xml:space="preserve"> לענייננו).</w:t>
      </w:r>
    </w:p>
    <w:p w14:paraId="31FB6EF0" w14:textId="77777777" w:rsidR="00385539" w:rsidRPr="00586995" w:rsidRDefault="00385539" w:rsidP="00385539">
      <w:pPr>
        <w:pStyle w:val="a9"/>
        <w:rPr>
          <w:rFonts w:ascii="David" w:hAnsi="David"/>
          <w:rtl/>
        </w:rPr>
      </w:pPr>
    </w:p>
    <w:p w14:paraId="15DBC3A8" w14:textId="77777777" w:rsidR="00385539" w:rsidRDefault="00385539" w:rsidP="00385539">
      <w:pPr>
        <w:pStyle w:val="a9"/>
        <w:numPr>
          <w:ilvl w:val="0"/>
          <w:numId w:val="1"/>
        </w:numPr>
        <w:spacing w:line="360" w:lineRule="auto"/>
        <w:jc w:val="both"/>
        <w:rPr>
          <w:rFonts w:ascii="David" w:hAnsi="David"/>
        </w:rPr>
      </w:pPr>
      <w:r>
        <w:rPr>
          <w:rFonts w:ascii="David" w:hAnsi="David" w:hint="cs"/>
          <w:rtl/>
        </w:rPr>
        <w:t xml:space="preserve">סיכומו של דבר, חרף נתוניו האישיים החיוביים של הנאשם ובכלל זה הגיל הצעיר, העבר הנקי, קבלת האחריות, הנכונות להשתלב בטיפול והתרשמות שירות המבחן מסיכון נמוך ומהיעדר דפוסים עברייניים, אין מקום לסטות במקרה זה ממתחם הענישה. עם זאת, על רקע נתונים אלו, כמו גם התקופה בה שהה הנאשם בתנאים מגבילים, יוטל העונש בתחתית המתחם ואף אמנע מקנס. יש לקוות שהנאשם לא יאמר נואש וימשיך בדרך בה נקט מאז ששוחרר בתנאים מגבילים. </w:t>
      </w:r>
    </w:p>
    <w:p w14:paraId="2AEDCF09" w14:textId="77777777" w:rsidR="00385539" w:rsidRPr="00174B98" w:rsidRDefault="00385539" w:rsidP="00385539">
      <w:pPr>
        <w:pStyle w:val="a9"/>
        <w:rPr>
          <w:rFonts w:ascii="David" w:hAnsi="David"/>
          <w:rtl/>
        </w:rPr>
      </w:pPr>
    </w:p>
    <w:p w14:paraId="002C5F4B" w14:textId="77777777" w:rsidR="00385539" w:rsidRPr="00CB2012" w:rsidRDefault="00385539" w:rsidP="00385539">
      <w:pPr>
        <w:pStyle w:val="a9"/>
        <w:numPr>
          <w:ilvl w:val="0"/>
          <w:numId w:val="1"/>
        </w:numPr>
        <w:spacing w:line="360" w:lineRule="auto"/>
        <w:jc w:val="both"/>
        <w:rPr>
          <w:rFonts w:ascii="David" w:hAnsi="David"/>
          <w:rtl/>
        </w:rPr>
      </w:pPr>
      <w:r>
        <w:rPr>
          <w:rFonts w:ascii="David" w:hAnsi="David" w:hint="cs"/>
          <w:rtl/>
        </w:rPr>
        <w:t>לסיכום, מוטלים על הנאשם העונשים הבאים:</w:t>
      </w:r>
      <w:r>
        <w:rPr>
          <w:rFonts w:ascii="David" w:hAnsi="David" w:hint="cs"/>
        </w:rPr>
        <w:t xml:space="preserve"> </w:t>
      </w:r>
    </w:p>
    <w:p w14:paraId="41507D9D" w14:textId="77777777" w:rsidR="00385539" w:rsidRDefault="00385539" w:rsidP="00385539">
      <w:pPr>
        <w:pStyle w:val="a9"/>
        <w:rPr>
          <w:rFonts w:ascii="David" w:hAnsi="David"/>
          <w:rtl/>
        </w:rPr>
      </w:pPr>
    </w:p>
    <w:p w14:paraId="47EFC0CF" w14:textId="77777777" w:rsidR="00385539" w:rsidRDefault="00385539" w:rsidP="00385539">
      <w:pPr>
        <w:pStyle w:val="a9"/>
        <w:numPr>
          <w:ilvl w:val="0"/>
          <w:numId w:val="2"/>
        </w:numPr>
        <w:spacing w:line="360" w:lineRule="auto"/>
        <w:jc w:val="both"/>
        <w:rPr>
          <w:rFonts w:ascii="David" w:hAnsi="David"/>
        </w:rPr>
      </w:pPr>
      <w:r>
        <w:rPr>
          <w:rFonts w:ascii="David" w:hAnsi="David" w:hint="cs"/>
          <w:rtl/>
        </w:rPr>
        <w:t xml:space="preserve">מאסר בפועל למשך 14 חודשים בניכוי תקופת המעצר: 22.1.24 </w:t>
      </w:r>
      <w:r>
        <w:rPr>
          <w:rFonts w:ascii="David" w:hAnsi="David"/>
          <w:rtl/>
        </w:rPr>
        <w:t>–</w:t>
      </w:r>
      <w:r>
        <w:rPr>
          <w:rFonts w:ascii="David" w:hAnsi="David" w:hint="cs"/>
          <w:rtl/>
        </w:rPr>
        <w:t xml:space="preserve"> 11.3.24.</w:t>
      </w:r>
    </w:p>
    <w:p w14:paraId="53C4A615" w14:textId="77777777" w:rsidR="00385539" w:rsidRPr="007D1856" w:rsidRDefault="00385539" w:rsidP="00385539">
      <w:pPr>
        <w:pStyle w:val="a9"/>
        <w:numPr>
          <w:ilvl w:val="0"/>
          <w:numId w:val="2"/>
        </w:numPr>
        <w:spacing w:line="360" w:lineRule="auto"/>
        <w:jc w:val="both"/>
        <w:rPr>
          <w:rFonts w:ascii="David" w:hAnsi="David"/>
        </w:rPr>
      </w:pPr>
      <w:r>
        <w:rPr>
          <w:rFonts w:ascii="David" w:hAnsi="David"/>
          <w:rtl/>
        </w:rPr>
        <w:t xml:space="preserve">מאסר על תנאי למשך </w:t>
      </w:r>
      <w:r>
        <w:rPr>
          <w:rFonts w:ascii="David" w:hAnsi="David" w:hint="cs"/>
          <w:rtl/>
        </w:rPr>
        <w:t>7</w:t>
      </w:r>
      <w:r>
        <w:rPr>
          <w:rFonts w:ascii="David" w:hAnsi="David"/>
          <w:rtl/>
        </w:rPr>
        <w:t xml:space="preserve"> חודשים </w:t>
      </w:r>
      <w:r>
        <w:rPr>
          <w:rtl/>
        </w:rPr>
        <w:t xml:space="preserve">והתנאי הוא </w:t>
      </w:r>
      <w:r>
        <w:rPr>
          <w:rFonts w:hint="cs"/>
          <w:rtl/>
        </w:rPr>
        <w:t>ש</w:t>
      </w:r>
      <w:r>
        <w:rPr>
          <w:rtl/>
        </w:rPr>
        <w:t xml:space="preserve">לא יעבור במשך שנתיים כל עבירה על </w:t>
      </w:r>
      <w:hyperlink r:id="rId55" w:history="1">
        <w:r w:rsidR="0090456E" w:rsidRPr="0090456E">
          <w:rPr>
            <w:rStyle w:val="Hyperlink"/>
            <w:color w:val="0000FF"/>
            <w:rtl/>
          </w:rPr>
          <w:t>סעיף 144</w:t>
        </w:r>
      </w:hyperlink>
      <w:r>
        <w:rPr>
          <w:rtl/>
        </w:rPr>
        <w:t xml:space="preserve"> ל</w:t>
      </w:r>
      <w:hyperlink r:id="rId56" w:history="1">
        <w:r w:rsidR="00843C3E" w:rsidRPr="00843C3E">
          <w:rPr>
            <w:color w:val="0000FF"/>
            <w:u w:val="single"/>
            <w:rtl/>
          </w:rPr>
          <w:t>חוק העונשין</w:t>
        </w:r>
      </w:hyperlink>
      <w:r>
        <w:rPr>
          <w:rFonts w:hint="cs"/>
          <w:rtl/>
        </w:rPr>
        <w:t xml:space="preserve"> שהיא פשע</w:t>
      </w:r>
      <w:r>
        <w:rPr>
          <w:rtl/>
        </w:rPr>
        <w:t>.</w:t>
      </w:r>
    </w:p>
    <w:p w14:paraId="3A244826" w14:textId="77777777" w:rsidR="00385539" w:rsidRPr="00174B98" w:rsidRDefault="00385539" w:rsidP="00385539">
      <w:pPr>
        <w:pStyle w:val="a9"/>
        <w:rPr>
          <w:rFonts w:ascii="David" w:hAnsi="David"/>
          <w:rtl/>
        </w:rPr>
      </w:pPr>
    </w:p>
    <w:p w14:paraId="1CF0AF73" w14:textId="77777777" w:rsidR="00385539" w:rsidRDefault="00385539" w:rsidP="00385539">
      <w:pPr>
        <w:spacing w:line="360" w:lineRule="auto"/>
        <w:jc w:val="both"/>
        <w:rPr>
          <w:rFonts w:ascii="David" w:hAnsi="David"/>
        </w:rPr>
      </w:pPr>
      <w:r>
        <w:rPr>
          <w:rFonts w:ascii="David" w:hAnsi="David"/>
          <w:b/>
          <w:bCs/>
          <w:color w:val="000000"/>
          <w:u w:val="single"/>
          <w:rtl/>
        </w:rPr>
        <w:t>הודעה זכות ערעור לבית המשפט המחוזי בתוך 45 ימים</w:t>
      </w:r>
      <w:r>
        <w:rPr>
          <w:rFonts w:ascii="David" w:hAnsi="David"/>
          <w:b/>
          <w:bCs/>
          <w:color w:val="000000"/>
          <w:u w:val="single"/>
        </w:rPr>
        <w:t>.</w:t>
      </w:r>
    </w:p>
    <w:p w14:paraId="588799DB" w14:textId="77777777" w:rsidR="00385539" w:rsidRPr="00843C3E" w:rsidRDefault="00843C3E" w:rsidP="00385539">
      <w:pPr>
        <w:spacing w:line="360" w:lineRule="auto"/>
        <w:jc w:val="both"/>
        <w:rPr>
          <w:rFonts w:ascii="David" w:hAnsi="David"/>
          <w:color w:val="FFFFFF"/>
          <w:sz w:val="2"/>
          <w:szCs w:val="2"/>
          <w:rtl/>
        </w:rPr>
      </w:pPr>
      <w:r w:rsidRPr="00843C3E">
        <w:rPr>
          <w:rFonts w:ascii="David" w:hAnsi="David"/>
          <w:color w:val="FFFFFF"/>
          <w:sz w:val="2"/>
          <w:szCs w:val="2"/>
          <w:rtl/>
        </w:rPr>
        <w:t>5129371</w:t>
      </w:r>
    </w:p>
    <w:p w14:paraId="6526408C" w14:textId="77777777" w:rsidR="00385539" w:rsidRPr="00F05DAE" w:rsidRDefault="00843C3E" w:rsidP="00385539">
      <w:pPr>
        <w:spacing w:line="360" w:lineRule="auto"/>
        <w:jc w:val="both"/>
        <w:rPr>
          <w:rFonts w:ascii="David" w:hAnsi="David"/>
          <w:b/>
          <w:bCs/>
          <w:u w:val="single"/>
          <w:rtl/>
        </w:rPr>
      </w:pPr>
      <w:r w:rsidRPr="00843C3E">
        <w:rPr>
          <w:rFonts w:ascii="David" w:hAnsi="David"/>
          <w:b/>
          <w:bCs/>
          <w:color w:val="FFFFFF"/>
          <w:sz w:val="2"/>
          <w:szCs w:val="2"/>
          <w:u w:val="single"/>
          <w:rtl/>
        </w:rPr>
        <w:t>54678313</w:t>
      </w:r>
      <w:r w:rsidR="00385539" w:rsidRPr="00DB18BF">
        <w:rPr>
          <w:rFonts w:ascii="David" w:hAnsi="David" w:hint="cs"/>
          <w:b/>
          <w:bCs/>
          <w:u w:val="single"/>
          <w:rtl/>
        </w:rPr>
        <w:t>מוצג- אקדח, להשמיד.</w:t>
      </w:r>
      <w:r w:rsidR="00385539" w:rsidRPr="00F05DAE">
        <w:rPr>
          <w:rFonts w:ascii="David" w:hAnsi="David" w:hint="cs"/>
          <w:b/>
          <w:bCs/>
          <w:u w:val="single"/>
          <w:rtl/>
        </w:rPr>
        <w:t xml:space="preserve"> </w:t>
      </w:r>
    </w:p>
    <w:p w14:paraId="07871A79" w14:textId="77777777" w:rsidR="00385539" w:rsidRPr="00E41400" w:rsidRDefault="00385539" w:rsidP="00385539">
      <w:pPr>
        <w:rPr>
          <w:rFonts w:ascii="David" w:hAnsi="David"/>
          <w:rtl/>
        </w:rPr>
      </w:pPr>
    </w:p>
    <w:p w14:paraId="650F3EBD" w14:textId="77777777" w:rsidR="00385539" w:rsidRPr="00E41400" w:rsidRDefault="00843C3E" w:rsidP="00385539">
      <w:pPr>
        <w:rPr>
          <w:rFonts w:ascii="David" w:hAnsi="David"/>
          <w:rtl/>
        </w:rPr>
      </w:pPr>
      <w:bookmarkStart w:id="9" w:name="Nitan"/>
      <w:r>
        <w:rPr>
          <w:rFonts w:ascii="David" w:hAnsi="David"/>
          <w:rtl/>
        </w:rPr>
        <w:t xml:space="preserve">ניתן היום,  כ"ב כסלו תשפ"ה, 23 דצמבר 2024, במעמד הצדדים. </w:t>
      </w:r>
      <w:bookmarkEnd w:id="9"/>
    </w:p>
    <w:p w14:paraId="14E6CE00" w14:textId="77777777" w:rsidR="00843C3E" w:rsidRDefault="00843C3E" w:rsidP="00843C3E">
      <w:pPr>
        <w:rPr>
          <w:rtl/>
        </w:rPr>
      </w:pPr>
    </w:p>
    <w:p w14:paraId="75799AB5" w14:textId="77777777" w:rsidR="00843C3E" w:rsidRDefault="00843C3E" w:rsidP="00843C3E">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5531013F" w14:textId="77777777" w:rsidR="0090456E" w:rsidRPr="0090456E" w:rsidRDefault="0090456E" w:rsidP="0090456E">
      <w:pPr>
        <w:keepNext/>
        <w:rPr>
          <w:rFonts w:ascii="David" w:hAnsi="David"/>
          <w:color w:val="000000"/>
          <w:sz w:val="22"/>
          <w:szCs w:val="22"/>
          <w:rtl/>
        </w:rPr>
      </w:pPr>
    </w:p>
    <w:p w14:paraId="5409B284" w14:textId="77777777" w:rsidR="0090456E" w:rsidRPr="0090456E" w:rsidRDefault="0090456E" w:rsidP="0090456E">
      <w:pPr>
        <w:keepNext/>
        <w:rPr>
          <w:rFonts w:ascii="David" w:hAnsi="David"/>
          <w:color w:val="000000"/>
          <w:sz w:val="22"/>
          <w:szCs w:val="22"/>
          <w:rtl/>
        </w:rPr>
      </w:pPr>
      <w:r w:rsidRPr="0090456E">
        <w:rPr>
          <w:rFonts w:ascii="David" w:hAnsi="David"/>
          <w:color w:val="000000"/>
          <w:sz w:val="22"/>
          <w:szCs w:val="22"/>
          <w:rtl/>
        </w:rPr>
        <w:t>יוסי טורס 54678313</w:t>
      </w:r>
    </w:p>
    <w:p w14:paraId="1312499F" w14:textId="77777777" w:rsidR="00843C3E" w:rsidRPr="00843C3E" w:rsidRDefault="0090456E" w:rsidP="0090456E">
      <w:pPr>
        <w:rPr>
          <w:color w:val="0000FF"/>
          <w:u w:val="single"/>
        </w:rPr>
      </w:pPr>
      <w:r w:rsidRPr="0090456E">
        <w:rPr>
          <w:color w:val="000000"/>
          <w:u w:val="single"/>
          <w:rtl/>
        </w:rPr>
        <w:t>נוסח מסמך זה כפוף לשינויי ניסוח ועריכה</w:t>
      </w:r>
    </w:p>
    <w:sectPr w:rsidR="00843C3E" w:rsidRPr="00843C3E" w:rsidSect="0090456E">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E9A98" w14:textId="77777777" w:rsidR="00540F7D" w:rsidRDefault="00540F7D" w:rsidP="000F6BC9">
      <w:r>
        <w:separator/>
      </w:r>
    </w:p>
  </w:endnote>
  <w:endnote w:type="continuationSeparator" w:id="0">
    <w:p w14:paraId="088CAEF5" w14:textId="77777777" w:rsidR="00540F7D" w:rsidRDefault="00540F7D" w:rsidP="000F6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4FD0F" w14:textId="77777777" w:rsidR="0090456E" w:rsidRDefault="0090456E" w:rsidP="0090456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1FACCF0A" w14:textId="77777777" w:rsidR="00C31FC4" w:rsidRPr="0090456E" w:rsidRDefault="0090456E" w:rsidP="0090456E">
    <w:pPr>
      <w:pStyle w:val="a5"/>
      <w:pBdr>
        <w:top w:val="single" w:sz="4" w:space="1" w:color="auto"/>
        <w:between w:val="single" w:sz="4" w:space="0" w:color="auto"/>
      </w:pBdr>
      <w:spacing w:after="60"/>
      <w:jc w:val="center"/>
      <w:rPr>
        <w:rFonts w:ascii="FrankRuehl" w:hAnsi="FrankRuehl" w:cs="FrankRuehl"/>
        <w:color w:val="000000"/>
      </w:rPr>
    </w:pPr>
    <w:r w:rsidRPr="0090456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F0DC2" w14:textId="77777777" w:rsidR="0090456E" w:rsidRDefault="0090456E" w:rsidP="0090456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627A3">
      <w:rPr>
        <w:rFonts w:ascii="FrankRuehl" w:hAnsi="FrankRuehl" w:cs="FrankRuehl"/>
        <w:noProof/>
        <w:rtl/>
      </w:rPr>
      <w:t>1</w:t>
    </w:r>
    <w:r>
      <w:rPr>
        <w:rFonts w:ascii="FrankRuehl" w:hAnsi="FrankRuehl" w:cs="FrankRuehl"/>
        <w:rtl/>
      </w:rPr>
      <w:fldChar w:fldCharType="end"/>
    </w:r>
  </w:p>
  <w:p w14:paraId="296FCC5B" w14:textId="77777777" w:rsidR="00C31FC4" w:rsidRPr="0090456E" w:rsidRDefault="0090456E" w:rsidP="0090456E">
    <w:pPr>
      <w:pStyle w:val="a5"/>
      <w:pBdr>
        <w:top w:val="single" w:sz="4" w:space="1" w:color="auto"/>
        <w:between w:val="single" w:sz="4" w:space="0" w:color="auto"/>
      </w:pBdr>
      <w:spacing w:after="60"/>
      <w:jc w:val="center"/>
      <w:rPr>
        <w:rFonts w:ascii="FrankRuehl" w:hAnsi="FrankRuehl" w:cs="FrankRuehl"/>
        <w:color w:val="000000"/>
      </w:rPr>
    </w:pPr>
    <w:r w:rsidRPr="0090456E">
      <w:rPr>
        <w:rFonts w:ascii="FrankRuehl" w:hAnsi="FrankRuehl" w:cs="FrankRuehl"/>
        <w:color w:val="000000"/>
      </w:rPr>
      <w:pict w14:anchorId="2294F7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1EF6E" w14:textId="77777777" w:rsidR="00540F7D" w:rsidRDefault="00540F7D" w:rsidP="000F6BC9">
      <w:r>
        <w:separator/>
      </w:r>
    </w:p>
  </w:footnote>
  <w:footnote w:type="continuationSeparator" w:id="0">
    <w:p w14:paraId="356A76BA" w14:textId="77777777" w:rsidR="00540F7D" w:rsidRDefault="00540F7D" w:rsidP="000F6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2BCAA" w14:textId="77777777" w:rsidR="00843C3E" w:rsidRPr="0090456E" w:rsidRDefault="0090456E" w:rsidP="0090456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7520-02-24</w:t>
    </w:r>
    <w:r>
      <w:rPr>
        <w:rFonts w:ascii="David" w:hAnsi="David"/>
        <w:color w:val="000000"/>
        <w:sz w:val="22"/>
        <w:szCs w:val="22"/>
        <w:rtl/>
      </w:rPr>
      <w:tab/>
      <w:t xml:space="preserve"> מדינת ישראל נ' נעם שמעון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7EDF7" w14:textId="77777777" w:rsidR="00843C3E" w:rsidRPr="0090456E" w:rsidRDefault="0090456E" w:rsidP="0090456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7520-02-24</w:t>
    </w:r>
    <w:r>
      <w:rPr>
        <w:rFonts w:ascii="David" w:hAnsi="David"/>
        <w:color w:val="000000"/>
        <w:sz w:val="22"/>
        <w:szCs w:val="22"/>
        <w:rtl/>
      </w:rPr>
      <w:tab/>
      <w:t xml:space="preserve"> מדינת ישראל נ' נעם שמעון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D6590"/>
    <w:multiLevelType w:val="hybridMultilevel"/>
    <w:tmpl w:val="A10E0086"/>
    <w:lvl w:ilvl="0" w:tplc="729671EA">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77FED"/>
    <w:multiLevelType w:val="hybridMultilevel"/>
    <w:tmpl w:val="C4FA4AA4"/>
    <w:lvl w:ilvl="0" w:tplc="E3C24A40">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172071">
    <w:abstractNumId w:val="0"/>
  </w:num>
  <w:num w:numId="2" w16cid:durableId="884292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85539"/>
    <w:rsid w:val="000F6BC9"/>
    <w:rsid w:val="00385539"/>
    <w:rsid w:val="00540F7D"/>
    <w:rsid w:val="00843C3E"/>
    <w:rsid w:val="0090456E"/>
    <w:rsid w:val="009A4E4C"/>
    <w:rsid w:val="00A627A3"/>
    <w:rsid w:val="00C31FC4"/>
    <w:rsid w:val="00C47802"/>
    <w:rsid w:val="00FD71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4BA73F"/>
  <w15:chartTrackingRefBased/>
  <w15:docId w15:val="{471CE4C3-5D3F-4859-AA32-7A50DD042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8553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85539"/>
    <w:pPr>
      <w:tabs>
        <w:tab w:val="center" w:pos="4153"/>
        <w:tab w:val="right" w:pos="8306"/>
      </w:tabs>
    </w:pPr>
  </w:style>
  <w:style w:type="character" w:customStyle="1" w:styleId="a4">
    <w:name w:val="כותרת עליונה תו"/>
    <w:link w:val="a3"/>
    <w:rsid w:val="00385539"/>
    <w:rPr>
      <w:rFonts w:ascii="Times New Roman" w:eastAsia="Times New Roman" w:hAnsi="Times New Roman" w:cs="David"/>
      <w:sz w:val="24"/>
      <w:szCs w:val="24"/>
    </w:rPr>
  </w:style>
  <w:style w:type="paragraph" w:styleId="a5">
    <w:name w:val="footer"/>
    <w:basedOn w:val="a"/>
    <w:link w:val="a6"/>
    <w:rsid w:val="00385539"/>
    <w:pPr>
      <w:tabs>
        <w:tab w:val="center" w:pos="4153"/>
        <w:tab w:val="right" w:pos="8306"/>
      </w:tabs>
    </w:pPr>
  </w:style>
  <w:style w:type="character" w:customStyle="1" w:styleId="a6">
    <w:name w:val="כותרת תחתונה תו"/>
    <w:link w:val="a5"/>
    <w:rsid w:val="00385539"/>
    <w:rPr>
      <w:rFonts w:ascii="Times New Roman" w:eastAsia="Times New Roman" w:hAnsi="Times New Roman" w:cs="David"/>
      <w:sz w:val="24"/>
      <w:szCs w:val="24"/>
    </w:rPr>
  </w:style>
  <w:style w:type="table" w:styleId="a7">
    <w:name w:val="Table Grid"/>
    <w:basedOn w:val="a1"/>
    <w:rsid w:val="0038553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85539"/>
  </w:style>
  <w:style w:type="paragraph" w:styleId="a9">
    <w:name w:val="List Paragraph"/>
    <w:basedOn w:val="a"/>
    <w:qFormat/>
    <w:rsid w:val="00385539"/>
    <w:pPr>
      <w:ind w:left="720"/>
      <w:contextualSpacing/>
    </w:pPr>
  </w:style>
  <w:style w:type="character" w:styleId="Hyperlink">
    <w:name w:val="Hyperlink"/>
    <w:rsid w:val="00843C3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9220997" TargetMode="External"/><Relationship Id="rId21" Type="http://schemas.openxmlformats.org/officeDocument/2006/relationships/hyperlink" Target="http://www.nevo.co.il/case/27925239" TargetMode="External"/><Relationship Id="rId34" Type="http://schemas.openxmlformats.org/officeDocument/2006/relationships/hyperlink" Target="http://www.nevo.co.il/case/7958246" TargetMode="External"/><Relationship Id="rId42" Type="http://schemas.openxmlformats.org/officeDocument/2006/relationships/hyperlink" Target="http://www.nevo.co.il/case/28963593" TargetMode="External"/><Relationship Id="rId47" Type="http://schemas.openxmlformats.org/officeDocument/2006/relationships/hyperlink" Target="http://www.nevo.co.il/case/29611509" TargetMode="External"/><Relationship Id="rId50" Type="http://schemas.openxmlformats.org/officeDocument/2006/relationships/hyperlink" Target="http://www.nevo.co.il/case/28032796" TargetMode="External"/><Relationship Id="rId55" Type="http://schemas.openxmlformats.org/officeDocument/2006/relationships/hyperlink" Target="http://www.nevo.co.il/law/70301/144"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6"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0502269" TargetMode="External"/><Relationship Id="rId37" Type="http://schemas.openxmlformats.org/officeDocument/2006/relationships/hyperlink" Target="http://www.nevo.co.il/case/30307093" TargetMode="External"/><Relationship Id="rId40" Type="http://schemas.openxmlformats.org/officeDocument/2006/relationships/hyperlink" Target="http://www.nevo.co.il/case/30476730" TargetMode="External"/><Relationship Id="rId45" Type="http://schemas.openxmlformats.org/officeDocument/2006/relationships/hyperlink" Target="http://www.nevo.co.il/case/27721185" TargetMode="External"/><Relationship Id="rId53" Type="http://schemas.openxmlformats.org/officeDocument/2006/relationships/hyperlink" Target="http://www.nevo.co.il/case/28883087"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case/28243273"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9867910" TargetMode="External"/><Relationship Id="rId27" Type="http://schemas.openxmlformats.org/officeDocument/2006/relationships/hyperlink" Target="http://www.nevo.co.il/case/5964361" TargetMode="External"/><Relationship Id="rId30" Type="http://schemas.openxmlformats.org/officeDocument/2006/relationships/hyperlink" Target="http://www.nevo.co.il/law/70301/6"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8691189" TargetMode="External"/><Relationship Id="rId48" Type="http://schemas.openxmlformats.org/officeDocument/2006/relationships/hyperlink" Target="http://www.nevo.co.il/case/28180190" TargetMode="External"/><Relationship Id="rId56" Type="http://schemas.openxmlformats.org/officeDocument/2006/relationships/hyperlink" Target="http://www.nevo.co.il/law/70301" TargetMode="External"/><Relationship Id="rId8" Type="http://schemas.openxmlformats.org/officeDocument/2006/relationships/hyperlink" Target="http://www.nevo.co.il/law/70301/4" TargetMode="External"/><Relationship Id="rId51" Type="http://schemas.openxmlformats.org/officeDocument/2006/relationships/hyperlink" Target="http://www.nevo.co.il/case/28513828" TargetMode="External"/><Relationship Id="rId3" Type="http://schemas.openxmlformats.org/officeDocument/2006/relationships/settings" Target="settings.xml"/><Relationship Id="rId12" Type="http://schemas.openxmlformats.org/officeDocument/2006/relationships/hyperlink" Target="http://www.nevo.co.il/law/70301/29" TargetMode="External"/><Relationship Id="rId17" Type="http://schemas.openxmlformats.org/officeDocument/2006/relationships/hyperlink" Target="http://www.nevo.co.il/law/70301/29" TargetMode="External"/><Relationship Id="rId25" Type="http://schemas.openxmlformats.org/officeDocument/2006/relationships/hyperlink" Target="http://www.nevo.co.il/law/70301/144.g" TargetMode="External"/><Relationship Id="rId33" Type="http://schemas.openxmlformats.org/officeDocument/2006/relationships/hyperlink" Target="http://www.nevo.co.il/safrut/bookgroup/2258" TargetMode="External"/><Relationship Id="rId38" Type="http://schemas.openxmlformats.org/officeDocument/2006/relationships/hyperlink" Target="http://www.nevo.co.il/case/31987712" TargetMode="External"/><Relationship Id="rId46" Type="http://schemas.openxmlformats.org/officeDocument/2006/relationships/hyperlink" Target="http://www.nevo.co.il/case/28857823" TargetMode="External"/><Relationship Id="rId59" Type="http://schemas.openxmlformats.org/officeDocument/2006/relationships/header" Target="header2.xml"/><Relationship Id="rId20" Type="http://schemas.openxmlformats.org/officeDocument/2006/relationships/hyperlink" Target="http://www.nevo.co.il/case/28513828" TargetMode="External"/><Relationship Id="rId41" Type="http://schemas.openxmlformats.org/officeDocument/2006/relationships/hyperlink" Target="http://www.nevo.co.il/case/30053166" TargetMode="External"/><Relationship Id="rId54" Type="http://schemas.openxmlformats.org/officeDocument/2006/relationships/hyperlink" Target="http://www.nevo.co.il/case/31987712"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g" TargetMode="External"/><Relationship Id="rId23" Type="http://schemas.openxmlformats.org/officeDocument/2006/relationships/hyperlink" Target="http://www.nevo.co.il/case/27309272" TargetMode="External"/><Relationship Id="rId28" Type="http://schemas.openxmlformats.org/officeDocument/2006/relationships/hyperlink" Target="http://www.nevo.co.il/law/70301/5.a" TargetMode="External"/><Relationship Id="rId36" Type="http://schemas.openxmlformats.org/officeDocument/2006/relationships/hyperlink" Target="http://www.nevo.co.il/case/33147894" TargetMode="External"/><Relationship Id="rId49" Type="http://schemas.openxmlformats.org/officeDocument/2006/relationships/hyperlink" Target="http://www.nevo.co.il/case/28452957"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5.a" TargetMode="External"/><Relationship Id="rId31" Type="http://schemas.openxmlformats.org/officeDocument/2006/relationships/hyperlink" Target="http://www.nevo.co.il/law/70301/4;5" TargetMode="External"/><Relationship Id="rId44" Type="http://schemas.openxmlformats.org/officeDocument/2006/relationships/hyperlink" Target="http://www.nevo.co.il/case/27746030" TargetMode="External"/><Relationship Id="rId52" Type="http://schemas.openxmlformats.org/officeDocument/2006/relationships/hyperlink" Target="http://www.nevo.co.il/case/28697227"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3304</Words>
  <Characters>16523</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19788</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6357092</vt:i4>
      </vt:variant>
      <vt:variant>
        <vt:i4>147</vt:i4>
      </vt:variant>
      <vt:variant>
        <vt:i4>0</vt:i4>
      </vt:variant>
      <vt:variant>
        <vt:i4>5</vt:i4>
      </vt:variant>
      <vt:variant>
        <vt:lpwstr>http://www.nevo.co.il/law/70301/144</vt:lpwstr>
      </vt:variant>
      <vt:variant>
        <vt:lpwstr/>
      </vt:variant>
      <vt:variant>
        <vt:i4>3932282</vt:i4>
      </vt:variant>
      <vt:variant>
        <vt:i4>144</vt:i4>
      </vt:variant>
      <vt:variant>
        <vt:i4>0</vt:i4>
      </vt:variant>
      <vt:variant>
        <vt:i4>5</vt:i4>
      </vt:variant>
      <vt:variant>
        <vt:lpwstr>http://www.nevo.co.il/case/31987712</vt:lpwstr>
      </vt:variant>
      <vt:variant>
        <vt:lpwstr/>
      </vt:variant>
      <vt:variant>
        <vt:i4>3211380</vt:i4>
      </vt:variant>
      <vt:variant>
        <vt:i4>141</vt:i4>
      </vt:variant>
      <vt:variant>
        <vt:i4>0</vt:i4>
      </vt:variant>
      <vt:variant>
        <vt:i4>5</vt:i4>
      </vt:variant>
      <vt:variant>
        <vt:lpwstr>http://www.nevo.co.il/case/28883087</vt:lpwstr>
      </vt:variant>
      <vt:variant>
        <vt:lpwstr/>
      </vt:variant>
      <vt:variant>
        <vt:i4>3211383</vt:i4>
      </vt:variant>
      <vt:variant>
        <vt:i4>138</vt:i4>
      </vt:variant>
      <vt:variant>
        <vt:i4>0</vt:i4>
      </vt:variant>
      <vt:variant>
        <vt:i4>5</vt:i4>
      </vt:variant>
      <vt:variant>
        <vt:lpwstr>http://www.nevo.co.il/case/28697227</vt:lpwstr>
      </vt:variant>
      <vt:variant>
        <vt:lpwstr/>
      </vt:variant>
      <vt:variant>
        <vt:i4>3539061</vt:i4>
      </vt:variant>
      <vt:variant>
        <vt:i4>135</vt:i4>
      </vt:variant>
      <vt:variant>
        <vt:i4>0</vt:i4>
      </vt:variant>
      <vt:variant>
        <vt:i4>5</vt:i4>
      </vt:variant>
      <vt:variant>
        <vt:lpwstr>http://www.nevo.co.il/case/28513828</vt:lpwstr>
      </vt:variant>
      <vt:variant>
        <vt:lpwstr/>
      </vt:variant>
      <vt:variant>
        <vt:i4>3735672</vt:i4>
      </vt:variant>
      <vt:variant>
        <vt:i4>132</vt:i4>
      </vt:variant>
      <vt:variant>
        <vt:i4>0</vt:i4>
      </vt:variant>
      <vt:variant>
        <vt:i4>5</vt:i4>
      </vt:variant>
      <vt:variant>
        <vt:lpwstr>http://www.nevo.co.il/case/28032796</vt:lpwstr>
      </vt:variant>
      <vt:variant>
        <vt:lpwstr/>
      </vt:variant>
      <vt:variant>
        <vt:i4>3211376</vt:i4>
      </vt:variant>
      <vt:variant>
        <vt:i4>129</vt:i4>
      </vt:variant>
      <vt:variant>
        <vt:i4>0</vt:i4>
      </vt:variant>
      <vt:variant>
        <vt:i4>5</vt:i4>
      </vt:variant>
      <vt:variant>
        <vt:lpwstr>http://www.nevo.co.il/case/28452957</vt:lpwstr>
      </vt:variant>
      <vt:variant>
        <vt:lpwstr/>
      </vt:variant>
      <vt:variant>
        <vt:i4>3801205</vt:i4>
      </vt:variant>
      <vt:variant>
        <vt:i4>126</vt:i4>
      </vt:variant>
      <vt:variant>
        <vt:i4>0</vt:i4>
      </vt:variant>
      <vt:variant>
        <vt:i4>5</vt:i4>
      </vt:variant>
      <vt:variant>
        <vt:lpwstr>http://www.nevo.co.il/case/28180190</vt:lpwstr>
      </vt:variant>
      <vt:variant>
        <vt:lpwstr/>
      </vt:variant>
      <vt:variant>
        <vt:i4>3473529</vt:i4>
      </vt:variant>
      <vt:variant>
        <vt:i4>123</vt:i4>
      </vt:variant>
      <vt:variant>
        <vt:i4>0</vt:i4>
      </vt:variant>
      <vt:variant>
        <vt:i4>5</vt:i4>
      </vt:variant>
      <vt:variant>
        <vt:lpwstr>http://www.nevo.co.il/case/29611509</vt:lpwstr>
      </vt:variant>
      <vt:variant>
        <vt:lpwstr/>
      </vt:variant>
      <vt:variant>
        <vt:i4>4128881</vt:i4>
      </vt:variant>
      <vt:variant>
        <vt:i4>120</vt:i4>
      </vt:variant>
      <vt:variant>
        <vt:i4>0</vt:i4>
      </vt:variant>
      <vt:variant>
        <vt:i4>5</vt:i4>
      </vt:variant>
      <vt:variant>
        <vt:lpwstr>http://www.nevo.co.il/case/28857823</vt:lpwstr>
      </vt:variant>
      <vt:variant>
        <vt:lpwstr/>
      </vt:variant>
      <vt:variant>
        <vt:i4>3932272</vt:i4>
      </vt:variant>
      <vt:variant>
        <vt:i4>117</vt:i4>
      </vt:variant>
      <vt:variant>
        <vt:i4>0</vt:i4>
      </vt:variant>
      <vt:variant>
        <vt:i4>5</vt:i4>
      </vt:variant>
      <vt:variant>
        <vt:lpwstr>http://www.nevo.co.il/case/27721185</vt:lpwstr>
      </vt:variant>
      <vt:variant>
        <vt:lpwstr/>
      </vt:variant>
      <vt:variant>
        <vt:i4>3145847</vt:i4>
      </vt:variant>
      <vt:variant>
        <vt:i4>114</vt:i4>
      </vt:variant>
      <vt:variant>
        <vt:i4>0</vt:i4>
      </vt:variant>
      <vt:variant>
        <vt:i4>5</vt:i4>
      </vt:variant>
      <vt:variant>
        <vt:lpwstr>http://www.nevo.co.il/case/27746030</vt:lpwstr>
      </vt:variant>
      <vt:variant>
        <vt:lpwstr/>
      </vt:variant>
      <vt:variant>
        <vt:i4>3997812</vt:i4>
      </vt:variant>
      <vt:variant>
        <vt:i4>111</vt:i4>
      </vt:variant>
      <vt:variant>
        <vt:i4>0</vt:i4>
      </vt:variant>
      <vt:variant>
        <vt:i4>5</vt:i4>
      </vt:variant>
      <vt:variant>
        <vt:lpwstr>http://www.nevo.co.il/case/28691189</vt:lpwstr>
      </vt:variant>
      <vt:variant>
        <vt:lpwstr/>
      </vt:variant>
      <vt:variant>
        <vt:i4>3211391</vt:i4>
      </vt:variant>
      <vt:variant>
        <vt:i4>108</vt:i4>
      </vt:variant>
      <vt:variant>
        <vt:i4>0</vt:i4>
      </vt:variant>
      <vt:variant>
        <vt:i4>5</vt:i4>
      </vt:variant>
      <vt:variant>
        <vt:lpwstr>http://www.nevo.co.il/case/28963593</vt:lpwstr>
      </vt:variant>
      <vt:variant>
        <vt:lpwstr/>
      </vt:variant>
      <vt:variant>
        <vt:i4>3539056</vt:i4>
      </vt:variant>
      <vt:variant>
        <vt:i4>105</vt:i4>
      </vt:variant>
      <vt:variant>
        <vt:i4>0</vt:i4>
      </vt:variant>
      <vt:variant>
        <vt:i4>5</vt:i4>
      </vt:variant>
      <vt:variant>
        <vt:lpwstr>http://www.nevo.co.il/case/30053166</vt:lpwstr>
      </vt:variant>
      <vt:variant>
        <vt:lpwstr/>
      </vt:variant>
      <vt:variant>
        <vt:i4>3276916</vt:i4>
      </vt:variant>
      <vt:variant>
        <vt:i4>102</vt:i4>
      </vt:variant>
      <vt:variant>
        <vt:i4>0</vt:i4>
      </vt:variant>
      <vt:variant>
        <vt:i4>5</vt:i4>
      </vt:variant>
      <vt:variant>
        <vt:lpwstr>http://www.nevo.co.il/case/30476730</vt:lpwstr>
      </vt:variant>
      <vt:variant>
        <vt:lpwstr/>
      </vt:variant>
      <vt:variant>
        <vt:i4>3735670</vt:i4>
      </vt:variant>
      <vt:variant>
        <vt:i4>99</vt:i4>
      </vt:variant>
      <vt:variant>
        <vt:i4>0</vt:i4>
      </vt:variant>
      <vt:variant>
        <vt:i4>5</vt:i4>
      </vt:variant>
      <vt:variant>
        <vt:lpwstr>http://www.nevo.co.il/case/29220997</vt:lpwstr>
      </vt:variant>
      <vt:variant>
        <vt:lpwstr/>
      </vt:variant>
      <vt:variant>
        <vt:i4>3932282</vt:i4>
      </vt:variant>
      <vt:variant>
        <vt:i4>96</vt:i4>
      </vt:variant>
      <vt:variant>
        <vt:i4>0</vt:i4>
      </vt:variant>
      <vt:variant>
        <vt:i4>5</vt:i4>
      </vt:variant>
      <vt:variant>
        <vt:lpwstr>http://www.nevo.co.il/case/31987712</vt:lpwstr>
      </vt:variant>
      <vt:variant>
        <vt:lpwstr/>
      </vt:variant>
      <vt:variant>
        <vt:i4>4063348</vt:i4>
      </vt:variant>
      <vt:variant>
        <vt:i4>93</vt:i4>
      </vt:variant>
      <vt:variant>
        <vt:i4>0</vt:i4>
      </vt:variant>
      <vt:variant>
        <vt:i4>5</vt:i4>
      </vt:variant>
      <vt:variant>
        <vt:lpwstr>http://www.nevo.co.il/case/30307093</vt:lpwstr>
      </vt:variant>
      <vt:variant>
        <vt:lpwstr/>
      </vt:variant>
      <vt:variant>
        <vt:i4>3932283</vt:i4>
      </vt:variant>
      <vt:variant>
        <vt:i4>90</vt:i4>
      </vt:variant>
      <vt:variant>
        <vt:i4>0</vt:i4>
      </vt:variant>
      <vt:variant>
        <vt:i4>5</vt:i4>
      </vt:variant>
      <vt:variant>
        <vt:lpwstr>http://www.nevo.co.il/case/33147894</vt:lpwstr>
      </vt:variant>
      <vt:variant>
        <vt:lpwstr/>
      </vt:variant>
      <vt:variant>
        <vt:i4>7995492</vt:i4>
      </vt:variant>
      <vt:variant>
        <vt:i4>87</vt:i4>
      </vt:variant>
      <vt:variant>
        <vt:i4>0</vt:i4>
      </vt:variant>
      <vt:variant>
        <vt:i4>5</vt:i4>
      </vt:variant>
      <vt:variant>
        <vt:lpwstr>http://www.nevo.co.il/law/70301</vt:lpwstr>
      </vt:variant>
      <vt:variant>
        <vt:lpwstr/>
      </vt:variant>
      <vt:variant>
        <vt:i4>3539057</vt:i4>
      </vt:variant>
      <vt:variant>
        <vt:i4>84</vt:i4>
      </vt:variant>
      <vt:variant>
        <vt:i4>0</vt:i4>
      </vt:variant>
      <vt:variant>
        <vt:i4>5</vt:i4>
      </vt:variant>
      <vt:variant>
        <vt:lpwstr>http://www.nevo.co.il/case/7958246</vt:lpwstr>
      </vt:variant>
      <vt:variant>
        <vt:lpwstr/>
      </vt:variant>
      <vt:variant>
        <vt:i4>2162730</vt:i4>
      </vt:variant>
      <vt:variant>
        <vt:i4>81</vt:i4>
      </vt:variant>
      <vt:variant>
        <vt:i4>0</vt:i4>
      </vt:variant>
      <vt:variant>
        <vt:i4>5</vt:i4>
      </vt:variant>
      <vt:variant>
        <vt:lpwstr>http://www.nevo.co.il/safrut/bookgroup/2258</vt:lpwstr>
      </vt:variant>
      <vt:variant>
        <vt:lpwstr/>
      </vt:variant>
      <vt:variant>
        <vt:i4>3145846</vt:i4>
      </vt:variant>
      <vt:variant>
        <vt:i4>78</vt:i4>
      </vt:variant>
      <vt:variant>
        <vt:i4>0</vt:i4>
      </vt:variant>
      <vt:variant>
        <vt:i4>5</vt:i4>
      </vt:variant>
      <vt:variant>
        <vt:lpwstr>http://www.nevo.co.il/case/10502269</vt:lpwstr>
      </vt:variant>
      <vt:variant>
        <vt:lpwstr/>
      </vt:variant>
      <vt:variant>
        <vt:i4>7209057</vt:i4>
      </vt:variant>
      <vt:variant>
        <vt:i4>75</vt:i4>
      </vt:variant>
      <vt:variant>
        <vt:i4>0</vt:i4>
      </vt:variant>
      <vt:variant>
        <vt:i4>5</vt:i4>
      </vt:variant>
      <vt:variant>
        <vt:lpwstr>http://www.nevo.co.il/law/70301/4;5</vt:lpwstr>
      </vt:variant>
      <vt:variant>
        <vt:lpwstr/>
      </vt:variant>
      <vt:variant>
        <vt:i4>5570645</vt:i4>
      </vt:variant>
      <vt:variant>
        <vt:i4>72</vt:i4>
      </vt:variant>
      <vt:variant>
        <vt:i4>0</vt:i4>
      </vt:variant>
      <vt:variant>
        <vt:i4>5</vt:i4>
      </vt:variant>
      <vt:variant>
        <vt:lpwstr>http://www.nevo.co.il/law/70301/6</vt:lpwstr>
      </vt:variant>
      <vt:variant>
        <vt:lpwstr/>
      </vt:variant>
      <vt:variant>
        <vt:i4>7995492</vt:i4>
      </vt:variant>
      <vt:variant>
        <vt:i4>69</vt:i4>
      </vt:variant>
      <vt:variant>
        <vt:i4>0</vt:i4>
      </vt:variant>
      <vt:variant>
        <vt:i4>5</vt:i4>
      </vt:variant>
      <vt:variant>
        <vt:lpwstr>http://www.nevo.co.il/law/70301</vt:lpwstr>
      </vt:variant>
      <vt:variant>
        <vt:lpwstr/>
      </vt:variant>
      <vt:variant>
        <vt:i4>8061024</vt:i4>
      </vt:variant>
      <vt:variant>
        <vt:i4>66</vt:i4>
      </vt:variant>
      <vt:variant>
        <vt:i4>0</vt:i4>
      </vt:variant>
      <vt:variant>
        <vt:i4>5</vt:i4>
      </vt:variant>
      <vt:variant>
        <vt:lpwstr>http://www.nevo.co.il/law/70301/5.a</vt:lpwstr>
      </vt:variant>
      <vt:variant>
        <vt:lpwstr/>
      </vt:variant>
      <vt:variant>
        <vt:i4>3211391</vt:i4>
      </vt:variant>
      <vt:variant>
        <vt:i4>63</vt:i4>
      </vt:variant>
      <vt:variant>
        <vt:i4>0</vt:i4>
      </vt:variant>
      <vt:variant>
        <vt:i4>5</vt:i4>
      </vt:variant>
      <vt:variant>
        <vt:lpwstr>http://www.nevo.co.il/case/5964361</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http://www.nevo.co.il/law/70301/144.g</vt:lpwstr>
      </vt:variant>
      <vt:variant>
        <vt:lpwstr/>
      </vt:variant>
      <vt:variant>
        <vt:i4>7995492</vt:i4>
      </vt:variant>
      <vt:variant>
        <vt:i4>54</vt:i4>
      </vt:variant>
      <vt:variant>
        <vt:i4>0</vt:i4>
      </vt:variant>
      <vt:variant>
        <vt:i4>5</vt:i4>
      </vt:variant>
      <vt:variant>
        <vt:lpwstr>http://www.nevo.co.il/law/70301</vt:lpwstr>
      </vt:variant>
      <vt:variant>
        <vt:lpwstr/>
      </vt:variant>
      <vt:variant>
        <vt:i4>4128881</vt:i4>
      </vt:variant>
      <vt:variant>
        <vt:i4>51</vt:i4>
      </vt:variant>
      <vt:variant>
        <vt:i4>0</vt:i4>
      </vt:variant>
      <vt:variant>
        <vt:i4>5</vt:i4>
      </vt:variant>
      <vt:variant>
        <vt:lpwstr>http://www.nevo.co.il/case/27309272</vt:lpwstr>
      </vt:variant>
      <vt:variant>
        <vt:lpwstr/>
      </vt:variant>
      <vt:variant>
        <vt:i4>3932274</vt:i4>
      </vt:variant>
      <vt:variant>
        <vt:i4>48</vt:i4>
      </vt:variant>
      <vt:variant>
        <vt:i4>0</vt:i4>
      </vt:variant>
      <vt:variant>
        <vt:i4>5</vt:i4>
      </vt:variant>
      <vt:variant>
        <vt:lpwstr>http://www.nevo.co.il/case/29867910</vt:lpwstr>
      </vt:variant>
      <vt:variant>
        <vt:lpwstr/>
      </vt:variant>
      <vt:variant>
        <vt:i4>3997811</vt:i4>
      </vt:variant>
      <vt:variant>
        <vt:i4>45</vt:i4>
      </vt:variant>
      <vt:variant>
        <vt:i4>0</vt:i4>
      </vt:variant>
      <vt:variant>
        <vt:i4>5</vt:i4>
      </vt:variant>
      <vt:variant>
        <vt:lpwstr>http://www.nevo.co.il/case/27925239</vt:lpwstr>
      </vt:variant>
      <vt:variant>
        <vt:lpwstr/>
      </vt:variant>
      <vt:variant>
        <vt:i4>3539061</vt:i4>
      </vt:variant>
      <vt:variant>
        <vt:i4>42</vt:i4>
      </vt:variant>
      <vt:variant>
        <vt:i4>0</vt:i4>
      </vt:variant>
      <vt:variant>
        <vt:i4>5</vt:i4>
      </vt:variant>
      <vt:variant>
        <vt:lpwstr>http://www.nevo.co.il/case/28513828</vt:lpwstr>
      </vt:variant>
      <vt:variant>
        <vt:lpwstr/>
      </vt:variant>
      <vt:variant>
        <vt:i4>3407994</vt:i4>
      </vt:variant>
      <vt:variant>
        <vt:i4>39</vt:i4>
      </vt:variant>
      <vt:variant>
        <vt:i4>0</vt:i4>
      </vt:variant>
      <vt:variant>
        <vt:i4>5</vt:i4>
      </vt:variant>
      <vt:variant>
        <vt:lpwstr>http://www.nevo.co.il/case/28243273</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5177424</vt:i4>
      </vt:variant>
      <vt:variant>
        <vt:i4>27</vt:i4>
      </vt:variant>
      <vt:variant>
        <vt:i4>0</vt:i4>
      </vt:variant>
      <vt:variant>
        <vt:i4>5</vt:i4>
      </vt:variant>
      <vt:variant>
        <vt:lpwstr>http://www.nevo.co.il/law/70301/144.g</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6357092</vt:i4>
      </vt:variant>
      <vt:variant>
        <vt:i4>21</vt:i4>
      </vt:variant>
      <vt:variant>
        <vt:i4>0</vt:i4>
      </vt:variant>
      <vt:variant>
        <vt:i4>5</vt:i4>
      </vt:variant>
      <vt:variant>
        <vt:lpwstr>http://www.nevo.co.il/law/70301/144</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5570645</vt:i4>
      </vt:variant>
      <vt:variant>
        <vt:i4>15</vt:i4>
      </vt:variant>
      <vt:variant>
        <vt:i4>0</vt:i4>
      </vt:variant>
      <vt:variant>
        <vt:i4>5</vt:i4>
      </vt:variant>
      <vt:variant>
        <vt:lpwstr>http://www.nevo.co.il/law/70301/6</vt:lpwstr>
      </vt:variant>
      <vt:variant>
        <vt:lpwstr/>
      </vt:variant>
      <vt:variant>
        <vt:i4>8061024</vt:i4>
      </vt:variant>
      <vt:variant>
        <vt:i4>12</vt:i4>
      </vt:variant>
      <vt:variant>
        <vt:i4>0</vt:i4>
      </vt:variant>
      <vt:variant>
        <vt:i4>5</vt:i4>
      </vt:variant>
      <vt:variant>
        <vt:lpwstr>http://www.nevo.co.il/law/70301/5.a</vt:lpwstr>
      </vt:variant>
      <vt:variant>
        <vt:lpwstr/>
      </vt:variant>
      <vt:variant>
        <vt:i4>5570645</vt:i4>
      </vt:variant>
      <vt:variant>
        <vt:i4>9</vt:i4>
      </vt:variant>
      <vt:variant>
        <vt:i4>0</vt:i4>
      </vt:variant>
      <vt:variant>
        <vt:i4>5</vt:i4>
      </vt:variant>
      <vt:variant>
        <vt:lpwstr>http://www.nevo.co.il/law/70301/5</vt:lpwstr>
      </vt:variant>
      <vt:variant>
        <vt:lpwstr/>
      </vt:variant>
      <vt:variant>
        <vt:i4>5570645</vt:i4>
      </vt:variant>
      <vt:variant>
        <vt:i4>6</vt:i4>
      </vt:variant>
      <vt:variant>
        <vt:i4>0</vt:i4>
      </vt:variant>
      <vt:variant>
        <vt:i4>5</vt:i4>
      </vt:variant>
      <vt:variant>
        <vt:lpwstr>http://www.nevo.co.il/law/70301/4</vt:lpwstr>
      </vt:variant>
      <vt:variant>
        <vt:lpwstr/>
      </vt:variant>
      <vt:variant>
        <vt:i4>7995492</vt:i4>
      </vt:variant>
      <vt:variant>
        <vt:i4>3</vt:i4>
      </vt:variant>
      <vt:variant>
        <vt:i4>0</vt:i4>
      </vt:variant>
      <vt:variant>
        <vt:i4>5</vt:i4>
      </vt:variant>
      <vt:variant>
        <vt:lpwstr>http://www.nevo.co.il/law/70301</vt:lpwstr>
      </vt:variant>
      <vt:variant>
        <vt:lpwstr/>
      </vt:variant>
      <vt:variant>
        <vt:i4>2162730</vt:i4>
      </vt:variant>
      <vt:variant>
        <vt:i4>0</vt:i4>
      </vt:variant>
      <vt:variant>
        <vt:i4>0</vt:i4>
      </vt:variant>
      <vt:variant>
        <vt:i4>5</vt:i4>
      </vt:variant>
      <vt:variant>
        <vt:lpwstr>http://www.nevo.co.il/safrut/bookgroup/2258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2025-02-28T15:36:00Z</dcterms:created>
  <dcterms:modified xsi:type="dcterms:W3CDTF">2025-02-28T15:36:00Z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7520</vt:lpwstr>
  </property>
  <property fmtid="{D5CDD505-2E9C-101B-9397-08002B2CF9AE}" pid="6" name="NEWPARTB">
    <vt:lpwstr>02</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נעם שמעון</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20241223</vt:lpwstr>
  </property>
  <property fmtid="{D5CDD505-2E9C-101B-9397-08002B2CF9AE}" pid="13" name="TYPE_N_DATE">
    <vt:lpwstr>38020241223</vt:lpwstr>
  </property>
  <property fmtid="{D5CDD505-2E9C-101B-9397-08002B2CF9AE}" pid="14" name="CASESLISTTMP1">
    <vt:lpwstr>28243273;28513828:2;27925239;29867910;27309272;5964361;10502269;7958246;33147894;30307093;31987712:2;29220997;30476730;30053166;28963593;28691189;27746030;27721185;28857823;29611509;28180190;28452957;28032796;28697227;28883087</vt:lpwstr>
  </property>
  <property fmtid="{D5CDD505-2E9C-101B-9397-08002B2CF9AE}" pid="15" name="CASENOTES1">
    <vt:lpwstr>ProcID=135&amp;PartA=57230&amp;PartB=03&amp;PartC=24</vt:lpwstr>
  </property>
  <property fmtid="{D5CDD505-2E9C-101B-9397-08002B2CF9AE}" pid="16" name="CASENOTES2">
    <vt:lpwstr>ProcID=179&amp;PartA=4&amp;PartC=24</vt:lpwstr>
  </property>
  <property fmtid="{D5CDD505-2E9C-101B-9397-08002B2CF9AE}" pid="17" name="BOOKGROUPTMP1">
    <vt:lpwstr>2258</vt:lpwstr>
  </property>
  <property fmtid="{D5CDD505-2E9C-101B-9397-08002B2CF9AE}" pid="18" name="WORDNUMPAGES">
    <vt:lpwstr>8</vt:lpwstr>
  </property>
  <property fmtid="{D5CDD505-2E9C-101B-9397-08002B2CF9AE}" pid="19" name="TYPE_ABS_DATE">
    <vt:lpwstr>380020241223</vt:lpwstr>
  </property>
  <property fmtid="{D5CDD505-2E9C-101B-9397-08002B2CF9AE}" pid="20" name="LAWLISTTMP1">
    <vt:lpwstr>70301/144.a;029;144.g;005.a;006;004;005;144</vt:lpwstr>
  </property>
  <property fmtid="{D5CDD505-2E9C-101B-9397-08002B2CF9AE}" pid="21" name="ISABSTRACT">
    <vt:lpwstr>Y</vt:lpwstr>
  </property>
</Properties>
</file>