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D52FA" w:rsidRPr="006C0660" w14:paraId="2B55577D" w14:textId="77777777" w:rsidTr="00B638CC">
        <w:trPr>
          <w:trHeight w:hRule="exact" w:val="418"/>
          <w:jc w:val="center"/>
        </w:trPr>
        <w:tc>
          <w:tcPr>
            <w:tcW w:w="8721" w:type="dxa"/>
            <w:gridSpan w:val="2"/>
          </w:tcPr>
          <w:p w14:paraId="5F5A6EB1" w14:textId="77777777" w:rsidR="001D52FA" w:rsidRPr="006C0660" w:rsidRDefault="001D52FA" w:rsidP="00723576">
            <w:pPr>
              <w:pStyle w:val="a3"/>
              <w:jc w:val="center"/>
              <w:rPr>
                <w:rFonts w:ascii="Tahoma" w:hAnsi="Tahoma" w:cs="Tahoma"/>
                <w:color w:val="000080"/>
                <w:rtl/>
              </w:rPr>
            </w:pPr>
            <w:r w:rsidRPr="006C0660">
              <w:rPr>
                <w:rFonts w:ascii="Tahoma" w:hAnsi="Tahoma" w:cs="Tahoma"/>
                <w:b/>
                <w:bCs/>
                <w:color w:val="000080"/>
                <w:rtl/>
              </w:rPr>
              <w:t>בית משפט השלום בקריות</w:t>
            </w:r>
          </w:p>
        </w:tc>
      </w:tr>
      <w:tr w:rsidR="001D52FA" w:rsidRPr="006C0660" w14:paraId="047742BC" w14:textId="77777777" w:rsidTr="00B638CC">
        <w:trPr>
          <w:trHeight w:val="337"/>
          <w:jc w:val="center"/>
        </w:trPr>
        <w:tc>
          <w:tcPr>
            <w:tcW w:w="5054" w:type="dxa"/>
          </w:tcPr>
          <w:p w14:paraId="040A326D" w14:textId="77777777" w:rsidR="001D52FA" w:rsidRPr="006C0660" w:rsidRDefault="001D52FA" w:rsidP="00723576">
            <w:pPr>
              <w:rPr>
                <w:rFonts w:cs="FrankRuehl"/>
                <w:sz w:val="28"/>
                <w:szCs w:val="28"/>
                <w:rtl/>
              </w:rPr>
            </w:pPr>
            <w:r w:rsidRPr="006C0660">
              <w:rPr>
                <w:rFonts w:cs="FrankRuehl"/>
                <w:sz w:val="28"/>
                <w:szCs w:val="28"/>
                <w:rtl/>
              </w:rPr>
              <w:t>ת"פ</w:t>
            </w:r>
            <w:r w:rsidRPr="006C0660">
              <w:rPr>
                <w:rFonts w:cs="FrankRuehl" w:hint="cs"/>
                <w:sz w:val="28"/>
                <w:szCs w:val="28"/>
                <w:rtl/>
              </w:rPr>
              <w:t xml:space="preserve"> </w:t>
            </w:r>
            <w:r w:rsidRPr="006C0660">
              <w:rPr>
                <w:rFonts w:cs="FrankRuehl"/>
                <w:sz w:val="28"/>
                <w:szCs w:val="28"/>
                <w:rtl/>
              </w:rPr>
              <w:t>37506-04-24</w:t>
            </w:r>
            <w:r w:rsidRPr="006C0660">
              <w:rPr>
                <w:rFonts w:cs="FrankRuehl" w:hint="cs"/>
                <w:sz w:val="28"/>
                <w:szCs w:val="28"/>
                <w:rtl/>
              </w:rPr>
              <w:t xml:space="preserve"> </w:t>
            </w:r>
            <w:r w:rsidRPr="006C0660">
              <w:rPr>
                <w:rFonts w:cs="FrankRuehl"/>
                <w:sz w:val="28"/>
                <w:szCs w:val="28"/>
                <w:rtl/>
              </w:rPr>
              <w:t>מדינת ישראל נ' כעבייה</w:t>
            </w:r>
          </w:p>
          <w:p w14:paraId="163D352D" w14:textId="77777777" w:rsidR="001D52FA" w:rsidRPr="006C0660" w:rsidRDefault="001D52FA" w:rsidP="00723576">
            <w:pPr>
              <w:pStyle w:val="a3"/>
              <w:rPr>
                <w:rFonts w:cs="FrankRuehl"/>
                <w:sz w:val="28"/>
                <w:szCs w:val="28"/>
                <w:rtl/>
              </w:rPr>
            </w:pPr>
          </w:p>
        </w:tc>
        <w:tc>
          <w:tcPr>
            <w:tcW w:w="3667" w:type="dxa"/>
          </w:tcPr>
          <w:p w14:paraId="452DADF4" w14:textId="77777777" w:rsidR="001D52FA" w:rsidRPr="006C0660" w:rsidRDefault="001D52FA" w:rsidP="00723576">
            <w:pPr>
              <w:pStyle w:val="a3"/>
              <w:jc w:val="right"/>
              <w:rPr>
                <w:rFonts w:cs="FrankRuehl"/>
                <w:sz w:val="28"/>
                <w:szCs w:val="28"/>
                <w:rtl/>
              </w:rPr>
            </w:pPr>
          </w:p>
        </w:tc>
      </w:tr>
    </w:tbl>
    <w:p w14:paraId="6E47D8A5" w14:textId="77777777" w:rsidR="001D52FA" w:rsidRPr="006C0660" w:rsidRDefault="001D52FA" w:rsidP="001D52FA">
      <w:pPr>
        <w:pStyle w:val="a3"/>
        <w:rPr>
          <w:rtl/>
        </w:rPr>
      </w:pPr>
      <w:r w:rsidRPr="006C0660">
        <w:rPr>
          <w:rFonts w:hint="cs"/>
          <w:rtl/>
        </w:rPr>
        <w:t xml:space="preserve"> </w:t>
      </w:r>
    </w:p>
    <w:p w14:paraId="554F348A" w14:textId="77777777" w:rsidR="001D52FA" w:rsidRPr="006C0660" w:rsidRDefault="001D52FA" w:rsidP="001D52FA">
      <w:pPr>
        <w:rPr>
          <w:sz w:val="26"/>
          <w:szCs w:val="26"/>
          <w:rtl/>
        </w:rPr>
      </w:pPr>
    </w:p>
    <w:p w14:paraId="5A9F830C" w14:textId="77777777" w:rsidR="001D52FA" w:rsidRPr="006C0660" w:rsidRDefault="001D52FA" w:rsidP="001D52FA">
      <w:pPr>
        <w:rPr>
          <w:sz w:val="26"/>
          <w:szCs w:val="26"/>
          <w:rtl/>
        </w:rPr>
      </w:pP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1D52FA" w:rsidRPr="006C0660" w14:paraId="49B05DEA" w14:textId="77777777" w:rsidTr="001D52FA">
        <w:trPr>
          <w:trHeight w:val="345"/>
          <w:jc w:val="center"/>
        </w:trPr>
        <w:tc>
          <w:tcPr>
            <w:tcW w:w="957" w:type="dxa"/>
            <w:tcBorders>
              <w:top w:val="nil"/>
              <w:left w:val="nil"/>
              <w:bottom w:val="nil"/>
              <w:right w:val="nil"/>
            </w:tcBorders>
            <w:shd w:val="clear" w:color="auto" w:fill="auto"/>
          </w:tcPr>
          <w:p w14:paraId="3473594C" w14:textId="77777777" w:rsidR="001D52FA" w:rsidRPr="006C0660" w:rsidRDefault="001D52FA" w:rsidP="001D52FA">
            <w:pPr>
              <w:jc w:val="both"/>
              <w:rPr>
                <w:rFonts w:ascii="David" w:hAnsi="David"/>
                <w:b/>
                <w:bCs/>
              </w:rPr>
            </w:pPr>
            <w:r w:rsidRPr="006C0660">
              <w:rPr>
                <w:rFonts w:ascii="David" w:hAnsi="David"/>
                <w:b/>
                <w:bCs/>
                <w:rtl/>
              </w:rPr>
              <w:t xml:space="preserve">בפני </w:t>
            </w:r>
          </w:p>
        </w:tc>
        <w:tc>
          <w:tcPr>
            <w:tcW w:w="8358" w:type="dxa"/>
            <w:gridSpan w:val="2"/>
            <w:tcBorders>
              <w:top w:val="nil"/>
              <w:left w:val="nil"/>
              <w:bottom w:val="nil"/>
              <w:right w:val="nil"/>
            </w:tcBorders>
            <w:shd w:val="clear" w:color="auto" w:fill="auto"/>
          </w:tcPr>
          <w:p w14:paraId="48358EB4" w14:textId="77777777" w:rsidR="001D52FA" w:rsidRPr="006C0660" w:rsidRDefault="001D52FA" w:rsidP="00723576">
            <w:pPr>
              <w:rPr>
                <w:rFonts w:ascii="David" w:hAnsi="David"/>
                <w:b/>
                <w:bCs/>
              </w:rPr>
            </w:pPr>
            <w:r w:rsidRPr="006C0660">
              <w:rPr>
                <w:rFonts w:ascii="Arial" w:hAnsi="Arial"/>
                <w:b/>
                <w:bCs/>
                <w:rtl/>
              </w:rPr>
              <w:t>כב' השופט יוסי טורס , סגן הנשיאה</w:t>
            </w:r>
          </w:p>
        </w:tc>
      </w:tr>
      <w:tr w:rsidR="001D52FA" w:rsidRPr="006C0660" w14:paraId="27B1EC26" w14:textId="77777777" w:rsidTr="001D52FA">
        <w:trPr>
          <w:trHeight w:val="345"/>
          <w:jc w:val="center"/>
        </w:trPr>
        <w:tc>
          <w:tcPr>
            <w:tcW w:w="957" w:type="dxa"/>
            <w:tcBorders>
              <w:top w:val="nil"/>
              <w:left w:val="nil"/>
              <w:bottom w:val="nil"/>
              <w:right w:val="nil"/>
            </w:tcBorders>
            <w:shd w:val="clear" w:color="auto" w:fill="auto"/>
          </w:tcPr>
          <w:p w14:paraId="0E0FC1A3" w14:textId="77777777" w:rsidR="001D52FA" w:rsidRPr="006C0660" w:rsidRDefault="001D52FA" w:rsidP="001D52FA">
            <w:pPr>
              <w:jc w:val="both"/>
              <w:rPr>
                <w:rFonts w:ascii="David" w:hAnsi="David"/>
                <w:b/>
                <w:bCs/>
                <w:rtl/>
              </w:rPr>
            </w:pPr>
            <w:bookmarkStart w:id="0" w:name="LastJudge"/>
            <w:bookmarkEnd w:id="0"/>
          </w:p>
          <w:p w14:paraId="0D8445B6" w14:textId="77777777" w:rsidR="001D52FA" w:rsidRPr="006C0660" w:rsidRDefault="001D52FA" w:rsidP="001D52FA">
            <w:pPr>
              <w:jc w:val="both"/>
              <w:rPr>
                <w:rFonts w:ascii="David" w:hAnsi="David"/>
                <w:b/>
                <w:bCs/>
                <w:rtl/>
              </w:rPr>
            </w:pPr>
          </w:p>
        </w:tc>
        <w:tc>
          <w:tcPr>
            <w:tcW w:w="8358" w:type="dxa"/>
            <w:gridSpan w:val="2"/>
            <w:tcBorders>
              <w:top w:val="nil"/>
              <w:left w:val="nil"/>
              <w:bottom w:val="nil"/>
              <w:right w:val="nil"/>
            </w:tcBorders>
            <w:shd w:val="clear" w:color="auto" w:fill="auto"/>
          </w:tcPr>
          <w:p w14:paraId="26731323" w14:textId="77777777" w:rsidR="001D52FA" w:rsidRPr="006C0660" w:rsidRDefault="001D52FA" w:rsidP="00723576">
            <w:pPr>
              <w:rPr>
                <w:rFonts w:ascii="Arial" w:hAnsi="Arial"/>
                <w:b/>
                <w:bCs/>
                <w:rtl/>
              </w:rPr>
            </w:pPr>
          </w:p>
        </w:tc>
      </w:tr>
      <w:tr w:rsidR="001D52FA" w:rsidRPr="006C0660" w14:paraId="7A83EECC" w14:textId="77777777" w:rsidTr="001D52FA">
        <w:trPr>
          <w:trHeight w:val="415"/>
          <w:jc w:val="center"/>
        </w:trPr>
        <w:tc>
          <w:tcPr>
            <w:tcW w:w="957" w:type="dxa"/>
            <w:tcBorders>
              <w:top w:val="nil"/>
              <w:left w:val="nil"/>
              <w:bottom w:val="nil"/>
              <w:right w:val="nil"/>
            </w:tcBorders>
            <w:shd w:val="clear" w:color="auto" w:fill="auto"/>
          </w:tcPr>
          <w:p w14:paraId="6FBD3DC0" w14:textId="77777777" w:rsidR="001D52FA" w:rsidRPr="006C0660" w:rsidRDefault="001D52FA" w:rsidP="001D52FA">
            <w:pPr>
              <w:jc w:val="both"/>
              <w:rPr>
                <w:rFonts w:ascii="David" w:hAnsi="David"/>
                <w:b/>
                <w:bCs/>
              </w:rPr>
            </w:pPr>
            <w:bookmarkStart w:id="1" w:name="FirstAppellant"/>
            <w:r w:rsidRPr="006C0660">
              <w:rPr>
                <w:rFonts w:ascii="David" w:hAnsi="David"/>
                <w:b/>
                <w:bCs/>
                <w:rtl/>
              </w:rPr>
              <w:t>בעניין:</w:t>
            </w:r>
          </w:p>
        </w:tc>
        <w:tc>
          <w:tcPr>
            <w:tcW w:w="5095" w:type="dxa"/>
            <w:tcBorders>
              <w:top w:val="nil"/>
              <w:left w:val="nil"/>
              <w:bottom w:val="nil"/>
              <w:right w:val="nil"/>
            </w:tcBorders>
            <w:shd w:val="clear" w:color="auto" w:fill="auto"/>
          </w:tcPr>
          <w:p w14:paraId="49F6E7AF" w14:textId="77777777" w:rsidR="001D52FA" w:rsidRPr="006C0660" w:rsidRDefault="001D52FA" w:rsidP="00723576">
            <w:pPr>
              <w:rPr>
                <w:rFonts w:ascii="David" w:hAnsi="David"/>
                <w:b/>
                <w:bCs/>
              </w:rPr>
            </w:pPr>
            <w:r w:rsidRPr="006C0660">
              <w:rPr>
                <w:rFonts w:ascii="David" w:hAnsi="David"/>
                <w:b/>
                <w:bCs/>
                <w:rtl/>
              </w:rPr>
              <w:t>מדינת ישראל</w:t>
            </w:r>
          </w:p>
        </w:tc>
        <w:tc>
          <w:tcPr>
            <w:tcW w:w="3263" w:type="dxa"/>
            <w:tcBorders>
              <w:top w:val="nil"/>
              <w:left w:val="nil"/>
              <w:bottom w:val="nil"/>
              <w:right w:val="nil"/>
            </w:tcBorders>
            <w:shd w:val="clear" w:color="auto" w:fill="auto"/>
          </w:tcPr>
          <w:p w14:paraId="20230502" w14:textId="77777777" w:rsidR="001D52FA" w:rsidRPr="006C0660" w:rsidRDefault="001D52FA" w:rsidP="001D52FA">
            <w:pPr>
              <w:jc w:val="both"/>
              <w:rPr>
                <w:rFonts w:ascii="David" w:hAnsi="David"/>
                <w:b/>
                <w:bCs/>
              </w:rPr>
            </w:pPr>
            <w:r w:rsidRPr="006C0660">
              <w:rPr>
                <w:rFonts w:ascii="David" w:hAnsi="David"/>
                <w:b/>
                <w:bCs/>
                <w:rtl/>
              </w:rPr>
              <w:t>המאשימה</w:t>
            </w:r>
          </w:p>
        </w:tc>
      </w:tr>
      <w:bookmarkEnd w:id="1"/>
      <w:tr w:rsidR="001D52FA" w:rsidRPr="006C0660" w14:paraId="2ACF9195" w14:textId="77777777" w:rsidTr="001D52FA">
        <w:trPr>
          <w:trHeight w:val="415"/>
          <w:jc w:val="center"/>
        </w:trPr>
        <w:tc>
          <w:tcPr>
            <w:tcW w:w="957" w:type="dxa"/>
            <w:tcBorders>
              <w:top w:val="nil"/>
              <w:left w:val="nil"/>
              <w:bottom w:val="nil"/>
              <w:right w:val="nil"/>
            </w:tcBorders>
            <w:shd w:val="clear" w:color="auto" w:fill="auto"/>
          </w:tcPr>
          <w:p w14:paraId="326CF67B" w14:textId="77777777" w:rsidR="001D52FA" w:rsidRPr="006C0660" w:rsidRDefault="001D52FA" w:rsidP="001D52FA">
            <w:pPr>
              <w:jc w:val="both"/>
              <w:rPr>
                <w:rFonts w:ascii="David" w:hAnsi="David"/>
                <w:b/>
                <w:bCs/>
                <w:rtl/>
              </w:rPr>
            </w:pPr>
          </w:p>
        </w:tc>
        <w:tc>
          <w:tcPr>
            <w:tcW w:w="8358" w:type="dxa"/>
            <w:gridSpan w:val="2"/>
            <w:tcBorders>
              <w:top w:val="nil"/>
              <w:left w:val="nil"/>
              <w:bottom w:val="nil"/>
              <w:right w:val="nil"/>
            </w:tcBorders>
            <w:shd w:val="clear" w:color="auto" w:fill="auto"/>
          </w:tcPr>
          <w:p w14:paraId="19389597" w14:textId="77777777" w:rsidR="001D52FA" w:rsidRPr="006C0660" w:rsidRDefault="001D52FA" w:rsidP="00723576">
            <w:pPr>
              <w:rPr>
                <w:rFonts w:ascii="David" w:hAnsi="David"/>
                <w:b/>
                <w:bCs/>
              </w:rPr>
            </w:pPr>
            <w:r w:rsidRPr="006C0660">
              <w:rPr>
                <w:rFonts w:ascii="David" w:hAnsi="David" w:hint="cs"/>
                <w:b/>
                <w:bCs/>
                <w:rtl/>
              </w:rPr>
              <w:t xml:space="preserve">                                                   </w:t>
            </w:r>
            <w:r w:rsidRPr="006C0660">
              <w:rPr>
                <w:rFonts w:ascii="David" w:hAnsi="David"/>
                <w:b/>
                <w:bCs/>
                <w:rtl/>
              </w:rPr>
              <w:t>נגד</w:t>
            </w:r>
          </w:p>
        </w:tc>
      </w:tr>
      <w:tr w:rsidR="001D52FA" w:rsidRPr="006C0660" w14:paraId="29815C35" w14:textId="77777777" w:rsidTr="001D52FA">
        <w:trPr>
          <w:trHeight w:val="415"/>
          <w:jc w:val="center"/>
        </w:trPr>
        <w:tc>
          <w:tcPr>
            <w:tcW w:w="957" w:type="dxa"/>
            <w:tcBorders>
              <w:top w:val="nil"/>
              <w:left w:val="nil"/>
              <w:bottom w:val="nil"/>
              <w:right w:val="nil"/>
            </w:tcBorders>
            <w:shd w:val="clear" w:color="auto" w:fill="auto"/>
          </w:tcPr>
          <w:p w14:paraId="7810BECB" w14:textId="77777777" w:rsidR="001D52FA" w:rsidRPr="006C0660" w:rsidRDefault="001D52FA" w:rsidP="00723576">
            <w:pPr>
              <w:rPr>
                <w:rFonts w:ascii="David" w:hAnsi="David"/>
                <w:b/>
                <w:bCs/>
                <w:rtl/>
              </w:rPr>
            </w:pPr>
          </w:p>
        </w:tc>
        <w:tc>
          <w:tcPr>
            <w:tcW w:w="5095" w:type="dxa"/>
            <w:tcBorders>
              <w:top w:val="nil"/>
              <w:left w:val="nil"/>
              <w:bottom w:val="nil"/>
              <w:right w:val="nil"/>
            </w:tcBorders>
            <w:shd w:val="clear" w:color="auto" w:fill="auto"/>
          </w:tcPr>
          <w:p w14:paraId="35745E65" w14:textId="77777777" w:rsidR="001D52FA" w:rsidRPr="006C0660" w:rsidRDefault="001D52FA" w:rsidP="00723576">
            <w:pPr>
              <w:rPr>
                <w:rFonts w:ascii="David" w:hAnsi="David"/>
                <w:b/>
                <w:bCs/>
                <w:rtl/>
              </w:rPr>
            </w:pPr>
            <w:r w:rsidRPr="006C0660">
              <w:rPr>
                <w:rFonts w:ascii="David" w:hAnsi="David"/>
                <w:b/>
                <w:bCs/>
                <w:rtl/>
              </w:rPr>
              <w:br/>
              <w:t xml:space="preserve">אחמד כעבייה </w:t>
            </w:r>
          </w:p>
        </w:tc>
        <w:tc>
          <w:tcPr>
            <w:tcW w:w="3263" w:type="dxa"/>
            <w:tcBorders>
              <w:top w:val="nil"/>
              <w:left w:val="nil"/>
              <w:bottom w:val="nil"/>
              <w:right w:val="nil"/>
            </w:tcBorders>
            <w:shd w:val="clear" w:color="auto" w:fill="auto"/>
          </w:tcPr>
          <w:p w14:paraId="4C560ADA" w14:textId="77777777" w:rsidR="001D52FA" w:rsidRPr="006C0660" w:rsidRDefault="001D52FA" w:rsidP="00723576">
            <w:pPr>
              <w:rPr>
                <w:rFonts w:ascii="David" w:hAnsi="David"/>
                <w:b/>
                <w:bCs/>
                <w:rtl/>
              </w:rPr>
            </w:pPr>
          </w:p>
          <w:p w14:paraId="1BEB35F3" w14:textId="77777777" w:rsidR="001D52FA" w:rsidRPr="006C0660" w:rsidRDefault="001D52FA" w:rsidP="00723576">
            <w:pPr>
              <w:rPr>
                <w:rFonts w:ascii="David" w:hAnsi="David"/>
                <w:b/>
                <w:bCs/>
              </w:rPr>
            </w:pPr>
            <w:r w:rsidRPr="006C0660">
              <w:rPr>
                <w:rFonts w:ascii="David" w:hAnsi="David"/>
                <w:b/>
                <w:bCs/>
                <w:rtl/>
              </w:rPr>
              <w:t>הנאש</w:t>
            </w:r>
            <w:r w:rsidRPr="006C0660">
              <w:rPr>
                <w:rFonts w:ascii="David" w:hAnsi="David" w:hint="cs"/>
                <w:b/>
                <w:bCs/>
                <w:rtl/>
              </w:rPr>
              <w:t>ם</w:t>
            </w:r>
          </w:p>
        </w:tc>
      </w:tr>
      <w:tr w:rsidR="001D52FA" w:rsidRPr="006C0660" w14:paraId="7F55B6B7" w14:textId="77777777" w:rsidTr="001D52FA">
        <w:trPr>
          <w:trHeight w:val="415"/>
          <w:jc w:val="center"/>
        </w:trPr>
        <w:tc>
          <w:tcPr>
            <w:tcW w:w="957" w:type="dxa"/>
            <w:tcBorders>
              <w:top w:val="nil"/>
              <w:left w:val="nil"/>
              <w:bottom w:val="nil"/>
              <w:right w:val="nil"/>
            </w:tcBorders>
            <w:shd w:val="clear" w:color="auto" w:fill="auto"/>
          </w:tcPr>
          <w:p w14:paraId="62BB282E" w14:textId="77777777" w:rsidR="001D52FA" w:rsidRPr="006C0660" w:rsidRDefault="001D52FA" w:rsidP="001D52FA">
            <w:pPr>
              <w:jc w:val="both"/>
              <w:rPr>
                <w:rFonts w:ascii="David" w:hAnsi="David"/>
                <w:b/>
                <w:bCs/>
                <w:rtl/>
              </w:rPr>
            </w:pPr>
          </w:p>
        </w:tc>
        <w:tc>
          <w:tcPr>
            <w:tcW w:w="5095" w:type="dxa"/>
            <w:tcBorders>
              <w:top w:val="nil"/>
              <w:left w:val="nil"/>
              <w:bottom w:val="nil"/>
              <w:right w:val="nil"/>
            </w:tcBorders>
            <w:shd w:val="clear" w:color="auto" w:fill="auto"/>
          </w:tcPr>
          <w:p w14:paraId="41015F20" w14:textId="77777777" w:rsidR="001D52FA" w:rsidRPr="006C0660" w:rsidRDefault="001D52FA" w:rsidP="001D52FA">
            <w:pPr>
              <w:jc w:val="both"/>
              <w:rPr>
                <w:rFonts w:ascii="David" w:hAnsi="David"/>
                <w:b/>
                <w:bCs/>
                <w:rtl/>
              </w:rPr>
            </w:pPr>
          </w:p>
        </w:tc>
        <w:tc>
          <w:tcPr>
            <w:tcW w:w="3263" w:type="dxa"/>
            <w:tcBorders>
              <w:top w:val="nil"/>
              <w:left w:val="nil"/>
              <w:bottom w:val="nil"/>
              <w:right w:val="nil"/>
            </w:tcBorders>
            <w:shd w:val="clear" w:color="auto" w:fill="auto"/>
          </w:tcPr>
          <w:p w14:paraId="6CAB3679" w14:textId="77777777" w:rsidR="001D52FA" w:rsidRPr="006C0660" w:rsidRDefault="001D52FA" w:rsidP="001D52FA">
            <w:pPr>
              <w:jc w:val="right"/>
              <w:rPr>
                <w:rFonts w:ascii="David" w:hAnsi="David"/>
                <w:b/>
                <w:bCs/>
              </w:rPr>
            </w:pPr>
          </w:p>
        </w:tc>
      </w:tr>
    </w:tbl>
    <w:p w14:paraId="164F86F0" w14:textId="77777777" w:rsidR="00B638CC" w:rsidRPr="00B638CC" w:rsidRDefault="00B638CC" w:rsidP="00B638CC">
      <w:pPr>
        <w:spacing w:before="120" w:after="120" w:line="240" w:lineRule="exact"/>
        <w:ind w:left="283" w:hanging="283"/>
        <w:jc w:val="both"/>
        <w:rPr>
          <w:rFonts w:ascii="FrankRuehl" w:hAnsi="FrankRuehl" w:cs="FrankRuehl"/>
          <w:rtl/>
        </w:rPr>
      </w:pPr>
      <w:bookmarkStart w:id="2" w:name="LawTable"/>
      <w:bookmarkEnd w:id="2"/>
      <w:r w:rsidRPr="00B638CC">
        <w:rPr>
          <w:rFonts w:ascii="FrankRuehl" w:hAnsi="FrankRuehl" w:cs="FrankRuehl"/>
          <w:rtl/>
        </w:rPr>
        <w:t xml:space="preserve">חקיקה שאוזכרה: </w:t>
      </w:r>
    </w:p>
    <w:p w14:paraId="03F873CB" w14:textId="77777777" w:rsidR="00B638CC" w:rsidRPr="00B638CC" w:rsidRDefault="00B638CC" w:rsidP="00B638CC">
      <w:pPr>
        <w:spacing w:before="120" w:after="120" w:line="240" w:lineRule="exact"/>
        <w:ind w:left="283" w:hanging="283"/>
        <w:jc w:val="both"/>
        <w:rPr>
          <w:rFonts w:ascii="FrankRuehl" w:hAnsi="FrankRuehl" w:cs="FrankRuehl"/>
          <w:color w:val="0000FF"/>
          <w:rtl/>
        </w:rPr>
      </w:pPr>
      <w:hyperlink r:id="rId7" w:history="1">
        <w:r w:rsidRPr="00B638CC">
          <w:rPr>
            <w:rStyle w:val="Hyperlink"/>
            <w:rFonts w:ascii="FrankRuehl" w:hAnsi="FrankRuehl" w:cs="FrankRuehl"/>
            <w:u w:val="none"/>
            <w:rtl/>
          </w:rPr>
          <w:t>חוק העונשין, תשל"ז-1977</w:t>
        </w:r>
      </w:hyperlink>
      <w:r w:rsidRPr="00B638CC">
        <w:rPr>
          <w:rFonts w:ascii="FrankRuehl" w:hAnsi="FrankRuehl" w:cs="FrankRuehl"/>
          <w:color w:val="0000FF"/>
          <w:rtl/>
        </w:rPr>
        <w:t xml:space="preserve">: סע'  </w:t>
      </w:r>
      <w:hyperlink r:id="rId8" w:history="1">
        <w:r w:rsidRPr="00B638CC">
          <w:rPr>
            <w:rStyle w:val="Hyperlink"/>
            <w:rFonts w:ascii="FrankRuehl" w:hAnsi="FrankRuehl" w:cs="FrankRuehl"/>
            <w:u w:val="none"/>
          </w:rPr>
          <w:t>144</w:t>
        </w:r>
      </w:hyperlink>
      <w:r w:rsidRPr="00B638CC">
        <w:rPr>
          <w:rFonts w:ascii="FrankRuehl" w:hAnsi="FrankRuehl" w:cs="FrankRuehl"/>
          <w:color w:val="0000FF"/>
          <w:rtl/>
        </w:rPr>
        <w:t xml:space="preserve">, </w:t>
      </w:r>
      <w:hyperlink r:id="rId9" w:history="1">
        <w:r w:rsidRPr="00B638CC">
          <w:rPr>
            <w:rStyle w:val="Hyperlink"/>
            <w:rFonts w:ascii="FrankRuehl" w:hAnsi="FrankRuehl" w:cs="FrankRuehl"/>
            <w:u w:val="none"/>
          </w:rPr>
          <w:t>144</w:t>
        </w:r>
      </w:hyperlink>
      <w:r w:rsidRPr="00B638CC">
        <w:rPr>
          <w:rFonts w:ascii="FrankRuehl" w:hAnsi="FrankRuehl" w:cs="FrankRuehl"/>
          <w:color w:val="0000FF"/>
          <w:rtl/>
        </w:rPr>
        <w:t xml:space="preserve">(א), </w:t>
      </w:r>
      <w:hyperlink r:id="rId10" w:history="1">
        <w:r w:rsidRPr="00B638CC">
          <w:rPr>
            <w:rStyle w:val="Hyperlink"/>
            <w:rFonts w:ascii="FrankRuehl" w:hAnsi="FrankRuehl" w:cs="FrankRuehl"/>
            <w:u w:val="none"/>
          </w:rPr>
          <w:t>144</w:t>
        </w:r>
      </w:hyperlink>
      <w:r w:rsidRPr="00B638CC">
        <w:rPr>
          <w:rFonts w:ascii="FrankRuehl" w:hAnsi="FrankRuehl" w:cs="FrankRuehl"/>
          <w:color w:val="0000FF"/>
          <w:rtl/>
        </w:rPr>
        <w:t xml:space="preserve">(ג)(3), </w:t>
      </w:r>
      <w:hyperlink r:id="rId11" w:history="1">
        <w:r w:rsidRPr="00B638CC">
          <w:rPr>
            <w:rStyle w:val="Hyperlink"/>
            <w:rFonts w:ascii="FrankRuehl" w:hAnsi="FrankRuehl" w:cs="FrankRuehl"/>
            <w:u w:val="none"/>
          </w:rPr>
          <w:t>144</w:t>
        </w:r>
      </w:hyperlink>
      <w:r w:rsidRPr="00B638CC">
        <w:rPr>
          <w:rFonts w:ascii="FrankRuehl" w:hAnsi="FrankRuehl" w:cs="FrankRuehl"/>
          <w:color w:val="0000FF"/>
          <w:rtl/>
        </w:rPr>
        <w:t>(ז)</w:t>
      </w:r>
    </w:p>
    <w:p w14:paraId="6D7ED49C" w14:textId="77777777" w:rsidR="001D52FA" w:rsidRPr="00B638CC" w:rsidRDefault="001D52FA" w:rsidP="00B638CC">
      <w:pPr>
        <w:rPr>
          <w:rFonts w:ascii="David" w:hAnsi="David"/>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D52FA" w14:paraId="037482F0" w14:textId="77777777" w:rsidTr="001D52FA">
        <w:trPr>
          <w:trHeight w:val="355"/>
          <w:jc w:val="center"/>
        </w:trPr>
        <w:tc>
          <w:tcPr>
            <w:tcW w:w="8820" w:type="dxa"/>
            <w:tcBorders>
              <w:top w:val="nil"/>
              <w:left w:val="nil"/>
              <w:bottom w:val="nil"/>
              <w:right w:val="nil"/>
            </w:tcBorders>
            <w:shd w:val="clear" w:color="auto" w:fill="auto"/>
          </w:tcPr>
          <w:p w14:paraId="35AF68C5" w14:textId="77777777" w:rsidR="006C0660" w:rsidRPr="006C0660" w:rsidRDefault="006C0660" w:rsidP="006C0660">
            <w:pPr>
              <w:jc w:val="center"/>
              <w:rPr>
                <w:rFonts w:ascii="David" w:hAnsi="David"/>
                <w:b/>
                <w:bCs/>
                <w:sz w:val="32"/>
                <w:szCs w:val="32"/>
                <w:u w:val="single"/>
                <w:rtl/>
              </w:rPr>
            </w:pPr>
            <w:bookmarkStart w:id="4" w:name="PsakDin" w:colFirst="0" w:colLast="0"/>
            <w:r w:rsidRPr="006C0660">
              <w:rPr>
                <w:rFonts w:ascii="David" w:hAnsi="David"/>
                <w:b/>
                <w:bCs/>
                <w:sz w:val="32"/>
                <w:szCs w:val="32"/>
                <w:u w:val="single"/>
                <w:rtl/>
              </w:rPr>
              <w:t>גזר דין</w:t>
            </w:r>
          </w:p>
          <w:p w14:paraId="25533066" w14:textId="77777777" w:rsidR="001D52FA" w:rsidRPr="006C0660" w:rsidRDefault="001D52FA" w:rsidP="006C0660">
            <w:pPr>
              <w:jc w:val="center"/>
              <w:rPr>
                <w:rFonts w:ascii="David" w:hAnsi="David"/>
                <w:bCs/>
                <w:sz w:val="32"/>
                <w:szCs w:val="32"/>
                <w:u w:val="single"/>
                <w:rtl/>
              </w:rPr>
            </w:pPr>
          </w:p>
        </w:tc>
      </w:tr>
      <w:bookmarkEnd w:id="4"/>
    </w:tbl>
    <w:p w14:paraId="27CFE869" w14:textId="77777777" w:rsidR="001D52FA" w:rsidRPr="002B7D23" w:rsidRDefault="001D52FA" w:rsidP="001D52FA">
      <w:pPr>
        <w:rPr>
          <w:rFonts w:ascii="David" w:hAnsi="David"/>
          <w:sz w:val="26"/>
          <w:szCs w:val="26"/>
          <w:rtl/>
        </w:rPr>
      </w:pPr>
    </w:p>
    <w:p w14:paraId="6E13D8F6" w14:textId="77777777" w:rsidR="001D52FA" w:rsidRDefault="001D52FA" w:rsidP="001D52FA">
      <w:pPr>
        <w:spacing w:line="360" w:lineRule="auto"/>
        <w:jc w:val="both"/>
        <w:rPr>
          <w:rFonts w:ascii="David" w:hAnsi="David"/>
          <w:rtl/>
        </w:rPr>
      </w:pPr>
      <w:r>
        <w:rPr>
          <w:rFonts w:ascii="David" w:hAnsi="David" w:hint="cs"/>
          <w:b/>
          <w:bCs/>
          <w:u w:val="single"/>
          <w:rtl/>
        </w:rPr>
        <w:t>כתב האישום</w:t>
      </w:r>
    </w:p>
    <w:p w14:paraId="0A7746E3" w14:textId="77777777" w:rsidR="001D52FA" w:rsidRDefault="001D52FA" w:rsidP="001D52FA">
      <w:pPr>
        <w:jc w:val="both"/>
        <w:rPr>
          <w:rFonts w:ascii="David" w:hAnsi="David"/>
          <w:rtl/>
        </w:rPr>
      </w:pPr>
    </w:p>
    <w:p w14:paraId="1CE72D23" w14:textId="77777777" w:rsidR="001D52FA" w:rsidRDefault="001D52FA" w:rsidP="001D52FA">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במסגרת הסדר טיעון בעבירת החזקת נשק שלא כדין, לפי </w:t>
      </w:r>
      <w:hyperlink r:id="rId12" w:history="1">
        <w:r w:rsidR="00B638CC" w:rsidRPr="00B638CC">
          <w:rPr>
            <w:rStyle w:val="Hyperlink"/>
            <w:rFonts w:ascii="David" w:hAnsi="David" w:hint="eastAsia"/>
            <w:color w:val="0000FF"/>
            <w:rtl/>
          </w:rPr>
          <w:t>סעיף</w:t>
        </w:r>
        <w:r w:rsidR="00B638CC" w:rsidRPr="00B638CC">
          <w:rPr>
            <w:rStyle w:val="Hyperlink"/>
            <w:rFonts w:ascii="David" w:hAnsi="David"/>
            <w:color w:val="0000FF"/>
            <w:rtl/>
          </w:rPr>
          <w:t xml:space="preserve"> 144(א)</w:t>
        </w:r>
      </w:hyperlink>
      <w:r>
        <w:rPr>
          <w:rFonts w:ascii="David" w:hAnsi="David" w:hint="cs"/>
          <w:rtl/>
        </w:rPr>
        <w:t xml:space="preserve"> רישא ל</w:t>
      </w:r>
      <w:hyperlink r:id="rId13" w:history="1">
        <w:r w:rsidR="006C0660" w:rsidRPr="006C0660">
          <w:rPr>
            <w:rFonts w:ascii="David" w:hAnsi="David"/>
            <w:color w:val="0000FF"/>
            <w:u w:val="single"/>
            <w:rtl/>
          </w:rPr>
          <w:t>חוק העונשין</w:t>
        </w:r>
      </w:hyperlink>
      <w:r>
        <w:rPr>
          <w:rFonts w:ascii="David" w:hAnsi="David" w:hint="cs"/>
          <w:rtl/>
        </w:rPr>
        <w:t xml:space="preserve">, תשל"ז- 1977 (להלן </w:t>
      </w:r>
      <w:r>
        <w:rPr>
          <w:rFonts w:ascii="David" w:hAnsi="David"/>
          <w:rtl/>
        </w:rPr>
        <w:t>–</w:t>
      </w:r>
      <w:r>
        <w:rPr>
          <w:rFonts w:ascii="David" w:hAnsi="David" w:hint="cs"/>
          <w:rtl/>
        </w:rPr>
        <w:t xml:space="preserve"> </w:t>
      </w:r>
      <w:r w:rsidRPr="00D360F7">
        <w:rPr>
          <w:rFonts w:ascii="Miriam" w:hAnsi="Miriam" w:cs="Miriam"/>
          <w:rtl/>
        </w:rPr>
        <w:t>חוק העונשין</w:t>
      </w:r>
      <w:r>
        <w:rPr>
          <w:rFonts w:ascii="David" w:hAnsi="David" w:hint="cs"/>
          <w:rtl/>
        </w:rPr>
        <w:t xml:space="preserve">) ובעבירת החזקת חלק, אביזר או תחמושת שאינם חלק מהותי בנשק, לפי </w:t>
      </w:r>
      <w:hyperlink r:id="rId14" w:history="1">
        <w:r w:rsidR="00B638CC" w:rsidRPr="00B638CC">
          <w:rPr>
            <w:rStyle w:val="Hyperlink"/>
            <w:rFonts w:ascii="David" w:hAnsi="David" w:hint="eastAsia"/>
            <w:color w:val="0000FF"/>
            <w:rtl/>
          </w:rPr>
          <w:t>סעיף</w:t>
        </w:r>
        <w:r w:rsidR="00B638CC" w:rsidRPr="00B638CC">
          <w:rPr>
            <w:rStyle w:val="Hyperlink"/>
            <w:rFonts w:ascii="David" w:hAnsi="David"/>
            <w:color w:val="0000FF"/>
            <w:rtl/>
          </w:rPr>
          <w:t xml:space="preserve"> 144(א)</w:t>
        </w:r>
      </w:hyperlink>
      <w:r>
        <w:rPr>
          <w:rFonts w:ascii="David" w:hAnsi="David" w:hint="cs"/>
          <w:rtl/>
        </w:rPr>
        <w:t xml:space="preserve"> סיפא לחוק העונשין. על פי עובדות כתב האישום, ביום 7.4.24 נמצא הנאשם מחזיק בתוך שק במחסן במתחם מגוריו, שלושה רימוני הלם סינוור 959, שבכוחם לפגוע באדם. כן החזיק הנאשם בתוך תיק בתחמושת כמפורט להלן: שני כדורים 7.62 מ"מ, מחסנית אקדח 9 מ"מ וקופסה עם 30 כדורים 9 מ"מ. </w:t>
      </w:r>
    </w:p>
    <w:p w14:paraId="6BBB53CE" w14:textId="77777777" w:rsidR="001D52FA" w:rsidRDefault="001D52FA" w:rsidP="001D52FA">
      <w:pPr>
        <w:pStyle w:val="a9"/>
        <w:ind w:left="0"/>
        <w:jc w:val="both"/>
        <w:rPr>
          <w:rFonts w:ascii="David" w:hAnsi="David"/>
        </w:rPr>
      </w:pPr>
      <w:bookmarkStart w:id="6" w:name="ABSTRACT_END"/>
      <w:bookmarkEnd w:id="6"/>
    </w:p>
    <w:p w14:paraId="0C8AF99B" w14:textId="77777777" w:rsidR="001D52FA" w:rsidRDefault="001D52FA" w:rsidP="001D52FA">
      <w:pPr>
        <w:pStyle w:val="a9"/>
        <w:numPr>
          <w:ilvl w:val="0"/>
          <w:numId w:val="1"/>
        </w:numPr>
        <w:spacing w:line="360" w:lineRule="auto"/>
        <w:jc w:val="both"/>
        <w:rPr>
          <w:rFonts w:ascii="David" w:hAnsi="David"/>
        </w:rPr>
      </w:pPr>
      <w:r>
        <w:rPr>
          <w:rFonts w:ascii="David" w:hAnsi="David" w:hint="cs"/>
          <w:rtl/>
        </w:rPr>
        <w:t>במסגרת הסדר הטיעון הוסכם כי הנאשם יופנה לתסקיר וההגנה תעתור לענישה לריצוי בדרך של עבודות שירות בעוד שהמאשימה תעתור למתחם ענישה הנע בין 10-24 חודשי מאסר בפועל, וזאת בין היתר בשל קשיים ראייתיי</w:t>
      </w:r>
      <w:r>
        <w:rPr>
          <w:rFonts w:ascii="David" w:hAnsi="David" w:hint="eastAsia"/>
          <w:rtl/>
        </w:rPr>
        <w:t>ם</w:t>
      </w:r>
      <w:r>
        <w:rPr>
          <w:rFonts w:ascii="David" w:hAnsi="David" w:hint="cs"/>
          <w:rtl/>
        </w:rPr>
        <w:t xml:space="preserve">. </w:t>
      </w:r>
    </w:p>
    <w:p w14:paraId="4A9654D9" w14:textId="77777777" w:rsidR="001D52FA" w:rsidRPr="00D360F7" w:rsidRDefault="001D52FA" w:rsidP="001D52FA">
      <w:pPr>
        <w:pStyle w:val="a9"/>
        <w:rPr>
          <w:rFonts w:ascii="David" w:hAnsi="David"/>
          <w:rtl/>
        </w:rPr>
      </w:pPr>
    </w:p>
    <w:p w14:paraId="0441E2C0" w14:textId="77777777" w:rsidR="001D52FA" w:rsidRPr="00D360F7" w:rsidRDefault="001D52FA" w:rsidP="001D52FA">
      <w:pPr>
        <w:pStyle w:val="a9"/>
        <w:spacing w:line="360" w:lineRule="auto"/>
        <w:ind w:left="0"/>
        <w:jc w:val="both"/>
        <w:rPr>
          <w:rFonts w:ascii="David" w:hAnsi="David"/>
          <w:b/>
          <w:bCs/>
          <w:u w:val="single"/>
        </w:rPr>
      </w:pPr>
      <w:r>
        <w:rPr>
          <w:rFonts w:ascii="David" w:hAnsi="David" w:hint="cs"/>
          <w:b/>
          <w:bCs/>
          <w:u w:val="single"/>
          <w:rtl/>
        </w:rPr>
        <w:t>תסקיר שירות המבחן</w:t>
      </w:r>
    </w:p>
    <w:p w14:paraId="6EA49206" w14:textId="77777777" w:rsidR="001D52FA" w:rsidRPr="00D360F7" w:rsidRDefault="001D52FA" w:rsidP="001D52FA">
      <w:pPr>
        <w:pStyle w:val="a9"/>
        <w:rPr>
          <w:rFonts w:ascii="David" w:hAnsi="David"/>
          <w:rtl/>
        </w:rPr>
      </w:pPr>
    </w:p>
    <w:p w14:paraId="3A82EBD0" w14:textId="77777777" w:rsidR="001D52FA" w:rsidRDefault="001D52FA" w:rsidP="001D52FA">
      <w:pPr>
        <w:pStyle w:val="a9"/>
        <w:numPr>
          <w:ilvl w:val="0"/>
          <w:numId w:val="1"/>
        </w:numPr>
        <w:spacing w:line="360" w:lineRule="auto"/>
        <w:jc w:val="both"/>
        <w:rPr>
          <w:rFonts w:ascii="David" w:hAnsi="David"/>
        </w:rPr>
      </w:pPr>
      <w:r>
        <w:rPr>
          <w:rFonts w:ascii="David" w:hAnsi="David" w:hint="cs"/>
          <w:rtl/>
        </w:rPr>
        <w:t>בעניינו של הנאשם הוגש תסקיר ו</w:t>
      </w:r>
      <w:r w:rsidRPr="002A3968">
        <w:rPr>
          <w:rFonts w:ascii="David" w:hAnsi="David" w:hint="cs"/>
          <w:rtl/>
        </w:rPr>
        <w:t>מטעמים של צנעת הפרט לא ארחיב</w:t>
      </w:r>
      <w:r>
        <w:rPr>
          <w:rFonts w:ascii="David" w:hAnsi="David" w:hint="cs"/>
          <w:rtl/>
        </w:rPr>
        <w:t>.</w:t>
      </w:r>
      <w:r w:rsidRPr="002A3968">
        <w:rPr>
          <w:rFonts w:ascii="David" w:hAnsi="David" w:hint="cs"/>
          <w:rtl/>
        </w:rPr>
        <w:t xml:space="preserve"> בתמצית ייאמר כי הנאשם כבן 28, נשוי ואב לשני ילדים. טרם מעצרו עבד במפעל במשך כשש שנים. עבר</w:t>
      </w:r>
      <w:r>
        <w:rPr>
          <w:rFonts w:ascii="David" w:hAnsi="David" w:hint="cs"/>
          <w:rtl/>
        </w:rPr>
        <w:t>ו</w:t>
      </w:r>
      <w:r w:rsidRPr="002A3968">
        <w:rPr>
          <w:rFonts w:ascii="David" w:hAnsi="David" w:hint="cs"/>
          <w:rtl/>
        </w:rPr>
        <w:t xml:space="preserve"> הפלילי נקי וביחס לביצוע העבירות </w:t>
      </w:r>
      <w:r>
        <w:rPr>
          <w:rFonts w:ascii="David" w:hAnsi="David" w:hint="cs"/>
          <w:rtl/>
        </w:rPr>
        <w:t xml:space="preserve">התרשמה קצינת המבחן מהתייחסות קונקרטית ומצמצמת, מביטוי חרטה מילולית בלבד ומעמדה קורבנית. הרושם שנוצר הוא שקיים פער בין תיאוריו את אורח חיים </w:t>
      </w:r>
      <w:r>
        <w:rPr>
          <w:rFonts w:ascii="David" w:hAnsi="David" w:hint="cs"/>
          <w:rtl/>
        </w:rPr>
        <w:lastRenderedPageBreak/>
        <w:t>ותפקודו לבין מעורבותו באירוע וכי הוא מתקשה לזהות כשלים בהתנהלותו ונמנע מלשתף באופן כן. הנאשם התקשה לזהות מוקדי טיפול, צוין שהוא אינו מחובר לצרכיו הטיפוליים וקיים אפוא סיכון להישנות עבירות בעתיד. מטעמים אלו לא ניתנה המלצה טיפולית.</w:t>
      </w:r>
    </w:p>
    <w:p w14:paraId="4B9D5950" w14:textId="77777777" w:rsidR="001D52FA" w:rsidRDefault="001D52FA" w:rsidP="001D52FA">
      <w:pPr>
        <w:pStyle w:val="a9"/>
        <w:spacing w:line="360" w:lineRule="auto"/>
        <w:ind w:left="0"/>
        <w:jc w:val="both"/>
        <w:rPr>
          <w:rFonts w:ascii="David" w:hAnsi="David"/>
          <w:b/>
          <w:bCs/>
          <w:u w:val="single"/>
          <w:rtl/>
        </w:rPr>
      </w:pPr>
    </w:p>
    <w:p w14:paraId="6E78283A" w14:textId="77777777" w:rsidR="001D52FA" w:rsidRDefault="001D52FA" w:rsidP="001D52FA">
      <w:pPr>
        <w:pStyle w:val="a9"/>
        <w:spacing w:line="360" w:lineRule="auto"/>
        <w:ind w:left="0"/>
        <w:jc w:val="both"/>
        <w:rPr>
          <w:rFonts w:ascii="David" w:hAnsi="David"/>
          <w:b/>
          <w:bCs/>
          <w:u w:val="single"/>
          <w:rtl/>
        </w:rPr>
      </w:pPr>
    </w:p>
    <w:p w14:paraId="12AC34EE" w14:textId="77777777" w:rsidR="001D52FA" w:rsidRDefault="001D52FA" w:rsidP="001D52FA">
      <w:pPr>
        <w:pStyle w:val="a9"/>
        <w:spacing w:line="360" w:lineRule="auto"/>
        <w:ind w:left="0"/>
        <w:jc w:val="both"/>
        <w:rPr>
          <w:rFonts w:ascii="David" w:hAnsi="David"/>
          <w:b/>
          <w:bCs/>
          <w:u w:val="single"/>
          <w:rtl/>
        </w:rPr>
      </w:pPr>
    </w:p>
    <w:p w14:paraId="73774BAD" w14:textId="77777777" w:rsidR="001D52FA" w:rsidRDefault="001D52FA" w:rsidP="001D52FA">
      <w:pPr>
        <w:pStyle w:val="a9"/>
        <w:spacing w:line="360" w:lineRule="auto"/>
        <w:ind w:left="0"/>
        <w:jc w:val="both"/>
        <w:rPr>
          <w:rFonts w:ascii="David" w:hAnsi="David"/>
          <w:b/>
          <w:bCs/>
          <w:u w:val="single"/>
          <w:rtl/>
        </w:rPr>
      </w:pPr>
    </w:p>
    <w:p w14:paraId="429F150C" w14:textId="77777777" w:rsidR="001D52FA" w:rsidRDefault="001D52FA" w:rsidP="001D52FA">
      <w:pPr>
        <w:pStyle w:val="a9"/>
        <w:spacing w:line="360" w:lineRule="auto"/>
        <w:ind w:left="0"/>
        <w:jc w:val="both"/>
        <w:rPr>
          <w:rFonts w:ascii="David" w:hAnsi="David"/>
          <w:rtl/>
        </w:rPr>
      </w:pPr>
      <w:r>
        <w:rPr>
          <w:rFonts w:ascii="David" w:hAnsi="David" w:hint="cs"/>
          <w:b/>
          <w:bCs/>
          <w:u w:val="single"/>
          <w:rtl/>
        </w:rPr>
        <w:t xml:space="preserve">טיעוני הצדדים לעונש והראיות </w:t>
      </w:r>
    </w:p>
    <w:p w14:paraId="6BF74818" w14:textId="77777777" w:rsidR="001D52FA" w:rsidRPr="0085145C" w:rsidRDefault="001D52FA" w:rsidP="001D52FA">
      <w:pPr>
        <w:pStyle w:val="a9"/>
        <w:ind w:left="0"/>
        <w:jc w:val="both"/>
        <w:rPr>
          <w:rFonts w:ascii="David" w:hAnsi="David"/>
        </w:rPr>
      </w:pPr>
    </w:p>
    <w:p w14:paraId="0895BFA7" w14:textId="77777777" w:rsidR="001D52FA" w:rsidRDefault="001D52FA" w:rsidP="001D52FA">
      <w:pPr>
        <w:pStyle w:val="a9"/>
        <w:numPr>
          <w:ilvl w:val="0"/>
          <w:numId w:val="1"/>
        </w:numPr>
        <w:spacing w:line="360" w:lineRule="auto"/>
        <w:jc w:val="both"/>
        <w:rPr>
          <w:rFonts w:ascii="David" w:hAnsi="David"/>
        </w:rPr>
      </w:pPr>
      <w:r>
        <w:rPr>
          <w:rFonts w:ascii="David" w:hAnsi="David" w:hint="cs"/>
          <w:rtl/>
        </w:rPr>
        <w:t xml:space="preserve">ב"כ המאשימה הגישה טיעון כתוב והוסיפה טיעון על פה. כן הוצגה פסיקה. הודגשו חומרת העבירות, הערכים המוגנים שנפגעו והצורך בהחמרת הענישה ונטען (בהתאם להסדר הטיעון) למתחם ענישה הנע בין 10-24 חודשי מאסר בפועל. המאשימה הגישה תמונה המתעדת את הרימונים והתחמושת ונטען כי על אף שמדובר ברימוני הלם יש בכוחם להזיק. ברמה האופרטיבית, בהיעדר המלצה שיקומית, עתרה המאשימה לעונש מאסר למשך 12 חודשים וענישה נלווית. </w:t>
      </w:r>
    </w:p>
    <w:p w14:paraId="73E611C0" w14:textId="77777777" w:rsidR="001D52FA" w:rsidRDefault="001D52FA" w:rsidP="001D52FA">
      <w:pPr>
        <w:pStyle w:val="a9"/>
        <w:ind w:left="0"/>
        <w:jc w:val="both"/>
        <w:rPr>
          <w:rFonts w:ascii="David" w:hAnsi="David"/>
        </w:rPr>
      </w:pPr>
    </w:p>
    <w:p w14:paraId="5C43F9C5" w14:textId="77777777" w:rsidR="001D52FA" w:rsidRDefault="001D52FA" w:rsidP="001D52FA">
      <w:pPr>
        <w:pStyle w:val="a9"/>
        <w:numPr>
          <w:ilvl w:val="0"/>
          <w:numId w:val="1"/>
        </w:numPr>
        <w:spacing w:line="360" w:lineRule="auto"/>
        <w:jc w:val="both"/>
        <w:rPr>
          <w:rFonts w:ascii="David" w:hAnsi="David"/>
        </w:rPr>
      </w:pPr>
      <w:r>
        <w:rPr>
          <w:rFonts w:ascii="David" w:hAnsi="David" w:hint="cs"/>
          <w:rtl/>
        </w:rPr>
        <w:t xml:space="preserve"> ב"כ הנאשם לא ציין את גבולות מתחם הענישה ההולם לשיטתו והפנה לפסיקה בה הוטלו בעבירות דומות עונשי מאסר לריצוי בעבודות שירות. כן נטען שקיימים קשיים ראייתיי</w:t>
      </w:r>
      <w:r>
        <w:rPr>
          <w:rFonts w:ascii="David" w:hAnsi="David" w:hint="eastAsia"/>
          <w:rtl/>
        </w:rPr>
        <w:t>ם</w:t>
      </w:r>
      <w:r>
        <w:rPr>
          <w:rFonts w:ascii="David" w:hAnsi="David" w:hint="cs"/>
          <w:rtl/>
        </w:rPr>
        <w:t xml:space="preserve"> שעמדו בבסיס הסדר הטיעון ויש להביא זאת בחשבון. ביחס לעונש הקונקרטי טען הסנגור כי הנאשם גדל במשפחה נורמטיבית וחיובית, עברו נקי ואחיו שירתו בצבא. כן הודגשו גילו הצעיר; הודאתו; העובדה כי הוא אב לשני ילדים קטנים; והתקופה הארוכה בה שהה בתנאים מגבילי חירות. מטעמים אלו עתרה ההגנה להימנע מכליאת הנאשם ולהסתפק במאסר שניתן לרצות בעבודות שירות. </w:t>
      </w:r>
    </w:p>
    <w:p w14:paraId="36D1E0B2" w14:textId="77777777" w:rsidR="001D52FA" w:rsidRPr="003638DC" w:rsidRDefault="001D52FA" w:rsidP="001D52FA">
      <w:pPr>
        <w:pStyle w:val="a9"/>
        <w:rPr>
          <w:rFonts w:ascii="David" w:hAnsi="David"/>
          <w:rtl/>
        </w:rPr>
      </w:pPr>
    </w:p>
    <w:p w14:paraId="2CA5D63F" w14:textId="77777777" w:rsidR="001D52FA" w:rsidRDefault="001D52FA" w:rsidP="001D52FA">
      <w:pPr>
        <w:pStyle w:val="a9"/>
        <w:numPr>
          <w:ilvl w:val="0"/>
          <w:numId w:val="1"/>
        </w:numPr>
        <w:spacing w:line="360" w:lineRule="auto"/>
        <w:jc w:val="both"/>
        <w:rPr>
          <w:rFonts w:ascii="David" w:hAnsi="David"/>
        </w:rPr>
      </w:pPr>
      <w:r>
        <w:rPr>
          <w:rFonts w:ascii="David" w:hAnsi="David" w:hint="cs"/>
          <w:rtl/>
        </w:rPr>
        <w:t xml:space="preserve">הנאשם בדברו האחרון ציין כי הבין את טעותו והתנצל על מעשיו. כן תאר את מצבו הכלכלי הקשה וציין שהוא המפרנס היחיד במשפחה. </w:t>
      </w:r>
    </w:p>
    <w:p w14:paraId="7118F099" w14:textId="77777777" w:rsidR="001D52FA" w:rsidRPr="009455D7" w:rsidRDefault="001D52FA" w:rsidP="001D52FA">
      <w:pPr>
        <w:pStyle w:val="a9"/>
        <w:rPr>
          <w:rFonts w:ascii="David" w:hAnsi="David"/>
          <w:rtl/>
        </w:rPr>
      </w:pPr>
    </w:p>
    <w:p w14:paraId="64D302E2" w14:textId="77777777" w:rsidR="001D52FA" w:rsidRDefault="001D52FA" w:rsidP="001D52FA">
      <w:pPr>
        <w:pStyle w:val="a9"/>
        <w:spacing w:line="360" w:lineRule="auto"/>
        <w:ind w:left="0"/>
        <w:jc w:val="both"/>
        <w:rPr>
          <w:rFonts w:ascii="David" w:hAnsi="David"/>
          <w:b/>
          <w:bCs/>
          <w:u w:val="single"/>
          <w:rtl/>
        </w:rPr>
      </w:pPr>
      <w:r>
        <w:rPr>
          <w:rFonts w:ascii="David" w:hAnsi="David" w:hint="cs"/>
          <w:b/>
          <w:bCs/>
          <w:u w:val="single"/>
          <w:rtl/>
        </w:rPr>
        <w:t>דיון והכרעה</w:t>
      </w:r>
    </w:p>
    <w:p w14:paraId="0E22881F" w14:textId="77777777" w:rsidR="001D52FA" w:rsidRPr="003638DC" w:rsidRDefault="001D52FA" w:rsidP="001D52FA">
      <w:pPr>
        <w:pStyle w:val="a9"/>
        <w:spacing w:line="360" w:lineRule="auto"/>
        <w:ind w:left="0"/>
        <w:jc w:val="both"/>
        <w:rPr>
          <w:rFonts w:ascii="David" w:hAnsi="David"/>
          <w:b/>
          <w:bCs/>
          <w:u w:val="single"/>
        </w:rPr>
      </w:pPr>
      <w:r>
        <w:rPr>
          <w:rFonts w:ascii="David" w:hAnsi="David" w:hint="cs"/>
          <w:b/>
          <w:bCs/>
          <w:u w:val="single"/>
          <w:rtl/>
        </w:rPr>
        <w:t>קביעת מתחם הענישה</w:t>
      </w:r>
    </w:p>
    <w:p w14:paraId="5DCCD5F1" w14:textId="77777777" w:rsidR="001D52FA" w:rsidRPr="003638DC" w:rsidRDefault="001D52FA" w:rsidP="001D52FA">
      <w:pPr>
        <w:pStyle w:val="a9"/>
        <w:rPr>
          <w:rFonts w:ascii="David" w:hAnsi="David"/>
          <w:rtl/>
        </w:rPr>
      </w:pPr>
    </w:p>
    <w:p w14:paraId="16385FBC" w14:textId="77777777" w:rsidR="001D52FA" w:rsidRPr="00097328" w:rsidRDefault="001D52FA" w:rsidP="001D52FA">
      <w:pPr>
        <w:pStyle w:val="a9"/>
        <w:numPr>
          <w:ilvl w:val="0"/>
          <w:numId w:val="1"/>
        </w:numPr>
        <w:spacing w:line="360" w:lineRule="auto"/>
        <w:jc w:val="both"/>
        <w:rPr>
          <w:rFonts w:ascii="Arial" w:hAnsi="Arial"/>
        </w:rPr>
      </w:pPr>
      <w:r>
        <w:rPr>
          <w:rFonts w:ascii="David" w:hAnsi="David" w:hint="cs"/>
          <w:rtl/>
        </w:rPr>
        <w:t xml:space="preserve">הערכים המוגנים שנפגעו ברורים ומדובר בשלום הציבור ובטחונו. החזקת רימונים </w:t>
      </w:r>
      <w:r>
        <w:rPr>
          <w:rFonts w:ascii="David" w:hAnsi="David"/>
          <w:rtl/>
        </w:rPr>
        <w:t>–</w:t>
      </w:r>
      <w:r>
        <w:rPr>
          <w:rFonts w:ascii="David" w:hAnsi="David" w:hint="cs"/>
          <w:rtl/>
        </w:rPr>
        <w:t xml:space="preserve"> שלושה במספר </w:t>
      </w:r>
      <w:r>
        <w:rPr>
          <w:rFonts w:ascii="David" w:hAnsi="David"/>
          <w:rtl/>
        </w:rPr>
        <w:t>–</w:t>
      </w:r>
      <w:r>
        <w:rPr>
          <w:rFonts w:ascii="David" w:hAnsi="David" w:hint="cs"/>
          <w:rtl/>
        </w:rPr>
        <w:t xml:space="preserve"> לצד תחמושת, מלמדת על פוטנציאל גרימת נזק לא מבוטל. עם זאת, הגם שרימון הלם הוא נשק כהגדרתו בחוק, יש להביא בחשבון את נתוניו ובמיוחד את פוטנציאל הנזק שבכוחו לגרום לאדם. בהתאם </w:t>
      </w:r>
      <w:hyperlink r:id="rId15" w:history="1">
        <w:r w:rsidR="00B638CC" w:rsidRPr="00B638CC">
          <w:rPr>
            <w:rStyle w:val="Hyperlink"/>
            <w:rFonts w:ascii="David" w:hAnsi="David" w:hint="eastAsia"/>
            <w:color w:val="0000FF"/>
            <w:rtl/>
          </w:rPr>
          <w:t>לסעיף</w:t>
        </w:r>
        <w:r w:rsidR="00B638CC" w:rsidRPr="00B638CC">
          <w:rPr>
            <w:rStyle w:val="Hyperlink"/>
            <w:rFonts w:ascii="David" w:hAnsi="David"/>
            <w:color w:val="0000FF"/>
            <w:rtl/>
          </w:rPr>
          <w:t xml:space="preserve"> 144(ג)(3)</w:t>
        </w:r>
      </w:hyperlink>
      <w:r>
        <w:rPr>
          <w:rFonts w:ascii="David" w:hAnsi="David" w:hint="cs"/>
          <w:rtl/>
        </w:rPr>
        <w:t xml:space="preserve"> מוגדר כנשק גם </w:t>
      </w:r>
      <w:r w:rsidRPr="00895AE7">
        <w:rPr>
          <w:rFonts w:ascii="Miriam" w:hAnsi="Miriam" w:cs="Miriam"/>
          <w:rtl/>
        </w:rPr>
        <w:t>"</w:t>
      </w:r>
      <w:r w:rsidRPr="00895AE7">
        <w:rPr>
          <w:rStyle w:val="default"/>
          <w:rFonts w:ascii="Miriam" w:hAnsi="Miriam" w:cs="Miriam"/>
          <w:rtl/>
        </w:rPr>
        <w:t>רימון או כל חפץ נפיץ אחר שבכוחם להמית אדם או להזיק לו</w:t>
      </w:r>
      <w:r w:rsidRPr="00895AE7">
        <w:rPr>
          <w:rFonts w:ascii="Miriam" w:hAnsi="Miriam" w:cs="Miriam"/>
          <w:rtl/>
        </w:rPr>
        <w:t xml:space="preserve">" </w:t>
      </w:r>
      <w:r>
        <w:rPr>
          <w:rFonts w:ascii="David" w:hAnsi="David" w:hint="cs"/>
          <w:rtl/>
        </w:rPr>
        <w:t xml:space="preserve">ואולם קיימת כמובן חשיבות לשאלה אם בכוחו של "הנשק" הרלוונטי להמית אדם או רק להזיק לו ובכלל זה לשאלה מהי חומרת הנזק שבכוחו לגרום. בכתב האישום צוין כי </w:t>
      </w:r>
      <w:r w:rsidRPr="0093480F">
        <w:rPr>
          <w:rFonts w:ascii="David" w:hAnsi="David"/>
          <w:rtl/>
        </w:rPr>
        <w:t>מדובר ברימוני הלם אשר</w:t>
      </w:r>
      <w:r>
        <w:rPr>
          <w:rFonts w:ascii="Miriam" w:hAnsi="Miriam" w:cs="Miriam" w:hint="cs"/>
          <w:rtl/>
        </w:rPr>
        <w:t xml:space="preserve"> </w:t>
      </w:r>
      <w:r w:rsidRPr="0093480F">
        <w:rPr>
          <w:rFonts w:ascii="Miriam" w:hAnsi="Miriam" w:cs="Miriam"/>
          <w:rtl/>
        </w:rPr>
        <w:t>"בכוחם לפגוע</w:t>
      </w:r>
      <w:r>
        <w:rPr>
          <w:rFonts w:ascii="Miriam" w:hAnsi="Miriam" w:cs="Miriam" w:hint="cs"/>
          <w:rtl/>
        </w:rPr>
        <w:t xml:space="preserve"> באדם</w:t>
      </w:r>
      <w:r w:rsidRPr="0093480F">
        <w:rPr>
          <w:rFonts w:ascii="Miriam" w:hAnsi="Miriam" w:cs="Miriam"/>
          <w:rtl/>
        </w:rPr>
        <w:t>"</w:t>
      </w:r>
      <w:r>
        <w:rPr>
          <w:rFonts w:ascii="David" w:hAnsi="David" w:hint="cs"/>
          <w:rtl/>
        </w:rPr>
        <w:t>. כתב האישום אינו מפרט את מהותה של אותה "פגיעה"</w:t>
      </w:r>
      <w:r>
        <w:rPr>
          <w:rFonts w:ascii="David" w:hAnsi="David" w:hint="cs"/>
        </w:rPr>
        <w:t xml:space="preserve"> </w:t>
      </w:r>
      <w:r>
        <w:rPr>
          <w:rFonts w:ascii="David" w:hAnsi="David" w:hint="cs"/>
          <w:rtl/>
        </w:rPr>
        <w:t xml:space="preserve">ובכל מקרה דומה שמדובר במונח שאינו רלוונטי להגדרת העבירה והיה מקום לציין אם </w:t>
      </w:r>
      <w:r>
        <w:rPr>
          <w:rFonts w:ascii="David" w:hAnsi="David" w:hint="cs"/>
          <w:rtl/>
        </w:rPr>
        <w:lastRenderedPageBreak/>
        <w:t xml:space="preserve">בכוחו </w:t>
      </w:r>
      <w:r w:rsidRPr="00097328">
        <w:rPr>
          <w:rFonts w:ascii="Miriam" w:hAnsi="Miriam" w:cs="Miriam"/>
          <w:rtl/>
        </w:rPr>
        <w:t>"</w:t>
      </w:r>
      <w:r w:rsidRPr="00097328">
        <w:rPr>
          <w:rStyle w:val="default"/>
          <w:rFonts w:ascii="Miriam" w:hAnsi="Miriam" w:cs="Miriam"/>
          <w:rtl/>
        </w:rPr>
        <w:t>להמית אדם או להזיק לו</w:t>
      </w:r>
      <w:r w:rsidRPr="00097328">
        <w:rPr>
          <w:rFonts w:ascii="Miriam" w:hAnsi="Miriam" w:cs="Miriam"/>
          <w:rtl/>
        </w:rPr>
        <w:t>"</w:t>
      </w:r>
      <w:r>
        <w:rPr>
          <w:rFonts w:ascii="David" w:hAnsi="David" w:hint="cs"/>
          <w:rtl/>
        </w:rPr>
        <w:t xml:space="preserve"> וכן את מהות הנזק האפשרי. עם זאת, דומה שכוונת המאשימה ברורה ועניינה בחלופת גרימת הנזק, אך במבט צופה פני עתיד, ראוי, כאמור, לציין בכתב האישום את הדברים בצורה ברורה. </w:t>
      </w:r>
    </w:p>
    <w:p w14:paraId="0BBD7954" w14:textId="77777777" w:rsidR="001D52FA" w:rsidRPr="00097328" w:rsidRDefault="001D52FA" w:rsidP="001D52FA">
      <w:pPr>
        <w:pStyle w:val="a9"/>
        <w:ind w:left="0"/>
        <w:jc w:val="both"/>
        <w:rPr>
          <w:rFonts w:ascii="Arial" w:hAnsi="Arial"/>
        </w:rPr>
      </w:pPr>
      <w:r>
        <w:rPr>
          <w:rFonts w:ascii="David" w:hAnsi="David" w:hint="cs"/>
          <w:rtl/>
        </w:rPr>
        <w:t xml:space="preserve"> </w:t>
      </w:r>
    </w:p>
    <w:p w14:paraId="7EE450AC" w14:textId="77777777" w:rsidR="001D52FA" w:rsidRDefault="001D52FA" w:rsidP="001D52FA">
      <w:pPr>
        <w:pStyle w:val="a9"/>
        <w:numPr>
          <w:ilvl w:val="0"/>
          <w:numId w:val="1"/>
        </w:numPr>
        <w:spacing w:line="360" w:lineRule="auto"/>
        <w:jc w:val="both"/>
        <w:rPr>
          <w:rFonts w:ascii="Arial" w:hAnsi="Arial"/>
        </w:rPr>
      </w:pPr>
      <w:r w:rsidRPr="00EC369A">
        <w:rPr>
          <w:rFonts w:ascii="David" w:hAnsi="David" w:hint="cs"/>
          <w:rtl/>
        </w:rPr>
        <w:t xml:space="preserve">כך או כך, אפנה בעניין זה </w:t>
      </w:r>
      <w:r w:rsidRPr="00EC369A">
        <w:rPr>
          <w:rFonts w:ascii="Arial" w:hAnsi="Arial" w:hint="cs"/>
          <w:rtl/>
        </w:rPr>
        <w:t>ל</w:t>
      </w:r>
      <w:hyperlink r:id="rId16" w:history="1">
        <w:r w:rsidR="006C0660" w:rsidRPr="006C0660">
          <w:rPr>
            <w:rFonts w:ascii="Arial" w:hAnsi="Arial"/>
            <w:color w:val="0000FF"/>
            <w:u w:val="single"/>
            <w:rtl/>
          </w:rPr>
          <w:t>ע"פ 1323/13</w:t>
        </w:r>
      </w:hyperlink>
      <w:r w:rsidRPr="00EC369A">
        <w:rPr>
          <w:rFonts w:ascii="Arial" w:hAnsi="Arial"/>
          <w:rtl/>
        </w:rPr>
        <w:t xml:space="preserve"> </w:t>
      </w:r>
      <w:r w:rsidRPr="00EC369A">
        <w:rPr>
          <w:rFonts w:ascii="Arial" w:hAnsi="Arial"/>
          <w:b/>
          <w:bCs/>
          <w:rtl/>
        </w:rPr>
        <w:t>חסן נ' מדינת ישראל</w:t>
      </w:r>
      <w:r w:rsidRPr="00EC369A">
        <w:rPr>
          <w:rFonts w:ascii="Arial" w:hAnsi="Arial"/>
          <w:rtl/>
        </w:rPr>
        <w:t xml:space="preserve"> (5.6.2013) שם צוין ביחס לרימון הלם כי </w:t>
      </w:r>
      <w:r w:rsidRPr="00EC369A">
        <w:rPr>
          <w:rFonts w:ascii="Miriam" w:hAnsi="Miriam" w:cs="Miriam"/>
          <w:rtl/>
        </w:rPr>
        <w:t>"מדובר בסחר בנשק הנמצא באחת הדיוטות הנמוכות שבסולם החומרה. אינני מקלה ראש בנזק הפוטנציאלי הטמון בסוג נשק זה, ואף על פי כן מדובר בנשק שנועד לטשטש אדם ולהכניסו למצב של הלם והגם שיש בכוחו לגרום נזק, אין הוא מסוג כלי הנשק שיכול להביא להרג ללא הבחנה"</w:t>
      </w:r>
      <w:r w:rsidRPr="00EC369A">
        <w:rPr>
          <w:rFonts w:ascii="Arial" w:hAnsi="Arial" w:hint="cs"/>
          <w:rtl/>
        </w:rPr>
        <w:t xml:space="preserve">.  כן ראו </w:t>
      </w:r>
      <w:hyperlink r:id="rId17" w:history="1">
        <w:r w:rsidR="006C0660" w:rsidRPr="006C0660">
          <w:rPr>
            <w:rFonts w:ascii="Arial" w:hAnsi="Arial"/>
            <w:color w:val="0000FF"/>
            <w:u w:val="single"/>
            <w:rtl/>
          </w:rPr>
          <w:t>ע"פ 7124/06</w:t>
        </w:r>
      </w:hyperlink>
      <w:r w:rsidRPr="00EC369A">
        <w:rPr>
          <w:rFonts w:ascii="Arial" w:hAnsi="Arial"/>
          <w:rtl/>
        </w:rPr>
        <w:t xml:space="preserve"> </w:t>
      </w:r>
      <w:r w:rsidRPr="00EC369A">
        <w:rPr>
          <w:rFonts w:ascii="Arial" w:hAnsi="Arial"/>
          <w:b/>
          <w:bCs/>
          <w:rtl/>
        </w:rPr>
        <w:t>דרורי נ' מדינת ישראל</w:t>
      </w:r>
      <w:r w:rsidRPr="00EC369A">
        <w:rPr>
          <w:rFonts w:ascii="Arial" w:hAnsi="Arial"/>
          <w:rtl/>
        </w:rPr>
        <w:t>, פסקאות 10-9 (9.5.2007)</w:t>
      </w:r>
      <w:r w:rsidRPr="00EC369A">
        <w:rPr>
          <w:rFonts w:ascii="Arial" w:hAnsi="Arial" w:hint="cs"/>
          <w:rtl/>
        </w:rPr>
        <w:t xml:space="preserve">, שם צוין כי </w:t>
      </w:r>
      <w:r w:rsidRPr="00EC369A">
        <w:rPr>
          <w:rFonts w:ascii="Miriam" w:hAnsi="Miriam" w:cs="Miriam"/>
          <w:rtl/>
        </w:rPr>
        <w:t xml:space="preserve">"העובדה שתוצאתו של הפיצוץ איננה ההרס והחורבן הנגרמים מרימונים </w:t>
      </w:r>
      <w:r w:rsidRPr="00EC369A">
        <w:rPr>
          <w:rFonts w:ascii="Miriam" w:hAnsi="Miriam" w:cs="Miriam" w:hint="cs"/>
          <w:rtl/>
        </w:rPr>
        <w:t>'</w:t>
      </w:r>
      <w:r w:rsidRPr="00EC369A">
        <w:rPr>
          <w:rFonts w:ascii="Miriam" w:hAnsi="Miriam" w:cs="Miriam"/>
          <w:rtl/>
        </w:rPr>
        <w:t>רגילים</w:t>
      </w:r>
      <w:r w:rsidRPr="00EC369A">
        <w:rPr>
          <w:rFonts w:ascii="Miriam" w:hAnsi="Miriam" w:cs="Miriam" w:hint="cs"/>
          <w:rtl/>
        </w:rPr>
        <w:t>'</w:t>
      </w:r>
      <w:r w:rsidRPr="00EC369A">
        <w:rPr>
          <w:rFonts w:ascii="Miriam" w:hAnsi="Miriam" w:cs="Miriam"/>
          <w:rtl/>
        </w:rPr>
        <w:t xml:space="preserve"> - אינה גורעת מ'נפיצותו' של הרימון המחולל אותו...גם בשאלה האם בכוחו של רימון מסוג זה להזיק לאדם דומני שיישומו של המבחן אשר נקבע בהלכת שטרית</w:t>
      </w:r>
      <w:r w:rsidRPr="00EC369A">
        <w:rPr>
          <w:rFonts w:ascii="Miriam" w:hAnsi="Miriam" w:cs="Miriam" w:hint="cs"/>
          <w:rtl/>
        </w:rPr>
        <w:t xml:space="preserve"> </w:t>
      </w:r>
      <w:r w:rsidRPr="00EC369A">
        <w:rPr>
          <w:rFonts w:ascii="Miriam" w:hAnsi="Miriam" w:cs="Miriam"/>
          <w:rtl/>
        </w:rPr>
        <w:t>אשר עליו ועל תוקפו כבר עמדתי לעיל,</w:t>
      </w:r>
      <w:r w:rsidRPr="00EC369A">
        <w:rPr>
          <w:rFonts w:ascii="Miriam" w:hAnsi="Miriam" w:cs="Miriam" w:hint="cs"/>
          <w:rtl/>
        </w:rPr>
        <w:t xml:space="preserve"> </w:t>
      </w:r>
      <w:r w:rsidRPr="00EC369A">
        <w:rPr>
          <w:rFonts w:ascii="Miriam" w:hAnsi="Miriam" w:cs="Miriam"/>
          <w:rtl/>
        </w:rPr>
        <w:t>מניב תוצאה ברורה. טשטושו של אדם והכנסתו למצב של הלם – הינם נזקים. רימון היוצר מצב של הלם; קרי: רימון הלם, הינו רימון היוצר נזק"</w:t>
      </w:r>
      <w:r w:rsidRPr="00EC369A">
        <w:rPr>
          <w:rFonts w:ascii="Arial" w:hAnsi="Arial" w:hint="cs"/>
          <w:rtl/>
        </w:rPr>
        <w:t>. עוד אפנה ל</w:t>
      </w:r>
      <w:hyperlink r:id="rId18" w:history="1">
        <w:r w:rsidR="006C0660" w:rsidRPr="006C0660">
          <w:rPr>
            <w:rFonts w:ascii="Arial" w:hAnsi="Arial"/>
            <w:color w:val="0000FF"/>
            <w:u w:val="single"/>
            <w:rtl/>
          </w:rPr>
          <w:t>ע"פ 7386/13</w:t>
        </w:r>
      </w:hyperlink>
      <w:r w:rsidRPr="00EC369A">
        <w:rPr>
          <w:rFonts w:ascii="Arial" w:hAnsi="Arial"/>
          <w:rtl/>
        </w:rPr>
        <w:t xml:space="preserve"> </w:t>
      </w:r>
      <w:r w:rsidRPr="00EC369A">
        <w:rPr>
          <w:rFonts w:ascii="Arial" w:hAnsi="Arial"/>
          <w:b/>
          <w:bCs/>
          <w:rtl/>
        </w:rPr>
        <w:t>עווד נ' מדינת ישראל</w:t>
      </w:r>
      <w:r w:rsidRPr="00EC369A">
        <w:rPr>
          <w:rFonts w:ascii="Arial" w:hAnsi="Arial"/>
          <w:rtl/>
        </w:rPr>
        <w:t xml:space="preserve"> (23.3.2013)</w:t>
      </w:r>
      <w:r w:rsidRPr="00EC369A">
        <w:rPr>
          <w:rFonts w:ascii="Arial" w:hAnsi="Arial" w:hint="cs"/>
          <w:rtl/>
        </w:rPr>
        <w:t xml:space="preserve">, פסקה 12 שם צוין כי </w:t>
      </w:r>
      <w:r w:rsidRPr="00EC369A">
        <w:rPr>
          <w:rFonts w:ascii="Miriam" w:hAnsi="Miriam" w:cs="Miriam"/>
          <w:rtl/>
        </w:rPr>
        <w:t xml:space="preserve">"אשר לטענה, לפיה מדובר ברימון הלם שאינו מסוכן כמו כלי נשק אחרים, יש להפנות לכתב האישום שבו נאמר כי מדובר ברימון </w:t>
      </w:r>
      <w:r w:rsidRPr="00EC369A">
        <w:rPr>
          <w:rFonts w:ascii="Miriam" w:hAnsi="Miriam" w:cs="Miriam" w:hint="cs"/>
          <w:rtl/>
        </w:rPr>
        <w:t>'</w:t>
      </w:r>
      <w:r w:rsidRPr="00EC369A">
        <w:rPr>
          <w:rFonts w:ascii="Miriam" w:hAnsi="Miriam" w:cs="Miriam"/>
          <w:rtl/>
        </w:rPr>
        <w:t>שבכוחו לגרום לפגיעה גופנית</w:t>
      </w:r>
      <w:r w:rsidRPr="00EC369A">
        <w:rPr>
          <w:rFonts w:ascii="Miriam" w:hAnsi="Miriam" w:cs="Miriam" w:hint="cs"/>
          <w:rtl/>
        </w:rPr>
        <w:t>'</w:t>
      </w:r>
      <w:r w:rsidRPr="00EC369A">
        <w:rPr>
          <w:rFonts w:ascii="Miriam" w:hAnsi="Miriam" w:cs="Miriam"/>
          <w:rtl/>
        </w:rPr>
        <w:t xml:space="preserve">...גם אם סכנתו של רימון ההלם פחותה משל רימון רסס </w:t>
      </w:r>
      <w:r w:rsidRPr="00EC369A">
        <w:rPr>
          <w:rFonts w:ascii="Miriam" w:hAnsi="Miriam" w:cs="Miriam" w:hint="cs"/>
          <w:rtl/>
        </w:rPr>
        <w:t>'</w:t>
      </w:r>
      <w:r w:rsidRPr="00EC369A">
        <w:rPr>
          <w:rFonts w:ascii="Miriam" w:hAnsi="Miriam" w:cs="Miriam"/>
          <w:rtl/>
        </w:rPr>
        <w:t>עדיין מדובר בנשק שבכוחו לגרום פציעה לאדם, בכפוף לקרבתו למוקד הפעלתו</w:t>
      </w:r>
      <w:r w:rsidRPr="00EC369A">
        <w:rPr>
          <w:rFonts w:ascii="Miriam" w:hAnsi="Miriam" w:cs="Miriam" w:hint="cs"/>
          <w:rtl/>
        </w:rPr>
        <w:t>' "</w:t>
      </w:r>
      <w:r w:rsidRPr="00EC369A">
        <w:rPr>
          <w:rFonts w:ascii="Miriam" w:hAnsi="Miriam" w:cs="Miriam"/>
          <w:rtl/>
        </w:rPr>
        <w:t>.</w:t>
      </w:r>
      <w:r w:rsidRPr="00EC369A">
        <w:rPr>
          <w:rFonts w:ascii="Arial" w:hAnsi="Arial" w:hint="cs"/>
          <w:rtl/>
        </w:rPr>
        <w:t xml:space="preserve"> </w:t>
      </w:r>
    </w:p>
    <w:p w14:paraId="17F7C96D" w14:textId="77777777" w:rsidR="001D52FA" w:rsidRPr="00EC369A" w:rsidRDefault="001D52FA" w:rsidP="001D52FA">
      <w:pPr>
        <w:pStyle w:val="a9"/>
        <w:ind w:left="0"/>
        <w:jc w:val="both"/>
        <w:rPr>
          <w:rFonts w:ascii="Arial" w:hAnsi="Arial"/>
          <w:rtl/>
        </w:rPr>
      </w:pPr>
    </w:p>
    <w:p w14:paraId="17F726A7" w14:textId="77777777" w:rsidR="001D52FA" w:rsidRDefault="001D52FA" w:rsidP="001D52FA">
      <w:pPr>
        <w:pStyle w:val="a9"/>
        <w:numPr>
          <w:ilvl w:val="0"/>
          <w:numId w:val="1"/>
        </w:numPr>
        <w:spacing w:line="360" w:lineRule="auto"/>
        <w:jc w:val="both"/>
        <w:rPr>
          <w:rFonts w:ascii="Arial" w:hAnsi="Arial"/>
        </w:rPr>
      </w:pPr>
      <w:r>
        <w:rPr>
          <w:rFonts w:ascii="Arial" w:hAnsi="Arial" w:hint="cs"/>
          <w:rtl/>
        </w:rPr>
        <w:t xml:space="preserve">סיכומו של דבר. רימון הלם גורם בעת פיצוצו להלם לאדם הנמצא בסמוך ולטשטושו. עם זאת, ככל שהדבר מתבצע בקרבה ממשית לאדם הוא עלול אף לגרום לפציעתו. בכל מקרה, על פי המאשימה עצמה, אין מדובר בנשק העלול לגרום למוות. בהתאם לנתונים אלו </w:t>
      </w:r>
      <w:r w:rsidRPr="00245CF6">
        <w:rPr>
          <w:rFonts w:ascii="Arial" w:hAnsi="Arial" w:hint="cs"/>
          <w:rtl/>
        </w:rPr>
        <w:t>נקבע</w:t>
      </w:r>
      <w:r>
        <w:rPr>
          <w:rFonts w:ascii="Arial" w:hAnsi="Arial" w:hint="cs"/>
          <w:rtl/>
        </w:rPr>
        <w:t xml:space="preserve"> כי</w:t>
      </w:r>
      <w:r w:rsidRPr="00245CF6">
        <w:rPr>
          <w:rFonts w:ascii="Arial" w:hAnsi="Arial" w:hint="cs"/>
          <w:rtl/>
        </w:rPr>
        <w:t xml:space="preserve"> </w:t>
      </w:r>
      <w:r w:rsidRPr="00245CF6">
        <w:rPr>
          <w:rFonts w:ascii="Miriam" w:hAnsi="Miriam" w:cs="Miriam"/>
          <w:rtl/>
        </w:rPr>
        <w:t>"גם אם עסקינן בעבירת נשק, עדיין מדובר ברף נמוך ביותר שהרי מדובר ברימון הלם"</w:t>
      </w:r>
      <w:r w:rsidRPr="00245CF6">
        <w:rPr>
          <w:rFonts w:ascii="Arial" w:hAnsi="Arial" w:hint="cs"/>
          <w:rtl/>
        </w:rPr>
        <w:t xml:space="preserve"> (</w:t>
      </w:r>
      <w:hyperlink r:id="rId19" w:history="1">
        <w:r w:rsidR="006C0660" w:rsidRPr="006C0660">
          <w:rPr>
            <w:rFonts w:ascii="Arial" w:hAnsi="Arial"/>
            <w:color w:val="0000FF"/>
            <w:u w:val="single"/>
            <w:rtl/>
          </w:rPr>
          <w:t>מ"ת (מחוזי-חיפה) 5609-08-19</w:t>
        </w:r>
      </w:hyperlink>
      <w:r w:rsidRPr="00245CF6">
        <w:rPr>
          <w:rFonts w:ascii="Arial" w:hAnsi="Arial"/>
          <w:rtl/>
        </w:rPr>
        <w:t xml:space="preserve"> </w:t>
      </w:r>
      <w:r w:rsidRPr="00245CF6">
        <w:rPr>
          <w:rFonts w:ascii="Arial" w:hAnsi="Arial"/>
          <w:b/>
          <w:bCs/>
          <w:rtl/>
        </w:rPr>
        <w:t>מדינת ישראל נ' גולן אבראהים</w:t>
      </w:r>
      <w:r w:rsidRPr="00245CF6">
        <w:rPr>
          <w:rFonts w:ascii="Arial" w:hAnsi="Arial"/>
          <w:rtl/>
        </w:rPr>
        <w:t xml:space="preserve"> (29.1.2020)</w:t>
      </w:r>
      <w:r w:rsidRPr="00245CF6">
        <w:rPr>
          <w:rFonts w:ascii="Arial" w:hAnsi="Arial" w:hint="cs"/>
          <w:rtl/>
        </w:rPr>
        <w:t>)</w:t>
      </w:r>
      <w:r>
        <w:rPr>
          <w:rFonts w:ascii="Arial" w:hAnsi="Arial" w:hint="cs"/>
          <w:rtl/>
        </w:rPr>
        <w:t xml:space="preserve">,  וכן </w:t>
      </w:r>
      <w:r w:rsidRPr="005F06CA">
        <w:rPr>
          <w:rFonts w:ascii="Miriam" w:hAnsi="Miriam" w:cs="Miriam"/>
          <w:rtl/>
        </w:rPr>
        <w:t>"עם כל החומרה הטמונה בעבירה של החזקת רימון הלם, לפנינו עבירה ברף הנמוך במתחם עבירות הנשק"</w:t>
      </w:r>
      <w:r>
        <w:rPr>
          <w:rFonts w:ascii="Arial" w:hAnsi="Arial" w:hint="cs"/>
          <w:rtl/>
        </w:rPr>
        <w:t xml:space="preserve"> (</w:t>
      </w:r>
      <w:hyperlink r:id="rId20" w:history="1">
        <w:r w:rsidR="006C0660" w:rsidRPr="006C0660">
          <w:rPr>
            <w:rFonts w:ascii="Arial" w:hAnsi="Arial"/>
            <w:color w:val="0000FF"/>
            <w:u w:val="single"/>
            <w:rtl/>
          </w:rPr>
          <w:t>ת"פ (מחוזי-חיפה) 22642-11-23</w:t>
        </w:r>
      </w:hyperlink>
      <w:r>
        <w:rPr>
          <w:rFonts w:ascii="Arial" w:hAnsi="Arial" w:hint="cs"/>
          <w:rtl/>
        </w:rPr>
        <w:t xml:space="preserve"> </w:t>
      </w:r>
      <w:r w:rsidRPr="005F06CA">
        <w:rPr>
          <w:rFonts w:ascii="Arial" w:hAnsi="Arial" w:hint="cs"/>
          <w:b/>
          <w:bCs/>
          <w:rtl/>
        </w:rPr>
        <w:t>מדינת ישראל נ' זידאן טאהא</w:t>
      </w:r>
      <w:r>
        <w:rPr>
          <w:rFonts w:ascii="Arial" w:hAnsi="Arial" w:hint="cs"/>
          <w:rtl/>
        </w:rPr>
        <w:t xml:space="preserve"> (5.2.2024)).</w:t>
      </w:r>
    </w:p>
    <w:p w14:paraId="7F929627" w14:textId="77777777" w:rsidR="001D52FA" w:rsidRPr="00245CF6" w:rsidRDefault="001D52FA" w:rsidP="001D52FA">
      <w:pPr>
        <w:pStyle w:val="a9"/>
        <w:rPr>
          <w:rFonts w:ascii="Arial" w:hAnsi="Arial"/>
          <w:rtl/>
        </w:rPr>
      </w:pPr>
    </w:p>
    <w:p w14:paraId="35974CEE" w14:textId="77777777" w:rsidR="001D52FA" w:rsidRPr="00245CF6" w:rsidRDefault="001D52FA" w:rsidP="001D52FA">
      <w:pPr>
        <w:pStyle w:val="a9"/>
        <w:numPr>
          <w:ilvl w:val="0"/>
          <w:numId w:val="1"/>
        </w:numPr>
        <w:spacing w:line="360" w:lineRule="auto"/>
        <w:jc w:val="both"/>
        <w:rPr>
          <w:rFonts w:ascii="Arial" w:hAnsi="Arial"/>
          <w:rtl/>
        </w:rPr>
      </w:pPr>
      <w:r>
        <w:rPr>
          <w:rFonts w:ascii="Arial" w:hAnsi="Arial" w:hint="cs"/>
          <w:rtl/>
        </w:rPr>
        <w:t>בבחינת נסיבות ביצוע העבירה, אזי הנאשם החזיק כאמור שלושה רימוני הלם במחסן ביתו. כן החזיק תחמושת בדמות מחסנית אקדח וכן 30 כדורי 9 מ"מ ועוד 2 כדורי 7.62 מ"מ. סיבת ההחזקה לא הובהרה ואין מקום להניח לטובת הנאשם הנחה מקלה בנושא.</w:t>
      </w:r>
    </w:p>
    <w:p w14:paraId="086F1C8F" w14:textId="77777777" w:rsidR="001D52FA" w:rsidRDefault="001D52FA" w:rsidP="001D52FA">
      <w:pPr>
        <w:pStyle w:val="a9"/>
        <w:rPr>
          <w:rFonts w:ascii="Arial" w:hAnsi="Arial"/>
          <w:rtl/>
        </w:rPr>
      </w:pPr>
    </w:p>
    <w:p w14:paraId="29A7421D" w14:textId="77777777" w:rsidR="001D52FA" w:rsidRPr="00C5113A" w:rsidRDefault="001D52FA" w:rsidP="001D52FA">
      <w:pPr>
        <w:pStyle w:val="a9"/>
        <w:numPr>
          <w:ilvl w:val="0"/>
          <w:numId w:val="1"/>
        </w:numPr>
        <w:spacing w:line="360" w:lineRule="auto"/>
        <w:jc w:val="both"/>
        <w:rPr>
          <w:rFonts w:ascii="Miriam" w:hAnsi="Miriam" w:cs="Miriam"/>
          <w:rtl/>
        </w:rPr>
      </w:pPr>
      <w:r w:rsidRPr="00C5113A">
        <w:rPr>
          <w:rFonts w:ascii="David" w:hAnsi="David"/>
          <w:rtl/>
        </w:rPr>
        <w:t>מדיניות הענישה הנוהגת בעבירות נשק הוחמרה בשנים האחרונות ובית המשפט העליון קבע בשורה ארוכה של מקרים כי על בתי המשפט לתרום תרומתם בביעור עבירות הנשק וכי יש צורך בהחמרה בענישה במקרים אלו לרבות על דרך עונשי מאסר לריצוי בפועל לתקופות משמעותיות</w:t>
      </w:r>
      <w:r>
        <w:rPr>
          <w:rFonts w:ascii="David" w:hAnsi="David" w:hint="cs"/>
          <w:rtl/>
        </w:rPr>
        <w:t xml:space="preserve"> </w:t>
      </w:r>
      <w:r w:rsidRPr="00962C77">
        <w:rPr>
          <w:rFonts w:ascii="David" w:hAnsi="David" w:hint="cs"/>
          <w:rtl/>
        </w:rPr>
        <w:t>(</w:t>
      </w:r>
      <w:hyperlink r:id="rId21" w:history="1">
        <w:r w:rsidR="006C0660" w:rsidRPr="006C0660">
          <w:rPr>
            <w:rFonts w:ascii="David" w:hAnsi="David"/>
            <w:color w:val="0000FF"/>
            <w:u w:val="single"/>
            <w:rtl/>
          </w:rPr>
          <w:t>ע"פ 5681/23</w:t>
        </w:r>
      </w:hyperlink>
      <w:r w:rsidRPr="00962C77">
        <w:rPr>
          <w:rFonts w:ascii="David" w:hAnsi="David" w:hint="cs"/>
          <w:rtl/>
        </w:rPr>
        <w:t xml:space="preserve"> </w:t>
      </w:r>
      <w:r w:rsidRPr="00962C77">
        <w:rPr>
          <w:rFonts w:ascii="David" w:hAnsi="David" w:hint="cs"/>
          <w:b/>
          <w:bCs/>
          <w:rtl/>
        </w:rPr>
        <w:t>נח חווא נ' מדינת ישראל</w:t>
      </w:r>
      <w:r>
        <w:rPr>
          <w:rFonts w:ascii="David" w:hAnsi="David" w:hint="cs"/>
          <w:rtl/>
        </w:rPr>
        <w:t xml:space="preserve"> (20.12.2023); </w:t>
      </w:r>
      <w:hyperlink r:id="rId22" w:history="1">
        <w:r w:rsidR="006C0660" w:rsidRPr="006C0660">
          <w:rPr>
            <w:rFonts w:ascii="David" w:hAnsi="David"/>
            <w:color w:val="0000FF"/>
            <w:u w:val="single"/>
            <w:rtl/>
          </w:rPr>
          <w:t>ע"פ 2251/21</w:t>
        </w:r>
      </w:hyperlink>
      <w:r w:rsidRPr="00C5113A">
        <w:rPr>
          <w:rFonts w:ascii="David" w:hAnsi="David"/>
          <w:color w:val="000000"/>
          <w:rtl/>
        </w:rPr>
        <w:t xml:space="preserve"> ‏</w:t>
      </w:r>
      <w:r w:rsidRPr="00C5113A">
        <w:rPr>
          <w:rFonts w:ascii="David" w:hAnsi="David"/>
          <w:b/>
          <w:bCs/>
          <w:color w:val="000000"/>
          <w:rtl/>
        </w:rPr>
        <w:t>אנואר אבו עראר נ' מדינת ישראל</w:t>
      </w:r>
      <w:r w:rsidRPr="00C5113A">
        <w:rPr>
          <w:rFonts w:ascii="David" w:hAnsi="David"/>
          <w:rtl/>
        </w:rPr>
        <w:t xml:space="preserve"> (15.12.2021); </w:t>
      </w:r>
      <w:hyperlink r:id="rId23" w:history="1">
        <w:r w:rsidR="006C0660" w:rsidRPr="006C0660">
          <w:rPr>
            <w:rFonts w:ascii="David" w:hAnsi="David"/>
            <w:color w:val="0000FF"/>
            <w:u w:val="single"/>
            <w:rtl/>
          </w:rPr>
          <w:t>ע"פ 4456/21</w:t>
        </w:r>
      </w:hyperlink>
      <w:r w:rsidRPr="00C5113A">
        <w:rPr>
          <w:rFonts w:ascii="David" w:hAnsi="David"/>
          <w:rtl/>
        </w:rPr>
        <w:t xml:space="preserve"> ‏</w:t>
      </w:r>
      <w:r w:rsidRPr="00C5113A">
        <w:rPr>
          <w:rFonts w:ascii="David" w:hAnsi="David"/>
          <w:b/>
          <w:bCs/>
          <w:rtl/>
        </w:rPr>
        <w:t>מדינת ישראל נ' מוחמד אבו עבסה</w:t>
      </w:r>
      <w:r w:rsidRPr="00C5113A">
        <w:rPr>
          <w:rFonts w:ascii="David" w:hAnsi="David"/>
          <w:rtl/>
        </w:rPr>
        <w:t xml:space="preserve">, פסקה 15 (23.1.2022); </w:t>
      </w:r>
      <w:hyperlink r:id="rId24" w:history="1">
        <w:r w:rsidR="006C0660" w:rsidRPr="006C0660">
          <w:rPr>
            <w:rFonts w:ascii="David" w:hAnsi="David"/>
            <w:color w:val="0000FF"/>
            <w:u w:val="single"/>
            <w:rtl/>
          </w:rPr>
          <w:t>רע"פ 3619/21</w:t>
        </w:r>
      </w:hyperlink>
      <w:r w:rsidRPr="00C5113A">
        <w:rPr>
          <w:rFonts w:ascii="David" w:hAnsi="David"/>
          <w:rtl/>
        </w:rPr>
        <w:t xml:space="preserve"> </w:t>
      </w:r>
      <w:r w:rsidRPr="00C5113A">
        <w:rPr>
          <w:rFonts w:ascii="David" w:hAnsi="David"/>
          <w:b/>
          <w:bCs/>
          <w:rtl/>
        </w:rPr>
        <w:t>אבו הלאל נ' מדינת ישראל</w:t>
      </w:r>
      <w:r w:rsidRPr="00C5113A">
        <w:rPr>
          <w:rFonts w:ascii="David" w:hAnsi="David"/>
          <w:rtl/>
        </w:rPr>
        <w:t xml:space="preserve"> (26.5.2021)).</w:t>
      </w:r>
      <w:r>
        <w:rPr>
          <w:rFonts w:ascii="David" w:hAnsi="David" w:hint="cs"/>
          <w:rtl/>
        </w:rPr>
        <w:t xml:space="preserve"> עם זאת, פסקי הדין בהם נקבעו כללים אלו עסקו בנשקים שבכוחם להרוג אדם ולא בנשקים שפעולתם הרעה מסתכמת בגרימת נזק (כרימון הלם).</w:t>
      </w:r>
    </w:p>
    <w:p w14:paraId="10A013CD" w14:textId="77777777" w:rsidR="001D52FA" w:rsidRPr="005A12CF" w:rsidRDefault="001D52FA" w:rsidP="001D52FA">
      <w:pPr>
        <w:ind w:right="1134"/>
        <w:jc w:val="both"/>
        <w:rPr>
          <w:rFonts w:ascii="David" w:hAnsi="David"/>
          <w:rtl/>
        </w:rPr>
      </w:pPr>
    </w:p>
    <w:p w14:paraId="68245AF7" w14:textId="77777777" w:rsidR="001D52FA" w:rsidRPr="00EA5067" w:rsidRDefault="001D52FA" w:rsidP="001D52FA">
      <w:pPr>
        <w:pStyle w:val="a9"/>
        <w:numPr>
          <w:ilvl w:val="0"/>
          <w:numId w:val="1"/>
        </w:numPr>
        <w:spacing w:line="360" w:lineRule="auto"/>
        <w:jc w:val="both"/>
        <w:rPr>
          <w:rFonts w:ascii="David" w:hAnsi="David"/>
          <w:rtl/>
        </w:rPr>
      </w:pPr>
      <w:r>
        <w:rPr>
          <w:rFonts w:ascii="David" w:hAnsi="David" w:hint="cs"/>
          <w:rtl/>
        </w:rPr>
        <w:t xml:space="preserve">כן ראוי להזכיר את </w:t>
      </w:r>
      <w:r>
        <w:rPr>
          <w:rFonts w:ascii="David" w:hAnsi="David"/>
          <w:rtl/>
        </w:rPr>
        <w:t>תיקון 140 ל</w:t>
      </w:r>
      <w:hyperlink r:id="rId25" w:history="1">
        <w:r w:rsidR="006C0660" w:rsidRPr="006C0660">
          <w:rPr>
            <w:rFonts w:ascii="David" w:hAnsi="David"/>
            <w:color w:val="0000FF"/>
            <w:u w:val="single"/>
            <w:rtl/>
          </w:rPr>
          <w:t>חוק העונשין</w:t>
        </w:r>
      </w:hyperlink>
      <w:r>
        <w:rPr>
          <w:rFonts w:ascii="David" w:hAnsi="David"/>
          <w:rtl/>
        </w:rPr>
        <w:t xml:space="preserve"> </w:t>
      </w:r>
      <w:r>
        <w:rPr>
          <w:rFonts w:ascii="David" w:hAnsi="David" w:hint="cs"/>
          <w:rtl/>
        </w:rPr>
        <w:t>ה</w:t>
      </w:r>
      <w:r>
        <w:rPr>
          <w:rFonts w:ascii="David" w:hAnsi="David"/>
          <w:rtl/>
        </w:rPr>
        <w:t xml:space="preserve">קובע </w:t>
      </w:r>
      <w:hyperlink r:id="rId26" w:history="1">
        <w:r w:rsidR="00B638CC" w:rsidRPr="00B638CC">
          <w:rPr>
            <w:rStyle w:val="Hyperlink"/>
            <w:rFonts w:ascii="David" w:hAnsi="David"/>
            <w:color w:val="0000FF"/>
            <w:rtl/>
          </w:rPr>
          <w:t>בסעיף 144(ז)</w:t>
        </w:r>
      </w:hyperlink>
      <w:r>
        <w:rPr>
          <w:rFonts w:ascii="David" w:hAnsi="David"/>
          <w:rtl/>
        </w:rPr>
        <w:t xml:space="preserve"> </w:t>
      </w:r>
      <w:r>
        <w:rPr>
          <w:rFonts w:ascii="David" w:hAnsi="David" w:hint="cs"/>
          <w:rtl/>
        </w:rPr>
        <w:t xml:space="preserve">עונש מזערי של רבע מהעונש המרבי ואת השלכתו על </w:t>
      </w:r>
      <w:r>
        <w:rPr>
          <w:rFonts w:ascii="David" w:hAnsi="David"/>
          <w:rtl/>
        </w:rPr>
        <w:t>מתחם הענישה (</w:t>
      </w:r>
      <w:hyperlink r:id="rId27" w:history="1">
        <w:r w:rsidR="006C0660" w:rsidRPr="006C0660">
          <w:rPr>
            <w:rFonts w:ascii="David" w:hAnsi="David"/>
            <w:color w:val="0000FF"/>
            <w:u w:val="single"/>
            <w:rtl/>
          </w:rPr>
          <w:t>ע"פ 1288/17</w:t>
        </w:r>
      </w:hyperlink>
      <w:r>
        <w:rPr>
          <w:rFonts w:ascii="David" w:hAnsi="David"/>
          <w:rtl/>
        </w:rPr>
        <w:t xml:space="preserve"> </w:t>
      </w:r>
      <w:r>
        <w:rPr>
          <w:rFonts w:ascii="David" w:hAnsi="David"/>
          <w:b/>
          <w:bCs/>
          <w:rtl/>
        </w:rPr>
        <w:t>מדינת ישראל נ' שנהר</w:t>
      </w:r>
      <w:r>
        <w:rPr>
          <w:rFonts w:ascii="David" w:hAnsi="David"/>
          <w:rtl/>
        </w:rPr>
        <w:t xml:space="preserve"> (3.10.2017); וראו בנושא גם </w:t>
      </w:r>
      <w:hyperlink r:id="rId28" w:history="1">
        <w:r w:rsidR="006C0660" w:rsidRPr="006C0660">
          <w:rPr>
            <w:rFonts w:ascii="David" w:hAnsi="David"/>
            <w:color w:val="0000FF"/>
            <w:u w:val="single"/>
            <w:rtl/>
          </w:rPr>
          <w:t>ע"פ 1693/23</w:t>
        </w:r>
      </w:hyperlink>
      <w:r>
        <w:rPr>
          <w:rFonts w:ascii="David" w:hAnsi="David"/>
          <w:rtl/>
        </w:rPr>
        <w:t xml:space="preserve"> </w:t>
      </w:r>
      <w:r>
        <w:rPr>
          <w:rFonts w:ascii="David" w:hAnsi="David"/>
          <w:b/>
          <w:bCs/>
          <w:rtl/>
        </w:rPr>
        <w:t>אסלאם אבו אחמד נ' מדינת ישראל</w:t>
      </w:r>
      <w:r>
        <w:rPr>
          <w:rFonts w:ascii="David" w:hAnsi="David"/>
          <w:rtl/>
        </w:rPr>
        <w:t xml:space="preserve"> (3.23.2023); </w:t>
      </w:r>
      <w:hyperlink r:id="rId29" w:history="1">
        <w:r w:rsidR="006C0660" w:rsidRPr="006C0660">
          <w:rPr>
            <w:rFonts w:ascii="David" w:hAnsi="David"/>
            <w:color w:val="0000FF"/>
            <w:u w:val="single"/>
            <w:rtl/>
          </w:rPr>
          <w:t>ע"פ 8687/20</w:t>
        </w:r>
      </w:hyperlink>
      <w:r>
        <w:rPr>
          <w:rFonts w:ascii="David" w:hAnsi="David"/>
          <w:rtl/>
        </w:rPr>
        <w:t xml:space="preserve"> </w:t>
      </w:r>
      <w:r>
        <w:rPr>
          <w:rFonts w:ascii="David" w:hAnsi="David"/>
          <w:b/>
          <w:bCs/>
          <w:rtl/>
        </w:rPr>
        <w:t>פלוני נ' מדינת ישראל</w:t>
      </w:r>
      <w:r>
        <w:rPr>
          <w:rFonts w:ascii="David" w:hAnsi="David"/>
          <w:rtl/>
        </w:rPr>
        <w:t xml:space="preserve"> (29.8.2021)). </w:t>
      </w:r>
      <w:r>
        <w:rPr>
          <w:rFonts w:ascii="David" w:hAnsi="David" w:hint="cs"/>
          <w:rtl/>
        </w:rPr>
        <w:t xml:space="preserve">בענייננו, מדובר בעונש מרבי של 7 שנות מאסר ולכן עונש המינימום הוא בן 21 חודשי מאסר, </w:t>
      </w:r>
      <w:r w:rsidRPr="00EA5067">
        <w:rPr>
          <w:rFonts w:ascii="David" w:hAnsi="David"/>
          <w:rtl/>
        </w:rPr>
        <w:t xml:space="preserve">כאשר מדובר במאסר בפועל ועל תנאי יחדיו, שהרי </w:t>
      </w:r>
      <w:r w:rsidRPr="00EA5067">
        <w:rPr>
          <w:rFonts w:ascii="Miriam" w:hAnsi="Miriam" w:cs="Miriam"/>
          <w:rtl/>
        </w:rPr>
        <w:t>"עונש מאסר, בין שנקבע לריצוי בפועל ובין שהוטל על</w:t>
      </w:r>
      <w:r w:rsidRPr="00EA5067">
        <w:rPr>
          <w:rFonts w:ascii="Miriam" w:hAnsi="Miriam" w:cs="Miriam"/>
          <w:position w:val="4"/>
          <w:sz w:val="22"/>
          <w:rtl/>
        </w:rPr>
        <w:t>-</w:t>
      </w:r>
      <w:r w:rsidRPr="00EA5067">
        <w:rPr>
          <w:rFonts w:ascii="Miriam" w:hAnsi="Miriam" w:cs="Miriam"/>
          <w:rtl/>
        </w:rPr>
        <w:t>תנאי, הוא אותו עונש. אלא שעונש המאסר על</w:t>
      </w:r>
      <w:r w:rsidRPr="00EA5067">
        <w:rPr>
          <w:rFonts w:ascii="Miriam" w:hAnsi="Miriam" w:cs="Miriam"/>
          <w:position w:val="4"/>
          <w:sz w:val="22"/>
          <w:rtl/>
        </w:rPr>
        <w:t>-</w:t>
      </w:r>
      <w:r w:rsidRPr="00EA5067">
        <w:rPr>
          <w:rFonts w:ascii="Miriam" w:hAnsi="Miriam" w:cs="Miriam"/>
          <w:rtl/>
        </w:rPr>
        <w:t xml:space="preserve">תנאי הוא בבחינת מאסר שריצויו נדחה" </w:t>
      </w:r>
      <w:r w:rsidRPr="00EA5067">
        <w:rPr>
          <w:rFonts w:ascii="David" w:hAnsi="David"/>
          <w:rtl/>
        </w:rPr>
        <w:t xml:space="preserve">(ע"פ 5798/00 </w:t>
      </w:r>
      <w:r w:rsidRPr="00EA5067">
        <w:rPr>
          <w:rFonts w:ascii="David" w:hAnsi="David"/>
          <w:b/>
          <w:bCs/>
          <w:rtl/>
        </w:rPr>
        <w:t>ריזי ואח' נ' מדינת ישראל</w:t>
      </w:r>
      <w:r w:rsidRPr="00EA5067">
        <w:rPr>
          <w:rFonts w:ascii="David" w:hAnsi="David"/>
          <w:rtl/>
        </w:rPr>
        <w:t xml:space="preserve"> (12.2.2001), פסקה 6; וראו גם </w:t>
      </w:r>
      <w:hyperlink r:id="rId30" w:history="1">
        <w:r w:rsidR="006C0660" w:rsidRPr="006C0660">
          <w:rPr>
            <w:rFonts w:ascii="David" w:hAnsi="David"/>
            <w:color w:val="0000FF"/>
            <w:u w:val="single"/>
            <w:rtl/>
          </w:rPr>
          <w:t>ע"פ 5023/99</w:t>
        </w:r>
      </w:hyperlink>
      <w:r w:rsidRPr="00EA5067">
        <w:rPr>
          <w:rFonts w:ascii="David" w:hAnsi="David"/>
          <w:rtl/>
        </w:rPr>
        <w:t xml:space="preserve"> </w:t>
      </w:r>
      <w:r w:rsidRPr="00EA5067">
        <w:rPr>
          <w:rFonts w:ascii="David" w:hAnsi="David"/>
          <w:b/>
          <w:bCs/>
          <w:rtl/>
        </w:rPr>
        <w:t>יוסף חכמי נ' מדינת ישראל</w:t>
      </w:r>
      <w:r w:rsidRPr="00EA5067">
        <w:rPr>
          <w:rFonts w:ascii="David" w:hAnsi="David"/>
          <w:rtl/>
        </w:rPr>
        <w:t xml:space="preserve"> </w:t>
      </w:r>
      <w:r>
        <w:rPr>
          <w:rFonts w:ascii="David" w:hAnsi="David" w:hint="cs"/>
          <w:rtl/>
        </w:rPr>
        <w:t>(</w:t>
      </w:r>
      <w:r w:rsidRPr="00EA5067">
        <w:rPr>
          <w:rFonts w:ascii="David" w:hAnsi="David"/>
          <w:rtl/>
        </w:rPr>
        <w:t xml:space="preserve">15.3.2001), פסקה 6 לפסק דינה של כב' השופטת פרוקצ'יה). ואולם, בהתאם </w:t>
      </w:r>
      <w:hyperlink r:id="rId31" w:history="1">
        <w:r w:rsidR="00B638CC" w:rsidRPr="00B638CC">
          <w:rPr>
            <w:rStyle w:val="Hyperlink"/>
            <w:rFonts w:ascii="David" w:hAnsi="David" w:hint="eastAsia"/>
            <w:color w:val="0000FF"/>
            <w:rtl/>
          </w:rPr>
          <w:t>לסעיף</w:t>
        </w:r>
        <w:r w:rsidR="00B638CC" w:rsidRPr="00B638CC">
          <w:rPr>
            <w:rStyle w:val="Hyperlink"/>
            <w:rFonts w:ascii="David" w:hAnsi="David"/>
            <w:color w:val="0000FF"/>
            <w:rtl/>
          </w:rPr>
          <w:t xml:space="preserve"> 144(ז)</w:t>
        </w:r>
      </w:hyperlink>
      <w:r>
        <w:rPr>
          <w:rFonts w:ascii="David" w:hAnsi="David" w:hint="cs"/>
          <w:rtl/>
        </w:rPr>
        <w:t xml:space="preserve"> סיפא, </w:t>
      </w:r>
      <w:r w:rsidRPr="00EA5067">
        <w:rPr>
          <w:rFonts w:ascii="David" w:hAnsi="David"/>
          <w:rtl/>
        </w:rPr>
        <w:t>אין להטיל עונש מאסר שכולו על תנאי</w:t>
      </w:r>
      <w:r>
        <w:rPr>
          <w:rFonts w:ascii="David" w:hAnsi="David" w:hint="cs"/>
          <w:rtl/>
        </w:rPr>
        <w:t xml:space="preserve">, אלא מטעמים מיוחדים, כך שככלל </w:t>
      </w:r>
      <w:r w:rsidRPr="00EA5067">
        <w:rPr>
          <w:rFonts w:ascii="David" w:hAnsi="David"/>
          <w:rtl/>
        </w:rPr>
        <w:t>קיימת חובה להטיל עונש מאסר בפועל כלשהו</w:t>
      </w:r>
      <w:r>
        <w:rPr>
          <w:rFonts w:ascii="David" w:hAnsi="David" w:hint="cs"/>
          <w:rtl/>
        </w:rPr>
        <w:t>.</w:t>
      </w:r>
    </w:p>
    <w:p w14:paraId="55C2981C" w14:textId="77777777" w:rsidR="001D52FA" w:rsidRDefault="001D52FA" w:rsidP="001D52FA">
      <w:pPr>
        <w:pStyle w:val="a9"/>
        <w:spacing w:line="360" w:lineRule="auto"/>
        <w:ind w:left="0"/>
        <w:jc w:val="both"/>
        <w:rPr>
          <w:rFonts w:ascii="David" w:hAnsi="David"/>
          <w:rtl/>
        </w:rPr>
      </w:pPr>
    </w:p>
    <w:p w14:paraId="255256F8" w14:textId="77777777" w:rsidR="001D52FA" w:rsidRDefault="001D52FA" w:rsidP="001D52FA">
      <w:pPr>
        <w:pStyle w:val="a9"/>
        <w:numPr>
          <w:ilvl w:val="0"/>
          <w:numId w:val="1"/>
        </w:numPr>
        <w:spacing w:line="360" w:lineRule="auto"/>
        <w:jc w:val="both"/>
        <w:rPr>
          <w:rFonts w:ascii="David" w:hAnsi="David"/>
        </w:rPr>
      </w:pPr>
      <w:r>
        <w:rPr>
          <w:rFonts w:ascii="David" w:hAnsi="David" w:hint="cs"/>
          <w:rtl/>
        </w:rPr>
        <w:t xml:space="preserve">לצורך בחינת מדיניות הענישה הנוהגת בעבירת החזקת רימון הלם אפנה לפסקי הדין הבאים, בשינויים המחויבים: </w:t>
      </w:r>
    </w:p>
    <w:p w14:paraId="62DF380A" w14:textId="77777777" w:rsidR="001D52FA" w:rsidRPr="004C02A0" w:rsidRDefault="001D52FA" w:rsidP="001D52FA">
      <w:pPr>
        <w:pStyle w:val="a9"/>
        <w:rPr>
          <w:rFonts w:ascii="David" w:hAnsi="David"/>
          <w:rtl/>
        </w:rPr>
      </w:pPr>
    </w:p>
    <w:p w14:paraId="2875D092" w14:textId="77777777" w:rsidR="001D52FA" w:rsidRDefault="001D52FA" w:rsidP="001D52FA">
      <w:pPr>
        <w:pStyle w:val="a9"/>
        <w:spacing w:line="360" w:lineRule="auto"/>
        <w:jc w:val="both"/>
        <w:rPr>
          <w:rFonts w:ascii="David" w:hAnsi="David"/>
          <w:rtl/>
        </w:rPr>
      </w:pPr>
      <w:r>
        <w:rPr>
          <w:rFonts w:ascii="David" w:hAnsi="David" w:hint="cs"/>
          <w:rtl/>
        </w:rPr>
        <w:t>(-)</w:t>
      </w:r>
      <w:r>
        <w:rPr>
          <w:rFonts w:ascii="David" w:hAnsi="David"/>
          <w:rtl/>
        </w:rPr>
        <w:tab/>
      </w:r>
      <w:hyperlink r:id="rId32" w:history="1">
        <w:r w:rsidR="006C0660" w:rsidRPr="006C0660">
          <w:rPr>
            <w:rFonts w:ascii="David" w:hAnsi="David"/>
            <w:color w:val="0000FF"/>
            <w:u w:val="single"/>
            <w:rtl/>
          </w:rPr>
          <w:t>ת"פ (מחוזי-חיפה) 22642-11-23</w:t>
        </w:r>
      </w:hyperlink>
      <w:r w:rsidRPr="00941060">
        <w:rPr>
          <w:rFonts w:ascii="David" w:hAnsi="David"/>
          <w:rtl/>
        </w:rPr>
        <w:t xml:space="preserve"> </w:t>
      </w:r>
      <w:r w:rsidRPr="00183DF3">
        <w:rPr>
          <w:rFonts w:ascii="David" w:hAnsi="David"/>
          <w:b/>
          <w:bCs/>
          <w:rtl/>
        </w:rPr>
        <w:t>מדינת ישראל נ' זידאן טאהא</w:t>
      </w:r>
      <w:r>
        <w:rPr>
          <w:rFonts w:ascii="David" w:hAnsi="David" w:hint="cs"/>
          <w:rtl/>
        </w:rPr>
        <w:t xml:space="preserve"> (5.2.2024), בו נידון עניינו של נאשם שהחזיק על רצפת רכב סמוך לרגליו רימון הלם. בית המשפט המחוזי קבע מתחם ענישה הנע בין 8-20 חודשי מאסר בפועל ועל הנאשם נגזרו שמונה חודשי מאסר לריצוי בעבודות שירות.</w:t>
      </w:r>
    </w:p>
    <w:p w14:paraId="4ACF2AF5" w14:textId="77777777" w:rsidR="001D52FA" w:rsidRDefault="001D52FA" w:rsidP="001D52FA">
      <w:pPr>
        <w:pStyle w:val="a9"/>
        <w:jc w:val="both"/>
        <w:rPr>
          <w:rFonts w:ascii="David" w:hAnsi="David"/>
          <w:rtl/>
        </w:rPr>
      </w:pPr>
    </w:p>
    <w:p w14:paraId="08AFE282" w14:textId="77777777" w:rsidR="001D52FA" w:rsidRDefault="001D52FA" w:rsidP="001D52FA">
      <w:pPr>
        <w:pStyle w:val="a9"/>
        <w:spacing w:line="360" w:lineRule="auto"/>
        <w:jc w:val="both"/>
        <w:rPr>
          <w:rFonts w:ascii="David" w:hAnsi="David"/>
          <w:rtl/>
        </w:rPr>
      </w:pPr>
      <w:r>
        <w:rPr>
          <w:rFonts w:ascii="David" w:hAnsi="David" w:hint="cs"/>
          <w:rtl/>
        </w:rPr>
        <w:t>(-)</w:t>
      </w:r>
      <w:r>
        <w:rPr>
          <w:rFonts w:ascii="David" w:hAnsi="David"/>
          <w:rtl/>
        </w:rPr>
        <w:tab/>
      </w:r>
      <w:hyperlink r:id="rId33" w:history="1">
        <w:r w:rsidR="006C0660" w:rsidRPr="006C0660">
          <w:rPr>
            <w:rFonts w:ascii="David" w:hAnsi="David"/>
            <w:color w:val="0000FF"/>
            <w:u w:val="single"/>
            <w:rtl/>
          </w:rPr>
          <w:t>ת"פ (מחוזי-חיפה) 13154-01-18</w:t>
        </w:r>
      </w:hyperlink>
      <w:r>
        <w:rPr>
          <w:rFonts w:ascii="David" w:hAnsi="David" w:hint="cs"/>
          <w:rtl/>
        </w:rPr>
        <w:t xml:space="preserve"> </w:t>
      </w:r>
      <w:r w:rsidRPr="00021D74">
        <w:rPr>
          <w:rFonts w:ascii="David" w:hAnsi="David" w:hint="cs"/>
          <w:b/>
          <w:bCs/>
          <w:rtl/>
        </w:rPr>
        <w:t>מדינת ישראל נ' תיתי</w:t>
      </w:r>
      <w:r>
        <w:rPr>
          <w:rFonts w:ascii="David" w:hAnsi="David" w:hint="cs"/>
          <w:rtl/>
        </w:rPr>
        <w:t xml:space="preserve"> (12.6.2018),</w:t>
      </w:r>
      <w:r>
        <w:rPr>
          <w:rFonts w:ascii="David" w:hAnsi="David" w:hint="cs"/>
        </w:rPr>
        <w:t xml:space="preserve"> </w:t>
      </w:r>
      <w:r>
        <w:rPr>
          <w:rFonts w:ascii="David" w:hAnsi="David" w:hint="cs"/>
          <w:rtl/>
        </w:rPr>
        <w:t xml:space="preserve">בו הורשע אחד הנאשמים בפרשה בעבירות של נשיאת נשק ומעשה פזיזות. במקרה זה אחיו של נאשם זה השליך רימון הלם על דירת קרוב משפחה והעבירה יוחסה לנאשם זה מכוח דיני השותפות. בית המשפט המחוזי קבע בעניינו מתחם ענישה הנע בין 4-18 חודשי מאסר והטיל עליו בסופו של יום 5 חודשי מאסר בעבודות שירות. </w:t>
      </w:r>
    </w:p>
    <w:p w14:paraId="5E913F1C" w14:textId="77777777" w:rsidR="001D52FA" w:rsidRDefault="001D52FA" w:rsidP="001D52FA">
      <w:pPr>
        <w:pStyle w:val="a9"/>
        <w:jc w:val="both"/>
        <w:rPr>
          <w:rFonts w:ascii="David" w:hAnsi="David"/>
          <w:rtl/>
        </w:rPr>
      </w:pPr>
    </w:p>
    <w:p w14:paraId="052F039F" w14:textId="77777777" w:rsidR="001D52FA" w:rsidRDefault="001D52FA" w:rsidP="001D52FA">
      <w:pPr>
        <w:pStyle w:val="a9"/>
        <w:spacing w:line="360" w:lineRule="auto"/>
        <w:jc w:val="both"/>
        <w:rPr>
          <w:rFonts w:ascii="David" w:hAnsi="David"/>
          <w:rtl/>
        </w:rPr>
      </w:pPr>
      <w:r>
        <w:rPr>
          <w:rFonts w:ascii="David" w:hAnsi="David" w:hint="cs"/>
          <w:rtl/>
        </w:rPr>
        <w:t>(-)</w:t>
      </w:r>
      <w:r>
        <w:rPr>
          <w:rFonts w:ascii="David" w:hAnsi="David"/>
          <w:rtl/>
        </w:rPr>
        <w:tab/>
      </w:r>
      <w:hyperlink r:id="rId34" w:history="1">
        <w:r w:rsidR="006C0660" w:rsidRPr="006C0660">
          <w:rPr>
            <w:rFonts w:ascii="David" w:hAnsi="David"/>
            <w:color w:val="0000FF"/>
            <w:u w:val="single"/>
            <w:rtl/>
          </w:rPr>
          <w:t>ת"פ (מחוזי-חיפה) 52415-02-23</w:t>
        </w:r>
      </w:hyperlink>
      <w:r>
        <w:rPr>
          <w:rFonts w:ascii="David" w:hAnsi="David" w:hint="cs"/>
          <w:rtl/>
        </w:rPr>
        <w:t xml:space="preserve"> </w:t>
      </w:r>
      <w:r>
        <w:rPr>
          <w:rFonts w:ascii="David" w:hAnsi="David" w:hint="cs"/>
          <w:b/>
          <w:bCs/>
          <w:rtl/>
        </w:rPr>
        <w:t>מדינת ישראל נ' כרג'ה</w:t>
      </w:r>
      <w:r>
        <w:rPr>
          <w:rFonts w:ascii="David" w:hAnsi="David" w:hint="cs"/>
          <w:rtl/>
        </w:rPr>
        <w:t xml:space="preserve"> (9.5.2023), בו נידון עניינו של נאשם שהורשע בהחזקת, הובלת ונשיאת רימון הלם ובקבלת חלקי רכב גנובים ונידון לשמונה חודשי מאסר בפועל ועונשים נלווים. הנאשם נסע עם אחרים ברכב על מנת להשליך רימון הלם לעבר ביתו של המתלונן. החבורה נעצרה על מנת להחליף את לוחית הזיהוי של הרכב, אז נעצרו על ידי שוטרים. בית המשפט המחוזי קבע מתחם ענישה הנע בין 8-20 חודשי מאסר בפועל תוך דגש על טיבו של הנשק (רימון הלם), חלקו של הנאשם והעובדה כי התוכנית העבריינית לא יצאה לפועל. כן ראו </w:t>
      </w:r>
      <w:r w:rsidRPr="00CE46F8">
        <w:rPr>
          <w:rFonts w:ascii="David" w:hAnsi="David" w:hint="cs"/>
          <w:rtl/>
        </w:rPr>
        <w:t xml:space="preserve">ת"פ 52428-02-23 </w:t>
      </w:r>
      <w:r w:rsidRPr="00CE46F8">
        <w:rPr>
          <w:rFonts w:ascii="David" w:hAnsi="David" w:hint="cs"/>
          <w:b/>
          <w:bCs/>
          <w:rtl/>
        </w:rPr>
        <w:t>מדינת ישראל נ' מחמוד</w:t>
      </w:r>
      <w:r w:rsidRPr="00CE46F8">
        <w:rPr>
          <w:rFonts w:ascii="David" w:hAnsi="David" w:hint="cs"/>
          <w:rtl/>
        </w:rPr>
        <w:t xml:space="preserve"> (4.4.2023), בו נידון עניינו של נאשם</w:t>
      </w:r>
      <w:r>
        <w:rPr>
          <w:rFonts w:ascii="David" w:hAnsi="David" w:hint="cs"/>
          <w:rtl/>
        </w:rPr>
        <w:t xml:space="preserve"> אחר באותה פרשה</w:t>
      </w:r>
      <w:r w:rsidRPr="00CE46F8">
        <w:rPr>
          <w:rFonts w:ascii="David" w:hAnsi="David" w:hint="cs"/>
          <w:rtl/>
        </w:rPr>
        <w:t xml:space="preserve"> שהורשע בסיוע </w:t>
      </w:r>
      <w:r>
        <w:rPr>
          <w:rFonts w:ascii="David" w:hAnsi="David" w:hint="cs"/>
          <w:rtl/>
        </w:rPr>
        <w:t>לעבירות אלו</w:t>
      </w:r>
      <w:r w:rsidRPr="00CE46F8">
        <w:rPr>
          <w:rFonts w:ascii="David" w:hAnsi="David" w:hint="cs"/>
          <w:rtl/>
        </w:rPr>
        <w:t xml:space="preserve"> ונידון לחמישה חודשי מאסר לריצוי בעבודות שירות ועונשים נלווים</w:t>
      </w:r>
      <w:r>
        <w:rPr>
          <w:rFonts w:ascii="David" w:hAnsi="David" w:hint="cs"/>
          <w:rtl/>
        </w:rPr>
        <w:t xml:space="preserve">. </w:t>
      </w:r>
    </w:p>
    <w:p w14:paraId="77AA9432" w14:textId="77777777" w:rsidR="001D52FA" w:rsidRDefault="001D52FA" w:rsidP="001D52FA">
      <w:pPr>
        <w:pStyle w:val="a9"/>
        <w:spacing w:line="360" w:lineRule="auto"/>
        <w:jc w:val="both"/>
        <w:rPr>
          <w:rFonts w:ascii="David" w:hAnsi="David"/>
          <w:rtl/>
        </w:rPr>
      </w:pPr>
    </w:p>
    <w:p w14:paraId="66042D29" w14:textId="77777777" w:rsidR="001D52FA" w:rsidRPr="00CE46F8" w:rsidRDefault="001D52FA" w:rsidP="001D52FA">
      <w:pPr>
        <w:pStyle w:val="a9"/>
        <w:spacing w:line="360" w:lineRule="auto"/>
        <w:jc w:val="both"/>
        <w:rPr>
          <w:rFonts w:ascii="David" w:hAnsi="David"/>
        </w:rPr>
      </w:pPr>
      <w:r>
        <w:rPr>
          <w:rFonts w:ascii="David" w:hAnsi="David" w:hint="cs"/>
          <w:rtl/>
        </w:rPr>
        <w:t>(-)</w:t>
      </w:r>
      <w:r>
        <w:rPr>
          <w:rFonts w:ascii="David" w:hAnsi="David"/>
          <w:rtl/>
        </w:rPr>
        <w:tab/>
      </w:r>
      <w:hyperlink r:id="rId35" w:history="1">
        <w:r w:rsidR="006C0660" w:rsidRPr="006C0660">
          <w:rPr>
            <w:rFonts w:ascii="David" w:hAnsi="David"/>
            <w:color w:val="0000FF"/>
            <w:u w:val="single"/>
            <w:rtl/>
          </w:rPr>
          <w:t>ת"פ (מחוזי-חיפה) 2066-10-23</w:t>
        </w:r>
      </w:hyperlink>
      <w:r>
        <w:rPr>
          <w:rFonts w:ascii="David" w:hAnsi="David" w:hint="cs"/>
          <w:rtl/>
        </w:rPr>
        <w:t xml:space="preserve"> </w:t>
      </w:r>
      <w:r w:rsidRPr="00152B80">
        <w:rPr>
          <w:rFonts w:ascii="David" w:hAnsi="David" w:hint="cs"/>
          <w:b/>
          <w:bCs/>
          <w:rtl/>
        </w:rPr>
        <w:t>מדינת ישראל נ' חטיב</w:t>
      </w:r>
      <w:r>
        <w:rPr>
          <w:rFonts w:ascii="David" w:hAnsi="David" w:hint="cs"/>
          <w:rtl/>
        </w:rPr>
        <w:t xml:space="preserve"> (13.3.2024), בו נידון נאשם בעבירת נשיאה והובלה של רימון יד מדוכה (רימון גז שבכוחו להזיק ולא להמית). בית המשפט המחוזי קבע מתחם ענישה הנע בין 6-18 חודשי מאסר והטיל על הנאשם עונש מאסר למשך 6 חודשים בעבודות שירות.</w:t>
      </w:r>
    </w:p>
    <w:p w14:paraId="4945666B" w14:textId="77777777" w:rsidR="001D52FA" w:rsidRPr="002463B6" w:rsidRDefault="001D52FA" w:rsidP="001D52FA">
      <w:pPr>
        <w:pStyle w:val="a9"/>
        <w:jc w:val="both"/>
        <w:rPr>
          <w:rFonts w:ascii="David" w:hAnsi="David"/>
          <w:rtl/>
        </w:rPr>
      </w:pPr>
    </w:p>
    <w:p w14:paraId="0676FFA0" w14:textId="77777777" w:rsidR="001D52FA" w:rsidRDefault="001D52FA" w:rsidP="001D52FA">
      <w:pPr>
        <w:pStyle w:val="a9"/>
        <w:spacing w:line="360" w:lineRule="auto"/>
        <w:jc w:val="both"/>
        <w:rPr>
          <w:rFonts w:ascii="David" w:hAnsi="David"/>
          <w:rtl/>
        </w:rPr>
      </w:pPr>
      <w:r>
        <w:rPr>
          <w:rFonts w:ascii="David" w:hAnsi="David" w:hint="cs"/>
          <w:rtl/>
        </w:rPr>
        <w:t>(-)</w:t>
      </w:r>
      <w:r>
        <w:rPr>
          <w:rFonts w:ascii="David" w:hAnsi="David"/>
          <w:rtl/>
        </w:rPr>
        <w:tab/>
      </w:r>
      <w:hyperlink r:id="rId36" w:history="1">
        <w:r w:rsidR="006C0660" w:rsidRPr="006C0660">
          <w:rPr>
            <w:rFonts w:ascii="David" w:hAnsi="David"/>
            <w:color w:val="0000FF"/>
            <w:u w:val="single"/>
            <w:rtl/>
          </w:rPr>
          <w:t>ת"פ (ב"ש) 26547-09-21</w:t>
        </w:r>
      </w:hyperlink>
      <w:r>
        <w:rPr>
          <w:rFonts w:ascii="David" w:hAnsi="David" w:hint="cs"/>
          <w:rtl/>
        </w:rPr>
        <w:t xml:space="preserve"> </w:t>
      </w:r>
      <w:r w:rsidRPr="00725D01">
        <w:rPr>
          <w:rFonts w:ascii="David" w:hAnsi="David" w:hint="cs"/>
          <w:b/>
          <w:bCs/>
          <w:rtl/>
        </w:rPr>
        <w:t>מדינת ישראל נ' אלחסוני</w:t>
      </w:r>
      <w:r>
        <w:rPr>
          <w:rFonts w:ascii="David" w:hAnsi="David" w:hint="cs"/>
          <w:rtl/>
        </w:rPr>
        <w:t xml:space="preserve"> (12.1.2023),</w:t>
      </w:r>
      <w:r>
        <w:rPr>
          <w:rFonts w:ascii="David" w:hAnsi="David" w:hint="cs"/>
        </w:rPr>
        <w:t xml:space="preserve"> </w:t>
      </w:r>
      <w:r>
        <w:rPr>
          <w:rFonts w:ascii="David" w:hAnsi="David" w:hint="cs"/>
          <w:rtl/>
        </w:rPr>
        <w:t xml:space="preserve">בו נקבע מתחם ענישה הנע בין 6-20 חודשי מאסר בגין החזקת רימון הלם סנוור במחסן בית. על הנאשם הוטלו 7 חודשי מאסר בעבודות שירות. עברו של הנאשם לא היה נקי והוא נשא בעבר עונש מאסר. </w:t>
      </w:r>
    </w:p>
    <w:p w14:paraId="1E394E0E" w14:textId="77777777" w:rsidR="001D52FA" w:rsidRDefault="001D52FA" w:rsidP="001D52FA">
      <w:pPr>
        <w:pStyle w:val="a9"/>
        <w:jc w:val="both"/>
        <w:rPr>
          <w:rFonts w:ascii="David" w:hAnsi="David"/>
          <w:rtl/>
        </w:rPr>
      </w:pPr>
    </w:p>
    <w:p w14:paraId="17743A04" w14:textId="77777777" w:rsidR="001D52FA" w:rsidRDefault="001D52FA" w:rsidP="001D52FA">
      <w:pPr>
        <w:pStyle w:val="a9"/>
        <w:spacing w:line="360" w:lineRule="auto"/>
        <w:jc w:val="both"/>
        <w:rPr>
          <w:rFonts w:ascii="David" w:hAnsi="David"/>
          <w:rtl/>
        </w:rPr>
      </w:pPr>
      <w:r>
        <w:rPr>
          <w:rFonts w:ascii="David" w:hAnsi="David" w:hint="cs"/>
          <w:rtl/>
        </w:rPr>
        <w:t>(-)</w:t>
      </w:r>
      <w:r>
        <w:rPr>
          <w:rFonts w:ascii="David" w:hAnsi="David"/>
          <w:rtl/>
        </w:rPr>
        <w:tab/>
      </w:r>
      <w:hyperlink r:id="rId37" w:history="1">
        <w:r w:rsidR="006C0660" w:rsidRPr="006C0660">
          <w:rPr>
            <w:rFonts w:ascii="David" w:hAnsi="David"/>
            <w:color w:val="0000FF"/>
            <w:u w:val="single"/>
            <w:rtl/>
          </w:rPr>
          <w:t>ת"פ (עכו) 3256-09-21</w:t>
        </w:r>
      </w:hyperlink>
      <w:r>
        <w:rPr>
          <w:rFonts w:ascii="David" w:hAnsi="David" w:hint="cs"/>
          <w:rtl/>
        </w:rPr>
        <w:t xml:space="preserve"> </w:t>
      </w:r>
      <w:r w:rsidRPr="00AF5395">
        <w:rPr>
          <w:rFonts w:ascii="David" w:hAnsi="David" w:hint="cs"/>
          <w:b/>
          <w:bCs/>
          <w:rtl/>
        </w:rPr>
        <w:t>מדינת ישראל נ' סואעד</w:t>
      </w:r>
      <w:r>
        <w:rPr>
          <w:rFonts w:ascii="David" w:hAnsi="David" w:hint="cs"/>
          <w:rtl/>
        </w:rPr>
        <w:t xml:space="preserve"> (15.3.2022), בו נקבע מתחם ענישה הנע בין 9-20 חודשי מאסר בגין החזקת רימון הלם בודד בחדרו של הנאשם. על הנאשם, שעברו היה נקי, הוטלו 9 חודשי מאסר בעבודות שירות. </w:t>
      </w:r>
    </w:p>
    <w:p w14:paraId="60E27781" w14:textId="77777777" w:rsidR="001D52FA" w:rsidRDefault="001D52FA" w:rsidP="001D52FA">
      <w:pPr>
        <w:pStyle w:val="a9"/>
        <w:spacing w:line="360" w:lineRule="auto"/>
        <w:jc w:val="both"/>
        <w:rPr>
          <w:rFonts w:ascii="David" w:hAnsi="David"/>
          <w:rtl/>
        </w:rPr>
      </w:pPr>
    </w:p>
    <w:p w14:paraId="6B0F77B6" w14:textId="77777777" w:rsidR="001D52FA" w:rsidRDefault="001D52FA" w:rsidP="001D52FA">
      <w:pPr>
        <w:pStyle w:val="a9"/>
        <w:spacing w:line="360" w:lineRule="auto"/>
        <w:jc w:val="both"/>
        <w:rPr>
          <w:rFonts w:ascii="David" w:hAnsi="David"/>
          <w:rtl/>
        </w:rPr>
      </w:pPr>
      <w:r>
        <w:rPr>
          <w:rFonts w:ascii="David" w:hAnsi="David" w:hint="cs"/>
          <w:rtl/>
        </w:rPr>
        <w:t>(-)</w:t>
      </w:r>
      <w:r>
        <w:rPr>
          <w:rFonts w:ascii="David" w:hAnsi="David"/>
          <w:rtl/>
        </w:rPr>
        <w:tab/>
      </w:r>
      <w:hyperlink r:id="rId38" w:history="1">
        <w:r w:rsidR="006C0660" w:rsidRPr="006C0660">
          <w:rPr>
            <w:rFonts w:ascii="David" w:hAnsi="David"/>
            <w:color w:val="0000FF"/>
            <w:u w:val="single"/>
            <w:rtl/>
          </w:rPr>
          <w:t>ת"פ 63953-01-24</w:t>
        </w:r>
      </w:hyperlink>
      <w:r w:rsidRPr="00151AE5">
        <w:rPr>
          <w:rFonts w:ascii="David" w:hAnsi="David"/>
          <w:rtl/>
        </w:rPr>
        <w:t xml:space="preserve"> </w:t>
      </w:r>
      <w:r w:rsidRPr="00151AE5">
        <w:rPr>
          <w:rFonts w:ascii="David" w:hAnsi="David"/>
          <w:b/>
          <w:bCs/>
          <w:rtl/>
        </w:rPr>
        <w:t>מדינת ישרא</w:t>
      </w:r>
      <w:r>
        <w:rPr>
          <w:rFonts w:ascii="David" w:hAnsi="David" w:hint="cs"/>
          <w:b/>
          <w:bCs/>
          <w:rtl/>
        </w:rPr>
        <w:t>ל</w:t>
      </w:r>
      <w:r w:rsidRPr="00151AE5">
        <w:rPr>
          <w:rFonts w:ascii="David" w:hAnsi="David"/>
          <w:b/>
          <w:bCs/>
          <w:rtl/>
        </w:rPr>
        <w:t xml:space="preserve"> נ' נחמן עובדיה</w:t>
      </w:r>
      <w:r>
        <w:rPr>
          <w:rFonts w:ascii="David" w:hAnsi="David" w:hint="cs"/>
          <w:rtl/>
        </w:rPr>
        <w:t xml:space="preserve"> (4.8.2024), בו נידון עניינו של נאשם שהחזיק שני רימוני הלם, </w:t>
      </w:r>
      <w:r w:rsidRPr="004C02A0">
        <w:rPr>
          <w:rFonts w:ascii="David" w:hAnsi="David" w:hint="cs"/>
          <w:rtl/>
        </w:rPr>
        <w:t>שני בקבוקי תבערה</w:t>
      </w:r>
      <w:r>
        <w:rPr>
          <w:rFonts w:ascii="David" w:hAnsi="David" w:hint="cs"/>
          <w:rtl/>
        </w:rPr>
        <w:t xml:space="preserve"> וקנביס במשקל 28 גרם. בית המשפט קבע מתחם ענישה הנע בין 12-24 חודשי מאסר ועל הנאשם, צעיר ללא עבר פלילי, הוטלו 14 חודשי מאסר בפועל.</w:t>
      </w:r>
    </w:p>
    <w:p w14:paraId="4B7077E1" w14:textId="77777777" w:rsidR="001D52FA" w:rsidRDefault="001D52FA" w:rsidP="001D52FA">
      <w:pPr>
        <w:pStyle w:val="a9"/>
        <w:ind w:left="0"/>
        <w:jc w:val="both"/>
        <w:rPr>
          <w:rFonts w:ascii="David" w:hAnsi="David"/>
          <w:rtl/>
        </w:rPr>
      </w:pPr>
    </w:p>
    <w:p w14:paraId="34B3C8D5" w14:textId="77777777" w:rsidR="001D52FA" w:rsidRDefault="001D52FA" w:rsidP="001D52FA">
      <w:pPr>
        <w:pStyle w:val="a9"/>
        <w:numPr>
          <w:ilvl w:val="0"/>
          <w:numId w:val="1"/>
        </w:numPr>
        <w:spacing w:line="360" w:lineRule="auto"/>
        <w:jc w:val="both"/>
        <w:rPr>
          <w:rFonts w:ascii="David" w:hAnsi="David"/>
        </w:rPr>
      </w:pPr>
      <w:r>
        <w:rPr>
          <w:rFonts w:ascii="David" w:hAnsi="David" w:hint="cs"/>
          <w:rtl/>
        </w:rPr>
        <w:t>ביחס לעבירת החזקת תחמושת אפנה לפסקי הדין הבאים:</w:t>
      </w:r>
      <w:r>
        <w:rPr>
          <w:rFonts w:ascii="David" w:hAnsi="David" w:hint="cs"/>
        </w:rPr>
        <w:t xml:space="preserve"> </w:t>
      </w:r>
    </w:p>
    <w:p w14:paraId="702C61E7" w14:textId="77777777" w:rsidR="001D52FA" w:rsidRPr="00152B80" w:rsidRDefault="001D52FA" w:rsidP="001D52FA">
      <w:pPr>
        <w:pStyle w:val="a9"/>
        <w:spacing w:line="360" w:lineRule="auto"/>
        <w:ind w:left="0"/>
        <w:jc w:val="both"/>
        <w:rPr>
          <w:rFonts w:ascii="David" w:hAnsi="David"/>
          <w:rtl/>
        </w:rPr>
      </w:pPr>
    </w:p>
    <w:p w14:paraId="71B4C28B" w14:textId="77777777" w:rsidR="001D52FA" w:rsidRDefault="001D52FA" w:rsidP="001D52FA">
      <w:pPr>
        <w:pStyle w:val="a9"/>
        <w:spacing w:line="360" w:lineRule="auto"/>
        <w:jc w:val="both"/>
        <w:rPr>
          <w:rFonts w:ascii="David" w:hAnsi="David"/>
          <w:rtl/>
        </w:rPr>
      </w:pPr>
      <w:r>
        <w:rPr>
          <w:rFonts w:ascii="David" w:hAnsi="David" w:hint="cs"/>
          <w:rtl/>
        </w:rPr>
        <w:t>(-)</w:t>
      </w:r>
      <w:r>
        <w:rPr>
          <w:rFonts w:ascii="David" w:hAnsi="David"/>
          <w:rtl/>
        </w:rPr>
        <w:tab/>
      </w:r>
      <w:hyperlink r:id="rId39" w:history="1">
        <w:r w:rsidR="006C0660" w:rsidRPr="006C0660">
          <w:rPr>
            <w:rFonts w:ascii="David" w:hAnsi="David"/>
            <w:color w:val="0000FF"/>
            <w:u w:val="single"/>
            <w:rtl/>
          </w:rPr>
          <w:t>עפ"ג 49940-07-21</w:t>
        </w:r>
      </w:hyperlink>
      <w:r>
        <w:rPr>
          <w:rFonts w:ascii="David" w:hAnsi="David"/>
          <w:rtl/>
        </w:rPr>
        <w:t xml:space="preserve"> </w:t>
      </w:r>
      <w:r>
        <w:rPr>
          <w:rFonts w:ascii="David" w:hAnsi="David"/>
          <w:b/>
          <w:bCs/>
          <w:rtl/>
        </w:rPr>
        <w:t>עואד נ' מדינת ישראל</w:t>
      </w:r>
      <w:r>
        <w:rPr>
          <w:rFonts w:ascii="David" w:hAnsi="David"/>
          <w:rtl/>
        </w:rPr>
        <w:t xml:space="preserve"> (לא פורסם, 30.9.2021), בו נדחה ערעור נאשם שנידון לחמישה חודשי מאסר לריצוי בעבודות שירות בגין החזקת שמונה מחסניות ומעל למאה כדורים וכן חשיש במשקל של 0.93 גרם לצריכה עצמית</w:t>
      </w:r>
    </w:p>
    <w:p w14:paraId="3E98306E" w14:textId="77777777" w:rsidR="001D52FA" w:rsidRDefault="001D52FA" w:rsidP="001D52FA">
      <w:pPr>
        <w:pStyle w:val="a9"/>
        <w:spacing w:line="360" w:lineRule="auto"/>
        <w:ind w:left="0"/>
        <w:jc w:val="both"/>
        <w:rPr>
          <w:rFonts w:ascii="David" w:hAnsi="David"/>
          <w:rtl/>
        </w:rPr>
      </w:pPr>
    </w:p>
    <w:p w14:paraId="6F86AF05" w14:textId="77777777" w:rsidR="001D52FA" w:rsidRDefault="001D52FA" w:rsidP="001D52FA">
      <w:pPr>
        <w:pStyle w:val="a9"/>
        <w:spacing w:line="360" w:lineRule="auto"/>
        <w:jc w:val="both"/>
        <w:rPr>
          <w:rFonts w:ascii="David" w:hAnsi="David"/>
          <w:rtl/>
        </w:rPr>
      </w:pPr>
      <w:r>
        <w:rPr>
          <w:rFonts w:ascii="David" w:hAnsi="David" w:hint="cs"/>
          <w:rtl/>
        </w:rPr>
        <w:t>(-)</w:t>
      </w:r>
      <w:r>
        <w:rPr>
          <w:rFonts w:ascii="David" w:hAnsi="David"/>
          <w:rtl/>
        </w:rPr>
        <w:tab/>
      </w:r>
      <w:hyperlink r:id="rId40" w:history="1">
        <w:r w:rsidR="006C0660" w:rsidRPr="006C0660">
          <w:rPr>
            <w:rFonts w:ascii="David" w:hAnsi="David"/>
            <w:color w:val="0000FF"/>
            <w:u w:val="single"/>
            <w:rtl/>
          </w:rPr>
          <w:t>עפ"ג 9036-02-23</w:t>
        </w:r>
      </w:hyperlink>
      <w:r w:rsidRPr="003A2AA4">
        <w:rPr>
          <w:rFonts w:ascii="David" w:hAnsi="David"/>
          <w:rtl/>
        </w:rPr>
        <w:t xml:space="preserve"> </w:t>
      </w:r>
      <w:r w:rsidRPr="003A2AA4">
        <w:rPr>
          <w:rFonts w:ascii="David" w:hAnsi="David"/>
          <w:b/>
          <w:bCs/>
          <w:rtl/>
        </w:rPr>
        <w:t>אסולין נ' מדינת ישראל</w:t>
      </w:r>
      <w:r w:rsidRPr="003A2AA4">
        <w:rPr>
          <w:rFonts w:ascii="David" w:hAnsi="David"/>
          <w:rtl/>
        </w:rPr>
        <w:t xml:space="preserve"> (15.3.2023)</w:t>
      </w:r>
      <w:r>
        <w:rPr>
          <w:rFonts w:ascii="David" w:hAnsi="David" w:hint="cs"/>
          <w:rtl/>
        </w:rPr>
        <w:t>,</w:t>
      </w:r>
      <w:r w:rsidRPr="003A2AA4">
        <w:rPr>
          <w:rFonts w:ascii="David" w:hAnsi="David"/>
          <w:rtl/>
        </w:rPr>
        <w:t xml:space="preserve"> בו התקבל ערעור נאשם על חומרת עונשו והוטל עליו מאסר על תנאי, תחת עונש של 3 חודשי מאסר בעבודות שירות. במקרה זה מדובר היה בנאשם שהורשע בהחזקת 120 כדורי 5.56 מ"מ. בית המשפט המחוזי הביא בחשבון </w:t>
      </w:r>
      <w:r>
        <w:rPr>
          <w:rFonts w:ascii="David" w:hAnsi="David" w:hint="cs"/>
          <w:rtl/>
        </w:rPr>
        <w:t>כנסיבה לקולה את הסברו של הנאשם בדבר מציאת התחמושת וציין שיש בכך ללמד</w:t>
      </w:r>
      <w:r>
        <w:rPr>
          <w:rFonts w:ascii="Miriam" w:hAnsi="Miriam" w:cs="Miriam" w:hint="cs"/>
          <w:rtl/>
        </w:rPr>
        <w:t xml:space="preserve"> </w:t>
      </w:r>
      <w:r w:rsidRPr="003A2AA4">
        <w:rPr>
          <w:rFonts w:ascii="Miriam" w:hAnsi="Miriam" w:cs="Miriam"/>
          <w:rtl/>
        </w:rPr>
        <w:t>"שהחזקת התחמושת על ידי המערער לא היתה למטרה עבריינית".</w:t>
      </w:r>
    </w:p>
    <w:p w14:paraId="1CF54276" w14:textId="77777777" w:rsidR="001D52FA" w:rsidRDefault="001D52FA" w:rsidP="001D52FA">
      <w:pPr>
        <w:pStyle w:val="a9"/>
        <w:spacing w:line="360" w:lineRule="auto"/>
        <w:jc w:val="both"/>
        <w:rPr>
          <w:rFonts w:ascii="David" w:hAnsi="David"/>
          <w:rtl/>
        </w:rPr>
      </w:pPr>
    </w:p>
    <w:p w14:paraId="08037539" w14:textId="77777777" w:rsidR="001D52FA" w:rsidRDefault="001D52FA" w:rsidP="001D52FA">
      <w:pPr>
        <w:pStyle w:val="a9"/>
        <w:spacing w:line="360" w:lineRule="auto"/>
        <w:jc w:val="both"/>
        <w:rPr>
          <w:rFonts w:ascii="David" w:hAnsi="David"/>
        </w:rPr>
      </w:pPr>
      <w:r>
        <w:rPr>
          <w:rFonts w:ascii="David" w:hAnsi="David" w:hint="cs"/>
          <w:rtl/>
        </w:rPr>
        <w:t>(-)</w:t>
      </w:r>
      <w:r>
        <w:rPr>
          <w:rFonts w:ascii="David" w:hAnsi="David"/>
          <w:rtl/>
        </w:rPr>
        <w:tab/>
      </w:r>
      <w:hyperlink r:id="rId41" w:history="1">
        <w:r w:rsidR="006C0660" w:rsidRPr="006C0660">
          <w:rPr>
            <w:rFonts w:ascii="David" w:hAnsi="David"/>
            <w:color w:val="0000FF"/>
            <w:u w:val="single"/>
            <w:rtl/>
          </w:rPr>
          <w:t>ת"פ 66124-12-19</w:t>
        </w:r>
      </w:hyperlink>
      <w:r>
        <w:rPr>
          <w:rFonts w:ascii="David" w:hAnsi="David"/>
          <w:rtl/>
        </w:rPr>
        <w:t xml:space="preserve"> </w:t>
      </w:r>
      <w:r>
        <w:rPr>
          <w:rFonts w:ascii="David" w:hAnsi="David"/>
          <w:b/>
          <w:bCs/>
          <w:rtl/>
        </w:rPr>
        <w:t>מדינת ישראל נ' רביע</w:t>
      </w:r>
      <w:r>
        <w:rPr>
          <w:rFonts w:ascii="David" w:hAnsi="David"/>
          <w:rtl/>
        </w:rPr>
        <w:t xml:space="preserve"> (27.07.2022), בו הורשע נאשם בעבירת החזקת תחמושת בכך שהחזיק בביתו 1183 כדורים בקוטר 5.56, 91 כדורים בקוטר 7.62 מ"מ, 47 תחמישים, 51 תרמילים וכן כדור צייד אחד. בית המשפט קבע מתחם ענישה הנע בין תקופת מאסר קצרה לריצוי בעבודות שירות ועד 15 חודשי מאסר וגזר על הנאשם 5 חודשי מאסר בפועל</w:t>
      </w:r>
      <w:r>
        <w:rPr>
          <w:rFonts w:ascii="David" w:hAnsi="David" w:hint="cs"/>
          <w:rtl/>
        </w:rPr>
        <w:t xml:space="preserve">. </w:t>
      </w:r>
    </w:p>
    <w:p w14:paraId="07B4C2B5" w14:textId="77777777" w:rsidR="001D52FA" w:rsidRDefault="001D52FA" w:rsidP="001D52FA">
      <w:pPr>
        <w:pStyle w:val="a9"/>
        <w:spacing w:line="360" w:lineRule="auto"/>
        <w:ind w:left="0"/>
        <w:jc w:val="both"/>
        <w:rPr>
          <w:rFonts w:ascii="David" w:hAnsi="David"/>
        </w:rPr>
      </w:pPr>
    </w:p>
    <w:p w14:paraId="3C9E59AB" w14:textId="77777777" w:rsidR="001D52FA" w:rsidRDefault="001D52FA" w:rsidP="001D52FA">
      <w:pPr>
        <w:pStyle w:val="a9"/>
        <w:numPr>
          <w:ilvl w:val="0"/>
          <w:numId w:val="1"/>
        </w:numPr>
        <w:spacing w:line="360" w:lineRule="auto"/>
        <w:jc w:val="both"/>
        <w:rPr>
          <w:rFonts w:ascii="David" w:hAnsi="David"/>
        </w:rPr>
      </w:pPr>
      <w:r w:rsidRPr="00966C75">
        <w:rPr>
          <w:rFonts w:ascii="David" w:hAnsi="David"/>
          <w:rtl/>
        </w:rPr>
        <w:t>לאור כך</w:t>
      </w:r>
      <w:r>
        <w:rPr>
          <w:rFonts w:ascii="David" w:hAnsi="David" w:hint="cs"/>
          <w:rtl/>
        </w:rPr>
        <w:t>,</w:t>
      </w:r>
      <w:r w:rsidRPr="00966C75">
        <w:rPr>
          <w:rFonts w:ascii="David" w:hAnsi="David"/>
          <w:rtl/>
        </w:rPr>
        <w:t xml:space="preserve"> אני</w:t>
      </w:r>
      <w:r>
        <w:rPr>
          <w:rFonts w:ascii="David" w:hAnsi="David"/>
          <w:rtl/>
        </w:rPr>
        <w:t xml:space="preserve"> בדעה כי מתחם הענישה ההולם עביר</w:t>
      </w:r>
      <w:r>
        <w:rPr>
          <w:rFonts w:ascii="David" w:hAnsi="David" w:hint="cs"/>
          <w:rtl/>
        </w:rPr>
        <w:t>ות אלו</w:t>
      </w:r>
      <w:r>
        <w:rPr>
          <w:rFonts w:ascii="David" w:hAnsi="David"/>
          <w:rtl/>
        </w:rPr>
        <w:t xml:space="preserve"> </w:t>
      </w:r>
      <w:r>
        <w:rPr>
          <w:rFonts w:ascii="David" w:hAnsi="David" w:hint="cs"/>
          <w:rtl/>
        </w:rPr>
        <w:t xml:space="preserve">(החזקת כלל החפצים, המהווה אירוע אחד) </w:t>
      </w:r>
      <w:r>
        <w:rPr>
          <w:rFonts w:ascii="David" w:hAnsi="David"/>
          <w:rtl/>
        </w:rPr>
        <w:t>בנסיבות ביצוע</w:t>
      </w:r>
      <w:r>
        <w:rPr>
          <w:rFonts w:ascii="David" w:hAnsi="David" w:hint="cs"/>
          <w:rtl/>
        </w:rPr>
        <w:t>ן</w:t>
      </w:r>
      <w:r w:rsidRPr="00966C75">
        <w:rPr>
          <w:rFonts w:ascii="David" w:hAnsi="David"/>
          <w:rtl/>
        </w:rPr>
        <w:t xml:space="preserve"> נע בין</w:t>
      </w:r>
      <w:r>
        <w:rPr>
          <w:rFonts w:ascii="David" w:hAnsi="David" w:hint="cs"/>
          <w:rtl/>
        </w:rPr>
        <w:t xml:space="preserve"> 9-24 חודשי מאסר בפועל וכן מאסר מותנה שתחילתו ב-12 חודשי מאסר (וביחד תקופת המאסר היא בת 21 חודשים כעונש המינימום). </w:t>
      </w:r>
    </w:p>
    <w:p w14:paraId="21E2CCA4" w14:textId="77777777" w:rsidR="001D52FA" w:rsidRPr="00A2742F" w:rsidRDefault="001D52FA" w:rsidP="001D52FA">
      <w:pPr>
        <w:pStyle w:val="a9"/>
        <w:rPr>
          <w:rFonts w:ascii="David" w:hAnsi="David"/>
          <w:rtl/>
        </w:rPr>
      </w:pPr>
    </w:p>
    <w:p w14:paraId="14D1690D" w14:textId="77777777" w:rsidR="001D52FA" w:rsidRDefault="001D52FA" w:rsidP="001D52FA">
      <w:pPr>
        <w:spacing w:line="360" w:lineRule="auto"/>
        <w:jc w:val="both"/>
        <w:rPr>
          <w:rFonts w:ascii="David" w:hAnsi="David"/>
        </w:rPr>
      </w:pPr>
      <w:r>
        <w:rPr>
          <w:rFonts w:ascii="David" w:hAnsi="David"/>
          <w:b/>
          <w:bCs/>
          <w:color w:val="000000"/>
          <w:u w:val="single"/>
          <w:rtl/>
        </w:rPr>
        <w:t>קביעת עונשו של הנאשם</w:t>
      </w:r>
    </w:p>
    <w:p w14:paraId="40B7D769" w14:textId="77777777" w:rsidR="001D52FA" w:rsidRPr="00A2742F" w:rsidRDefault="001D52FA" w:rsidP="001D52FA">
      <w:pPr>
        <w:pStyle w:val="a9"/>
        <w:rPr>
          <w:rFonts w:ascii="David" w:hAnsi="David"/>
          <w:rtl/>
        </w:rPr>
      </w:pPr>
    </w:p>
    <w:p w14:paraId="67CFC01E" w14:textId="77777777" w:rsidR="001D52FA" w:rsidRDefault="001D52FA" w:rsidP="001D52FA">
      <w:pPr>
        <w:pStyle w:val="a9"/>
        <w:numPr>
          <w:ilvl w:val="0"/>
          <w:numId w:val="1"/>
        </w:numPr>
        <w:spacing w:line="360" w:lineRule="auto"/>
        <w:jc w:val="both"/>
        <w:rPr>
          <w:rFonts w:ascii="David" w:hAnsi="David"/>
        </w:rPr>
      </w:pPr>
      <w:r>
        <w:rPr>
          <w:rFonts w:ascii="David" w:hAnsi="David" w:hint="cs"/>
          <w:rtl/>
        </w:rPr>
        <w:t xml:space="preserve">דומה שאין מחלוקת שלא קיימים בנסיבות העניין סיכויי שיקום המצדיקים חריגה ממתחם הענישה וההגנה אף לא טענה לכך. משכך יש לגזור את העונש בגדרי המתחם. השאלה היא אם יש הצדקה לעונש מאסר בכליאה כעתירת המאשימה או שמא ניתן להסתפק בענישה בתחתית המתחם ואף בעבודות שירות. </w:t>
      </w:r>
    </w:p>
    <w:p w14:paraId="280A2B19" w14:textId="77777777" w:rsidR="001D52FA" w:rsidRPr="003B302C" w:rsidRDefault="001D52FA" w:rsidP="001D52FA">
      <w:pPr>
        <w:pStyle w:val="a9"/>
        <w:spacing w:line="360" w:lineRule="auto"/>
        <w:ind w:left="0"/>
        <w:jc w:val="both"/>
        <w:rPr>
          <w:rFonts w:ascii="David" w:hAnsi="David"/>
        </w:rPr>
      </w:pPr>
    </w:p>
    <w:p w14:paraId="29241CA6" w14:textId="77777777" w:rsidR="001D52FA" w:rsidRDefault="001D52FA" w:rsidP="001D52FA">
      <w:pPr>
        <w:pStyle w:val="a9"/>
        <w:numPr>
          <w:ilvl w:val="0"/>
          <w:numId w:val="1"/>
        </w:numPr>
        <w:spacing w:line="360" w:lineRule="auto"/>
        <w:jc w:val="both"/>
        <w:rPr>
          <w:rFonts w:ascii="David" w:hAnsi="David"/>
        </w:rPr>
      </w:pPr>
      <w:r>
        <w:rPr>
          <w:rFonts w:ascii="David" w:hAnsi="David" w:hint="cs"/>
          <w:rtl/>
        </w:rPr>
        <w:t xml:space="preserve">הנאשם שלפני הוא צעיר שעברו נקי. הוא איש משפחה. הוא קיבל אחריות למעשיו, הודה בהם בהזדמנות הראשונה והביע חרטה. אכן, בפני שירות המבחן לא הרחיב הנאשם בדבר סיבת ההחזקה ונסיבות ביצוע העבירות ואולם אינני סבור שהדבר מחייב החמרה עד כדי כליאתו. עונש מאסר בכליאה הוא עונש חמור ומכאיב הגורם סבל ממשי לנאשם ולבני משפחתו. כמו כן, יש בו לגרום לא אחת להטמעת ערכים עברייניים אשר אפשר שלא היו קודם לכן חלק ממרכיבי אישיותו של האסיר. משכך, יש להטיל עונש מאסר רק במקרים בהם עונש זה מתחייב. </w:t>
      </w:r>
    </w:p>
    <w:p w14:paraId="696BD97B" w14:textId="77777777" w:rsidR="001D52FA" w:rsidRDefault="001D52FA" w:rsidP="001D52FA">
      <w:pPr>
        <w:pStyle w:val="a9"/>
        <w:ind w:left="0"/>
        <w:jc w:val="both"/>
        <w:rPr>
          <w:rFonts w:ascii="David" w:hAnsi="David"/>
        </w:rPr>
      </w:pPr>
    </w:p>
    <w:p w14:paraId="698320F8" w14:textId="77777777" w:rsidR="001D52FA" w:rsidRDefault="001D52FA" w:rsidP="001D52FA">
      <w:pPr>
        <w:pStyle w:val="a9"/>
        <w:numPr>
          <w:ilvl w:val="0"/>
          <w:numId w:val="1"/>
        </w:numPr>
        <w:spacing w:line="360" w:lineRule="auto"/>
        <w:jc w:val="both"/>
        <w:rPr>
          <w:rFonts w:ascii="David" w:hAnsi="David"/>
        </w:rPr>
      </w:pPr>
      <w:r>
        <w:rPr>
          <w:rFonts w:ascii="David" w:hAnsi="David" w:hint="cs"/>
          <w:rtl/>
        </w:rPr>
        <w:t xml:space="preserve">במקרה זה סברתי שעל רקע נתוניו האישיים של הנאשם, קבלת האחריות והעבר הנקי, ראוי להימנע מכליאתו ולאפשר לו לשאת את עונשו בדרך של עבודות שירות. בעניין זה הבאתי בחשבון כי הנאשם היה עצור מאחורי סורג ובריח קרוב לחודש ימים (תקופה שלא תנוכה), ולאחר מכן שהה באיזוק אלקטרוני מעל לשישה חודשים. </w:t>
      </w:r>
    </w:p>
    <w:p w14:paraId="6694A967" w14:textId="77777777" w:rsidR="001D52FA" w:rsidRPr="006B6B3F" w:rsidRDefault="001D52FA" w:rsidP="001D52FA">
      <w:pPr>
        <w:pStyle w:val="a9"/>
        <w:ind w:left="0"/>
        <w:jc w:val="both"/>
        <w:rPr>
          <w:rFonts w:ascii="David" w:hAnsi="David"/>
        </w:rPr>
      </w:pPr>
    </w:p>
    <w:p w14:paraId="7033B00D" w14:textId="77777777" w:rsidR="001D52FA" w:rsidRDefault="001D52FA" w:rsidP="001D52FA">
      <w:pPr>
        <w:pStyle w:val="a9"/>
        <w:numPr>
          <w:ilvl w:val="0"/>
          <w:numId w:val="1"/>
        </w:numPr>
        <w:spacing w:line="360" w:lineRule="auto"/>
        <w:jc w:val="both"/>
        <w:rPr>
          <w:rFonts w:ascii="David" w:hAnsi="David"/>
        </w:rPr>
      </w:pPr>
      <w:r w:rsidRPr="009325E4">
        <w:rPr>
          <w:rFonts w:ascii="David" w:hAnsi="David"/>
          <w:rtl/>
        </w:rPr>
        <w:t>לאור כך אני מטיל על הנאשם את העונשים הבאים:</w:t>
      </w:r>
    </w:p>
    <w:p w14:paraId="09F5E88C" w14:textId="77777777" w:rsidR="001D52FA" w:rsidRPr="009325E4" w:rsidRDefault="001D52FA" w:rsidP="001D52FA">
      <w:pPr>
        <w:pStyle w:val="a9"/>
        <w:rPr>
          <w:rFonts w:ascii="David" w:hAnsi="David"/>
          <w:rtl/>
        </w:rPr>
      </w:pPr>
    </w:p>
    <w:p w14:paraId="39E70638" w14:textId="77777777" w:rsidR="001D52FA" w:rsidRDefault="001D52FA" w:rsidP="001D52FA">
      <w:pPr>
        <w:pStyle w:val="a9"/>
        <w:numPr>
          <w:ilvl w:val="0"/>
          <w:numId w:val="2"/>
        </w:numPr>
        <w:spacing w:line="360" w:lineRule="auto"/>
        <w:jc w:val="both"/>
        <w:rPr>
          <w:rFonts w:ascii="David" w:hAnsi="David"/>
        </w:rPr>
      </w:pPr>
      <w:r>
        <w:rPr>
          <w:rFonts w:ascii="David" w:hAnsi="David" w:hint="cs"/>
          <w:rtl/>
        </w:rPr>
        <w:t>9</w:t>
      </w:r>
      <w:r>
        <w:rPr>
          <w:rFonts w:ascii="David" w:hAnsi="David"/>
          <w:rtl/>
        </w:rPr>
        <w:t xml:space="preserve"> חודשי מאסר</w:t>
      </w:r>
      <w:r>
        <w:rPr>
          <w:rFonts w:ascii="David" w:hAnsi="David" w:hint="cs"/>
          <w:rtl/>
        </w:rPr>
        <w:t>. הנאשם יישא עונש זה בעבודות שירות בהתאם לחוו"ד הממונה ויתייצב לריצוי עונשו ביום 10.4.25.</w:t>
      </w:r>
    </w:p>
    <w:p w14:paraId="6EE6777F" w14:textId="77777777" w:rsidR="001D52FA" w:rsidRDefault="001D52FA" w:rsidP="001D52FA">
      <w:pPr>
        <w:pStyle w:val="a9"/>
        <w:spacing w:line="360" w:lineRule="auto"/>
        <w:jc w:val="both"/>
        <w:rPr>
          <w:rFonts w:ascii="David" w:hAnsi="David"/>
        </w:rPr>
      </w:pPr>
      <w:r w:rsidRPr="000E1365">
        <w:rPr>
          <w:rFonts w:ascii="David" w:hAnsi="David" w:hint="cs"/>
          <w:b/>
          <w:bCs/>
          <w:rtl/>
        </w:rPr>
        <w:t>מובהר לנאשם שעליו לבצע את עבודות השירות בהתאם להנחיות הממונה ואם לא יעשה כן ניתן יהיה להפקיען מנהלית והוא יישא את יתרת התקופה בבית מאסר</w:t>
      </w:r>
      <w:r>
        <w:rPr>
          <w:rFonts w:ascii="David" w:hAnsi="David" w:hint="cs"/>
          <w:rtl/>
        </w:rPr>
        <w:t xml:space="preserve">. </w:t>
      </w:r>
    </w:p>
    <w:p w14:paraId="1A832538" w14:textId="77777777" w:rsidR="001D52FA" w:rsidRDefault="001D52FA" w:rsidP="001D52FA">
      <w:pPr>
        <w:pStyle w:val="a9"/>
        <w:numPr>
          <w:ilvl w:val="0"/>
          <w:numId w:val="2"/>
        </w:numPr>
        <w:spacing w:line="360" w:lineRule="auto"/>
        <w:jc w:val="both"/>
        <w:rPr>
          <w:rFonts w:ascii="David" w:hAnsi="David"/>
        </w:rPr>
      </w:pPr>
      <w:r>
        <w:rPr>
          <w:rFonts w:ascii="David" w:hAnsi="David"/>
          <w:rtl/>
        </w:rPr>
        <w:t xml:space="preserve">מאסר על תנאי למשך 12 חודשים </w:t>
      </w:r>
      <w:r>
        <w:rPr>
          <w:rtl/>
        </w:rPr>
        <w:t xml:space="preserve">והתנאי הוא שהנאשם לא יעבור במשך שנתיים כל עבירה על </w:t>
      </w:r>
      <w:hyperlink r:id="rId42" w:history="1">
        <w:r w:rsidR="00B638CC" w:rsidRPr="00B638CC">
          <w:rPr>
            <w:rStyle w:val="Hyperlink"/>
            <w:color w:val="0000FF"/>
            <w:rtl/>
          </w:rPr>
          <w:t>סעיף 144</w:t>
        </w:r>
      </w:hyperlink>
      <w:r>
        <w:rPr>
          <w:rtl/>
        </w:rPr>
        <w:t xml:space="preserve"> ל</w:t>
      </w:r>
      <w:hyperlink r:id="rId43" w:history="1">
        <w:r w:rsidR="006C0660" w:rsidRPr="006C0660">
          <w:rPr>
            <w:color w:val="0000FF"/>
            <w:u w:val="single"/>
            <w:rtl/>
          </w:rPr>
          <w:t>חוק העונשין</w:t>
        </w:r>
      </w:hyperlink>
      <w:r>
        <w:rPr>
          <w:rtl/>
        </w:rPr>
        <w:t xml:space="preserve"> שהיא פשע. </w:t>
      </w:r>
    </w:p>
    <w:p w14:paraId="3437A658" w14:textId="77777777" w:rsidR="001D52FA" w:rsidRPr="001C5208" w:rsidRDefault="001D52FA" w:rsidP="001D52FA">
      <w:pPr>
        <w:pStyle w:val="a9"/>
        <w:numPr>
          <w:ilvl w:val="0"/>
          <w:numId w:val="2"/>
        </w:numPr>
        <w:spacing w:line="360" w:lineRule="auto"/>
        <w:jc w:val="both"/>
        <w:rPr>
          <w:rFonts w:ascii="David" w:hAnsi="David"/>
        </w:rPr>
      </w:pPr>
      <w:r>
        <w:rPr>
          <w:rFonts w:ascii="David" w:hAnsi="David"/>
          <w:rtl/>
        </w:rPr>
        <w:t xml:space="preserve">מאסר על תנאי למשך 4 חודשים </w:t>
      </w:r>
      <w:r>
        <w:rPr>
          <w:rtl/>
        </w:rPr>
        <w:t xml:space="preserve">והתנאי הוא שהנאשם לא יעבור במשך שנתיים כל עבירה על </w:t>
      </w:r>
      <w:hyperlink r:id="rId44" w:history="1">
        <w:r w:rsidR="00B638CC" w:rsidRPr="00B638CC">
          <w:rPr>
            <w:rStyle w:val="Hyperlink"/>
            <w:color w:val="0000FF"/>
            <w:rtl/>
          </w:rPr>
          <w:t>סעיף 144</w:t>
        </w:r>
      </w:hyperlink>
      <w:r>
        <w:rPr>
          <w:rtl/>
        </w:rPr>
        <w:t xml:space="preserve"> ל</w:t>
      </w:r>
      <w:hyperlink r:id="rId45" w:history="1">
        <w:r w:rsidR="006C0660" w:rsidRPr="006C0660">
          <w:rPr>
            <w:color w:val="0000FF"/>
            <w:u w:val="single"/>
            <w:rtl/>
          </w:rPr>
          <w:t>חוק העונשין</w:t>
        </w:r>
      </w:hyperlink>
      <w:r>
        <w:rPr>
          <w:rtl/>
        </w:rPr>
        <w:t xml:space="preserve"> שהיא עוון. </w:t>
      </w:r>
    </w:p>
    <w:p w14:paraId="55F53F01" w14:textId="77777777" w:rsidR="001D52FA" w:rsidRDefault="001D52FA" w:rsidP="001D52FA">
      <w:pPr>
        <w:pStyle w:val="a9"/>
        <w:numPr>
          <w:ilvl w:val="0"/>
          <w:numId w:val="2"/>
        </w:numPr>
        <w:spacing w:line="360" w:lineRule="auto"/>
        <w:jc w:val="both"/>
        <w:rPr>
          <w:rFonts w:ascii="David" w:hAnsi="David"/>
        </w:rPr>
      </w:pPr>
      <w:r>
        <w:rPr>
          <w:rFonts w:hint="cs"/>
          <w:rtl/>
        </w:rPr>
        <w:t>לאור תקופת עבודות השירות והשהות בתנאים מגבילי חירות אני נמנע מהטלת קנס.</w:t>
      </w:r>
    </w:p>
    <w:p w14:paraId="3C7EFCAE" w14:textId="77777777" w:rsidR="001D52FA" w:rsidRDefault="001D52FA" w:rsidP="001D52FA">
      <w:pPr>
        <w:spacing w:line="360" w:lineRule="auto"/>
        <w:ind w:left="360"/>
        <w:jc w:val="both"/>
        <w:rPr>
          <w:rFonts w:ascii="David" w:hAnsi="David"/>
          <w:b/>
          <w:bCs/>
          <w:color w:val="000000"/>
          <w:u w:val="single"/>
          <w:rtl/>
        </w:rPr>
      </w:pPr>
    </w:p>
    <w:p w14:paraId="6EB06797" w14:textId="77777777" w:rsidR="001D52FA" w:rsidRDefault="001D52FA" w:rsidP="001D52FA">
      <w:pPr>
        <w:spacing w:line="360" w:lineRule="auto"/>
        <w:ind w:left="360"/>
        <w:jc w:val="both"/>
        <w:rPr>
          <w:rFonts w:ascii="David" w:hAnsi="David"/>
          <w:b/>
          <w:bCs/>
          <w:color w:val="000000"/>
          <w:u w:val="single"/>
          <w:rtl/>
        </w:rPr>
      </w:pPr>
    </w:p>
    <w:p w14:paraId="0082F788" w14:textId="77777777" w:rsidR="001D52FA" w:rsidRDefault="001D52FA" w:rsidP="001D52FA">
      <w:pPr>
        <w:spacing w:line="360" w:lineRule="auto"/>
        <w:ind w:left="360"/>
        <w:jc w:val="both"/>
        <w:rPr>
          <w:rFonts w:ascii="David" w:hAnsi="David"/>
          <w:b/>
          <w:bCs/>
          <w:color w:val="000000"/>
          <w:u w:val="single"/>
          <w:rtl/>
        </w:rPr>
      </w:pPr>
    </w:p>
    <w:p w14:paraId="3B5ED0A2" w14:textId="77777777" w:rsidR="001D52FA" w:rsidRDefault="001D52FA" w:rsidP="001D52FA">
      <w:pPr>
        <w:spacing w:line="360" w:lineRule="auto"/>
        <w:ind w:left="360"/>
        <w:jc w:val="both"/>
        <w:rPr>
          <w:rFonts w:ascii="David" w:hAnsi="David"/>
          <w:b/>
          <w:bCs/>
          <w:color w:val="000000"/>
          <w:u w:val="single"/>
          <w:rtl/>
        </w:rPr>
      </w:pPr>
      <w:r>
        <w:rPr>
          <w:rFonts w:ascii="David" w:hAnsi="David" w:hint="cs"/>
          <w:b/>
          <w:bCs/>
          <w:color w:val="000000"/>
          <w:u w:val="single"/>
          <w:rtl/>
        </w:rPr>
        <w:t xml:space="preserve">הנשק והתחמושת </w:t>
      </w:r>
      <w:r>
        <w:rPr>
          <w:rFonts w:ascii="David" w:hAnsi="David"/>
          <w:b/>
          <w:bCs/>
          <w:color w:val="000000"/>
          <w:u w:val="single"/>
          <w:rtl/>
        </w:rPr>
        <w:t>–</w:t>
      </w:r>
      <w:r>
        <w:rPr>
          <w:rFonts w:ascii="David" w:hAnsi="David" w:hint="cs"/>
          <w:b/>
          <w:bCs/>
          <w:color w:val="000000"/>
          <w:u w:val="single"/>
          <w:rtl/>
        </w:rPr>
        <w:t xml:space="preserve"> להשמיד בחלוף תקופת הערעור.</w:t>
      </w:r>
    </w:p>
    <w:p w14:paraId="3F76A17B" w14:textId="77777777" w:rsidR="001D52FA" w:rsidRDefault="001D52FA" w:rsidP="001D52FA">
      <w:pPr>
        <w:spacing w:line="360" w:lineRule="auto"/>
        <w:ind w:left="360"/>
        <w:jc w:val="both"/>
        <w:rPr>
          <w:rFonts w:ascii="David" w:hAnsi="David"/>
          <w:b/>
          <w:bCs/>
          <w:color w:val="000000"/>
          <w:u w:val="single"/>
          <w:rtl/>
        </w:rPr>
      </w:pPr>
    </w:p>
    <w:p w14:paraId="451DCDB1" w14:textId="77777777" w:rsidR="001D52FA" w:rsidRDefault="001D52FA" w:rsidP="001D52FA">
      <w:pPr>
        <w:spacing w:line="360" w:lineRule="auto"/>
        <w:ind w:left="360"/>
        <w:jc w:val="both"/>
        <w:rPr>
          <w:rFonts w:ascii="David" w:hAnsi="David"/>
          <w:b/>
          <w:bCs/>
          <w:color w:val="000000"/>
          <w:u w:val="single"/>
          <w:rtl/>
        </w:rPr>
      </w:pPr>
      <w:r>
        <w:rPr>
          <w:rFonts w:ascii="David" w:hAnsi="David" w:hint="cs"/>
          <w:b/>
          <w:bCs/>
          <w:color w:val="000000"/>
          <w:u w:val="single"/>
          <w:rtl/>
        </w:rPr>
        <w:t xml:space="preserve">מזכירות </w:t>
      </w:r>
      <w:r>
        <w:rPr>
          <w:rFonts w:ascii="David" w:hAnsi="David"/>
          <w:b/>
          <w:bCs/>
          <w:color w:val="000000"/>
          <w:u w:val="single"/>
          <w:rtl/>
        </w:rPr>
        <w:t>–</w:t>
      </w:r>
      <w:r>
        <w:rPr>
          <w:rFonts w:ascii="David" w:hAnsi="David" w:hint="cs"/>
          <w:b/>
          <w:bCs/>
          <w:color w:val="000000"/>
          <w:u w:val="single"/>
          <w:rtl/>
        </w:rPr>
        <w:t xml:space="preserve"> להמציא את גזר הדין לממונה. </w:t>
      </w:r>
    </w:p>
    <w:p w14:paraId="2368C942" w14:textId="77777777" w:rsidR="001D52FA" w:rsidRPr="006C0660" w:rsidRDefault="006C0660" w:rsidP="001D52FA">
      <w:pPr>
        <w:spacing w:line="360" w:lineRule="auto"/>
        <w:jc w:val="both"/>
        <w:rPr>
          <w:rFonts w:ascii="David" w:hAnsi="David"/>
          <w:b/>
          <w:bCs/>
          <w:color w:val="FFFFFF"/>
          <w:sz w:val="2"/>
          <w:szCs w:val="2"/>
          <w:u w:val="single"/>
          <w:rtl/>
        </w:rPr>
      </w:pPr>
      <w:r w:rsidRPr="006C0660">
        <w:rPr>
          <w:rFonts w:ascii="David" w:hAnsi="David"/>
          <w:b/>
          <w:bCs/>
          <w:color w:val="FFFFFF"/>
          <w:sz w:val="2"/>
          <w:szCs w:val="2"/>
          <w:u w:val="single"/>
          <w:rtl/>
        </w:rPr>
        <w:t>5129371</w:t>
      </w:r>
    </w:p>
    <w:p w14:paraId="05FDA72C" w14:textId="77777777" w:rsidR="001D52FA" w:rsidRPr="009325E4" w:rsidRDefault="006C0660" w:rsidP="001D52FA">
      <w:pPr>
        <w:spacing w:line="360" w:lineRule="auto"/>
        <w:jc w:val="both"/>
        <w:rPr>
          <w:rFonts w:ascii="David" w:hAnsi="David"/>
        </w:rPr>
      </w:pPr>
      <w:r w:rsidRPr="006C0660">
        <w:rPr>
          <w:rFonts w:ascii="David" w:hAnsi="David"/>
          <w:b/>
          <w:bCs/>
          <w:color w:val="FFFFFF"/>
          <w:sz w:val="2"/>
          <w:szCs w:val="2"/>
          <w:u w:val="single"/>
          <w:rtl/>
        </w:rPr>
        <w:t>54678313</w:t>
      </w:r>
      <w:r w:rsidR="001D52FA" w:rsidRPr="009325E4">
        <w:rPr>
          <w:rFonts w:ascii="David" w:hAnsi="David"/>
          <w:b/>
          <w:bCs/>
          <w:color w:val="000000"/>
          <w:u w:val="single"/>
          <w:rtl/>
        </w:rPr>
        <w:t>הודעה זכות ערעור לבית המשפט המחוזי בתוך 45 ימים</w:t>
      </w:r>
      <w:r w:rsidR="001D52FA" w:rsidRPr="009325E4">
        <w:rPr>
          <w:rFonts w:ascii="David" w:hAnsi="David"/>
          <w:b/>
          <w:bCs/>
          <w:color w:val="000000"/>
          <w:u w:val="single"/>
        </w:rPr>
        <w:t>.</w:t>
      </w:r>
    </w:p>
    <w:p w14:paraId="6F02ED51" w14:textId="77777777" w:rsidR="001D52FA" w:rsidRPr="000522BB" w:rsidRDefault="001D52FA" w:rsidP="001D52FA">
      <w:pPr>
        <w:rPr>
          <w:rFonts w:ascii="David" w:hAnsi="David"/>
          <w:rtl/>
        </w:rPr>
      </w:pPr>
    </w:p>
    <w:p w14:paraId="5E572E51" w14:textId="77777777" w:rsidR="001D52FA" w:rsidRPr="000522BB" w:rsidRDefault="006C0660" w:rsidP="001D52FA">
      <w:pPr>
        <w:rPr>
          <w:rFonts w:ascii="David" w:hAnsi="David"/>
          <w:rtl/>
        </w:rPr>
      </w:pPr>
      <w:bookmarkStart w:id="7" w:name="Nitan"/>
      <w:r>
        <w:rPr>
          <w:rFonts w:ascii="David" w:hAnsi="David"/>
          <w:rtl/>
        </w:rPr>
        <w:t xml:space="preserve">ניתן היום,  כ"ט טבת תשפ"ה, 29 ינואר 2025, במעמד הצדדים. </w:t>
      </w:r>
      <w:bookmarkEnd w:id="7"/>
    </w:p>
    <w:p w14:paraId="5198B6DC" w14:textId="77777777" w:rsidR="001D52FA" w:rsidRPr="000522BB" w:rsidRDefault="001D52FA" w:rsidP="006C0660">
      <w:pPr>
        <w:jc w:val="center"/>
      </w:pPr>
      <w:r w:rsidRPr="000522BB">
        <w:rPr>
          <w:rFonts w:ascii="David" w:hAnsi="David"/>
          <w:rtl/>
        </w:rPr>
        <w:t xml:space="preserve">   </w:t>
      </w:r>
      <w:r w:rsidRPr="000522BB">
        <w:rPr>
          <w:rFonts w:ascii="David" w:hAnsi="David"/>
          <w:rtl/>
        </w:rPr>
        <w:tab/>
      </w:r>
      <w:r w:rsidRPr="000522BB">
        <w:rPr>
          <w:rFonts w:ascii="David" w:hAnsi="David"/>
          <w:rtl/>
        </w:rPr>
        <w:tab/>
      </w:r>
      <w:r w:rsidRPr="000522BB">
        <w:rPr>
          <w:rFonts w:ascii="David" w:hAnsi="David"/>
          <w:rtl/>
        </w:rPr>
        <w:tab/>
      </w:r>
      <w:r w:rsidRPr="000522BB">
        <w:rPr>
          <w:rFonts w:ascii="David" w:hAnsi="David"/>
          <w:rtl/>
        </w:rPr>
        <w:tab/>
      </w:r>
      <w:r w:rsidRPr="000522BB">
        <w:rPr>
          <w:rFonts w:ascii="David" w:hAnsi="David"/>
          <w:rtl/>
        </w:rPr>
        <w:tab/>
      </w:r>
    </w:p>
    <w:p w14:paraId="6AAC032A" w14:textId="77777777" w:rsidR="001D52FA" w:rsidRPr="000522BB" w:rsidRDefault="001D52FA" w:rsidP="001D52FA">
      <w:pPr>
        <w:jc w:val="center"/>
        <w:rPr>
          <w:rFonts w:ascii="David" w:hAnsi="David"/>
          <w:rtl/>
        </w:rPr>
      </w:pPr>
    </w:p>
    <w:p w14:paraId="64025C04" w14:textId="77777777" w:rsidR="00723576" w:rsidRPr="006C0660" w:rsidRDefault="00723576" w:rsidP="006C0660">
      <w:pPr>
        <w:keepNext/>
        <w:rPr>
          <w:rFonts w:ascii="David" w:hAnsi="David"/>
          <w:color w:val="000000"/>
          <w:sz w:val="22"/>
          <w:szCs w:val="22"/>
          <w:rtl/>
        </w:rPr>
      </w:pPr>
    </w:p>
    <w:p w14:paraId="4990E5A9" w14:textId="77777777" w:rsidR="006C0660" w:rsidRPr="006C0660" w:rsidRDefault="006C0660" w:rsidP="006C0660">
      <w:pPr>
        <w:keepNext/>
        <w:rPr>
          <w:rFonts w:ascii="David" w:hAnsi="David"/>
          <w:color w:val="000000"/>
          <w:sz w:val="22"/>
          <w:szCs w:val="22"/>
          <w:rtl/>
        </w:rPr>
      </w:pPr>
      <w:r w:rsidRPr="006C0660">
        <w:rPr>
          <w:rFonts w:ascii="David" w:hAnsi="David"/>
          <w:color w:val="000000"/>
          <w:sz w:val="22"/>
          <w:szCs w:val="22"/>
          <w:rtl/>
        </w:rPr>
        <w:t>יוסי טורס 54678313</w:t>
      </w:r>
    </w:p>
    <w:p w14:paraId="56C766ED" w14:textId="77777777" w:rsidR="006C0660" w:rsidRDefault="006C0660" w:rsidP="006C0660">
      <w:r w:rsidRPr="006C0660">
        <w:rPr>
          <w:color w:val="000000"/>
          <w:rtl/>
        </w:rPr>
        <w:t>נוסח מסמך זה כפוף לשינויי ניסוח ועריכה</w:t>
      </w:r>
    </w:p>
    <w:p w14:paraId="3AC46678" w14:textId="77777777" w:rsidR="006C0660" w:rsidRDefault="006C0660" w:rsidP="006C0660">
      <w:pPr>
        <w:rPr>
          <w:rtl/>
        </w:rPr>
      </w:pPr>
    </w:p>
    <w:p w14:paraId="1B9BD14D" w14:textId="77777777" w:rsidR="006C0660" w:rsidRDefault="006C0660" w:rsidP="006C0660">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43B94A4B" w14:textId="77777777" w:rsidR="006C0660" w:rsidRPr="006C0660" w:rsidRDefault="006C0660" w:rsidP="006C0660">
      <w:pPr>
        <w:jc w:val="center"/>
        <w:rPr>
          <w:color w:val="0000FF"/>
          <w:u w:val="single"/>
        </w:rPr>
      </w:pPr>
    </w:p>
    <w:sectPr w:rsidR="006C0660" w:rsidRPr="006C0660" w:rsidSect="006C0660">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79F1F" w14:textId="77777777" w:rsidR="00F53233" w:rsidRDefault="00F53233" w:rsidP="00C473AC">
      <w:r>
        <w:separator/>
      </w:r>
    </w:p>
  </w:endnote>
  <w:endnote w:type="continuationSeparator" w:id="0">
    <w:p w14:paraId="6283FED3" w14:textId="77777777" w:rsidR="00F53233" w:rsidRDefault="00F53233" w:rsidP="00C47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C65D6" w14:textId="77777777" w:rsidR="006C0660" w:rsidRDefault="006C0660" w:rsidP="006C066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1BA2E1" w14:textId="77777777" w:rsidR="00723576" w:rsidRPr="006C0660" w:rsidRDefault="006C0660" w:rsidP="006C066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23DAE" w14:textId="77777777" w:rsidR="006C0660" w:rsidRDefault="006C0660" w:rsidP="006C066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53CD">
      <w:rPr>
        <w:rFonts w:ascii="FrankRuehl" w:hAnsi="FrankRuehl" w:cs="FrankRuehl"/>
        <w:noProof/>
        <w:rtl/>
      </w:rPr>
      <w:t>1</w:t>
    </w:r>
    <w:r>
      <w:rPr>
        <w:rFonts w:ascii="FrankRuehl" w:hAnsi="FrankRuehl" w:cs="FrankRuehl"/>
        <w:rtl/>
      </w:rPr>
      <w:fldChar w:fldCharType="end"/>
    </w:r>
  </w:p>
  <w:p w14:paraId="08E511EF" w14:textId="77777777" w:rsidR="00723576" w:rsidRPr="006C0660" w:rsidRDefault="006C0660" w:rsidP="006C066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F329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093B3" w14:textId="77777777" w:rsidR="00F53233" w:rsidRDefault="00F53233" w:rsidP="00C473AC">
      <w:r>
        <w:separator/>
      </w:r>
    </w:p>
  </w:footnote>
  <w:footnote w:type="continuationSeparator" w:id="0">
    <w:p w14:paraId="3B79C769" w14:textId="77777777" w:rsidR="00F53233" w:rsidRDefault="00F53233" w:rsidP="00C47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7A09D" w14:textId="77777777" w:rsidR="006C0660" w:rsidRPr="006C0660" w:rsidRDefault="006C0660" w:rsidP="006C066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37506-04-24</w:t>
    </w:r>
    <w:r>
      <w:rPr>
        <w:rFonts w:ascii="David" w:hAnsi="David"/>
        <w:color w:val="000000"/>
        <w:sz w:val="22"/>
        <w:szCs w:val="22"/>
        <w:rtl/>
      </w:rPr>
      <w:tab/>
      <w:t xml:space="preserve"> מדינת ישראל נ' אחמד כעבייה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E4ABD" w14:textId="77777777" w:rsidR="006C0660" w:rsidRPr="006C0660" w:rsidRDefault="006C0660" w:rsidP="006C066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37506-04-24</w:t>
    </w:r>
    <w:r>
      <w:rPr>
        <w:rFonts w:ascii="David" w:hAnsi="David"/>
        <w:color w:val="000000"/>
        <w:sz w:val="22"/>
        <w:szCs w:val="22"/>
        <w:rtl/>
      </w:rPr>
      <w:tab/>
      <w:t xml:space="preserve"> מדינת ישראל נ' אחמד כעבייה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00991"/>
    <w:multiLevelType w:val="hybridMultilevel"/>
    <w:tmpl w:val="D9BC8304"/>
    <w:lvl w:ilvl="0" w:tplc="BEAA13A2">
      <w:start w:val="1"/>
      <w:numFmt w:val="decimal"/>
      <w:lvlText w:val="%1."/>
      <w:lvlJc w:val="left"/>
      <w:pPr>
        <w:tabs>
          <w:tab w:val="num" w:pos="567"/>
        </w:tabs>
        <w:ind w:left="0" w:firstLine="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058CB"/>
    <w:multiLevelType w:val="hybridMultilevel"/>
    <w:tmpl w:val="18AE4E5C"/>
    <w:lvl w:ilvl="0" w:tplc="84567A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204626">
    <w:abstractNumId w:val="0"/>
  </w:num>
  <w:num w:numId="2" w16cid:durableId="65519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52FA"/>
    <w:rsid w:val="0018641C"/>
    <w:rsid w:val="00192D69"/>
    <w:rsid w:val="001D52FA"/>
    <w:rsid w:val="00676B76"/>
    <w:rsid w:val="006C0660"/>
    <w:rsid w:val="00723576"/>
    <w:rsid w:val="00B638CC"/>
    <w:rsid w:val="00C44DF4"/>
    <w:rsid w:val="00C473AC"/>
    <w:rsid w:val="00E253CD"/>
    <w:rsid w:val="00F532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836B0F"/>
  <w15:chartTrackingRefBased/>
  <w15:docId w15:val="{790CA825-13DE-4FFB-B9A5-4E093142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52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52FA"/>
    <w:pPr>
      <w:tabs>
        <w:tab w:val="center" w:pos="4153"/>
        <w:tab w:val="right" w:pos="8306"/>
      </w:tabs>
    </w:pPr>
  </w:style>
  <w:style w:type="character" w:customStyle="1" w:styleId="a4">
    <w:name w:val="כותרת עליונה תו"/>
    <w:link w:val="a3"/>
    <w:rsid w:val="001D52FA"/>
    <w:rPr>
      <w:rFonts w:ascii="Times New Roman" w:eastAsia="Times New Roman" w:hAnsi="Times New Roman" w:cs="David"/>
      <w:sz w:val="24"/>
      <w:szCs w:val="24"/>
    </w:rPr>
  </w:style>
  <w:style w:type="paragraph" w:styleId="a5">
    <w:name w:val="footer"/>
    <w:basedOn w:val="a"/>
    <w:link w:val="a6"/>
    <w:rsid w:val="001D52FA"/>
    <w:pPr>
      <w:tabs>
        <w:tab w:val="center" w:pos="4153"/>
        <w:tab w:val="right" w:pos="8306"/>
      </w:tabs>
    </w:pPr>
  </w:style>
  <w:style w:type="character" w:customStyle="1" w:styleId="a6">
    <w:name w:val="כותרת תחתונה תו"/>
    <w:link w:val="a5"/>
    <w:rsid w:val="001D52FA"/>
    <w:rPr>
      <w:rFonts w:ascii="Times New Roman" w:eastAsia="Times New Roman" w:hAnsi="Times New Roman" w:cs="David"/>
      <w:sz w:val="24"/>
      <w:szCs w:val="24"/>
    </w:rPr>
  </w:style>
  <w:style w:type="table" w:styleId="a7">
    <w:name w:val="Table Grid"/>
    <w:basedOn w:val="a1"/>
    <w:rsid w:val="001D52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D52FA"/>
  </w:style>
  <w:style w:type="paragraph" w:styleId="a9">
    <w:name w:val="List Paragraph"/>
    <w:basedOn w:val="a"/>
    <w:link w:val="aa"/>
    <w:qFormat/>
    <w:rsid w:val="001D52FA"/>
    <w:pPr>
      <w:ind w:left="720"/>
      <w:contextualSpacing/>
    </w:pPr>
  </w:style>
  <w:style w:type="character" w:customStyle="1" w:styleId="aa">
    <w:name w:val="פיסקת רשימה תו"/>
    <w:link w:val="a9"/>
    <w:locked/>
    <w:rsid w:val="001D52FA"/>
    <w:rPr>
      <w:rFonts w:ascii="Times New Roman" w:eastAsia="Times New Roman" w:hAnsi="Times New Roman" w:cs="David"/>
      <w:sz w:val="24"/>
      <w:szCs w:val="24"/>
    </w:rPr>
  </w:style>
  <w:style w:type="character" w:customStyle="1" w:styleId="default">
    <w:name w:val="default"/>
    <w:rsid w:val="001D52FA"/>
    <w:rPr>
      <w:rFonts w:ascii="Times New Roman" w:hAnsi="Times New Roman" w:cs="Times New Roman" w:hint="default"/>
      <w:sz w:val="26"/>
      <w:szCs w:val="26"/>
    </w:rPr>
  </w:style>
  <w:style w:type="character" w:styleId="Hyperlink">
    <w:name w:val="Hyperlink"/>
    <w:rsid w:val="006C066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0443017" TargetMode="External"/><Relationship Id="rId26" Type="http://schemas.openxmlformats.org/officeDocument/2006/relationships/hyperlink" Target="http://www.nevo.co.il/law/70301/144.g" TargetMode="External"/><Relationship Id="rId39" Type="http://schemas.openxmlformats.org/officeDocument/2006/relationships/hyperlink" Target="http://www.nevo.co.il/case/27806879" TargetMode="External"/><Relationship Id="rId21" Type="http://schemas.openxmlformats.org/officeDocument/2006/relationships/hyperlink" Target="http://www.nevo.co.il/case/29867910" TargetMode="External"/><Relationship Id="rId34" Type="http://schemas.openxmlformats.org/officeDocument/2006/relationships/hyperlink" Target="http://www.nevo.co.il/case/29425463" TargetMode="External"/><Relationship Id="rId42" Type="http://schemas.openxmlformats.org/officeDocument/2006/relationships/hyperlink" Target="http://www.nevo.co.il/law/70301/144"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473037" TargetMode="External"/><Relationship Id="rId29" Type="http://schemas.openxmlformats.org/officeDocument/2006/relationships/hyperlink" Target="http://www.nevo.co.il/case/27234477"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case/27648787" TargetMode="External"/><Relationship Id="rId32" Type="http://schemas.openxmlformats.org/officeDocument/2006/relationships/hyperlink" Target="http://www.nevo.co.il/case/30185243" TargetMode="External"/><Relationship Id="rId37" Type="http://schemas.openxmlformats.org/officeDocument/2006/relationships/hyperlink" Target="http://www.nevo.co.il/case/27910054" TargetMode="External"/><Relationship Id="rId40" Type="http://schemas.openxmlformats.org/officeDocument/2006/relationships/hyperlink" Target="http://www.nevo.co.il/case/29372283"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144.c.3" TargetMode="External"/><Relationship Id="rId23" Type="http://schemas.openxmlformats.org/officeDocument/2006/relationships/hyperlink" Target="http://www.nevo.co.il/case/27734980" TargetMode="External"/><Relationship Id="rId28" Type="http://schemas.openxmlformats.org/officeDocument/2006/relationships/hyperlink" Target="http://www.nevo.co.il/case/29445473" TargetMode="External"/><Relationship Id="rId36" Type="http://schemas.openxmlformats.org/officeDocument/2006/relationships/hyperlink" Target="http://www.nevo.co.il/case/28010041" TargetMode="External"/><Relationship Id="rId49" Type="http://schemas.openxmlformats.org/officeDocument/2006/relationships/footer" Target="footer1.xml"/><Relationship Id="rId10" Type="http://schemas.openxmlformats.org/officeDocument/2006/relationships/hyperlink" Target="http://www.nevo.co.il/law/70301/144.c.3" TargetMode="External"/><Relationship Id="rId19" Type="http://schemas.openxmlformats.org/officeDocument/2006/relationships/hyperlink" Target="http://www.nevo.co.il/case/25924423" TargetMode="External"/><Relationship Id="rId31" Type="http://schemas.openxmlformats.org/officeDocument/2006/relationships/hyperlink" Target="http://www.nevo.co.il/law/70301/144.g" TargetMode="External"/><Relationship Id="rId44" Type="http://schemas.openxmlformats.org/officeDocument/2006/relationships/hyperlink" Target="http://www.nevo.co.il/law/70301/14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7513376" TargetMode="External"/><Relationship Id="rId27" Type="http://schemas.openxmlformats.org/officeDocument/2006/relationships/hyperlink" Target="http://www.nevo.co.il/case/23129184" TargetMode="External"/><Relationship Id="rId30" Type="http://schemas.openxmlformats.org/officeDocument/2006/relationships/hyperlink" Target="http://www.nevo.co.il/case/5981628" TargetMode="External"/><Relationship Id="rId35" Type="http://schemas.openxmlformats.org/officeDocument/2006/relationships/hyperlink" Target="http://www.nevo.co.il/case/30075178" TargetMode="External"/><Relationship Id="rId43" Type="http://schemas.openxmlformats.org/officeDocument/2006/relationships/hyperlink" Target="http://www.nevo.co.il/law/70301" TargetMode="External"/><Relationship Id="rId48" Type="http://schemas.openxmlformats.org/officeDocument/2006/relationships/header" Target="header2.xml"/><Relationship Id="rId8" Type="http://schemas.openxmlformats.org/officeDocument/2006/relationships/hyperlink" Target="http://www.nevo.co.il/law/70301/144"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586558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3526032" TargetMode="External"/><Relationship Id="rId38" Type="http://schemas.openxmlformats.org/officeDocument/2006/relationships/hyperlink" Target="http://www.nevo.co.il/case/30390092"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30185243" TargetMode="External"/><Relationship Id="rId41" Type="http://schemas.openxmlformats.org/officeDocument/2006/relationships/hyperlink" Target="http://www.nevo.co.il/case/2630964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2399</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14368</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6357092</vt:i4>
      </vt:variant>
      <vt:variant>
        <vt:i4>111</vt:i4>
      </vt:variant>
      <vt:variant>
        <vt:i4>0</vt:i4>
      </vt:variant>
      <vt:variant>
        <vt:i4>5</vt:i4>
      </vt:variant>
      <vt:variant>
        <vt:lpwstr>http://www.nevo.co.il/law/70301/144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6357092</vt:i4>
      </vt:variant>
      <vt:variant>
        <vt:i4>105</vt:i4>
      </vt:variant>
      <vt:variant>
        <vt:i4>0</vt:i4>
      </vt:variant>
      <vt:variant>
        <vt:i4>5</vt:i4>
      </vt:variant>
      <vt:variant>
        <vt:lpwstr>http://www.nevo.co.il/law/70301/144</vt:lpwstr>
      </vt:variant>
      <vt:variant>
        <vt:lpwstr/>
      </vt:variant>
      <vt:variant>
        <vt:i4>3932276</vt:i4>
      </vt:variant>
      <vt:variant>
        <vt:i4>102</vt:i4>
      </vt:variant>
      <vt:variant>
        <vt:i4>0</vt:i4>
      </vt:variant>
      <vt:variant>
        <vt:i4>5</vt:i4>
      </vt:variant>
      <vt:variant>
        <vt:lpwstr>http://www.nevo.co.il/case/26309644</vt:lpwstr>
      </vt:variant>
      <vt:variant>
        <vt:lpwstr/>
      </vt:variant>
      <vt:variant>
        <vt:i4>3866744</vt:i4>
      </vt:variant>
      <vt:variant>
        <vt:i4>99</vt:i4>
      </vt:variant>
      <vt:variant>
        <vt:i4>0</vt:i4>
      </vt:variant>
      <vt:variant>
        <vt:i4>5</vt:i4>
      </vt:variant>
      <vt:variant>
        <vt:lpwstr>http://www.nevo.co.il/case/29372283</vt:lpwstr>
      </vt:variant>
      <vt:variant>
        <vt:lpwstr/>
      </vt:variant>
      <vt:variant>
        <vt:i4>3866747</vt:i4>
      </vt:variant>
      <vt:variant>
        <vt:i4>96</vt:i4>
      </vt:variant>
      <vt:variant>
        <vt:i4>0</vt:i4>
      </vt:variant>
      <vt:variant>
        <vt:i4>5</vt:i4>
      </vt:variant>
      <vt:variant>
        <vt:lpwstr>http://www.nevo.co.il/case/27806879</vt:lpwstr>
      </vt:variant>
      <vt:variant>
        <vt:lpwstr/>
      </vt:variant>
      <vt:variant>
        <vt:i4>3735677</vt:i4>
      </vt:variant>
      <vt:variant>
        <vt:i4>93</vt:i4>
      </vt:variant>
      <vt:variant>
        <vt:i4>0</vt:i4>
      </vt:variant>
      <vt:variant>
        <vt:i4>5</vt:i4>
      </vt:variant>
      <vt:variant>
        <vt:lpwstr>http://www.nevo.co.il/case/30390092</vt:lpwstr>
      </vt:variant>
      <vt:variant>
        <vt:lpwstr/>
      </vt:variant>
      <vt:variant>
        <vt:i4>4063346</vt:i4>
      </vt:variant>
      <vt:variant>
        <vt:i4>90</vt:i4>
      </vt:variant>
      <vt:variant>
        <vt:i4>0</vt:i4>
      </vt:variant>
      <vt:variant>
        <vt:i4>5</vt:i4>
      </vt:variant>
      <vt:variant>
        <vt:lpwstr>http://www.nevo.co.il/case/27910054</vt:lpwstr>
      </vt:variant>
      <vt:variant>
        <vt:lpwstr/>
      </vt:variant>
      <vt:variant>
        <vt:i4>3539069</vt:i4>
      </vt:variant>
      <vt:variant>
        <vt:i4>87</vt:i4>
      </vt:variant>
      <vt:variant>
        <vt:i4>0</vt:i4>
      </vt:variant>
      <vt:variant>
        <vt:i4>5</vt:i4>
      </vt:variant>
      <vt:variant>
        <vt:lpwstr>http://www.nevo.co.il/case/28010041</vt:lpwstr>
      </vt:variant>
      <vt:variant>
        <vt:lpwstr/>
      </vt:variant>
      <vt:variant>
        <vt:i4>3211378</vt:i4>
      </vt:variant>
      <vt:variant>
        <vt:i4>84</vt:i4>
      </vt:variant>
      <vt:variant>
        <vt:i4>0</vt:i4>
      </vt:variant>
      <vt:variant>
        <vt:i4>5</vt:i4>
      </vt:variant>
      <vt:variant>
        <vt:lpwstr>http://www.nevo.co.il/case/30075178</vt:lpwstr>
      </vt:variant>
      <vt:variant>
        <vt:lpwstr/>
      </vt:variant>
      <vt:variant>
        <vt:i4>3473531</vt:i4>
      </vt:variant>
      <vt:variant>
        <vt:i4>81</vt:i4>
      </vt:variant>
      <vt:variant>
        <vt:i4>0</vt:i4>
      </vt:variant>
      <vt:variant>
        <vt:i4>5</vt:i4>
      </vt:variant>
      <vt:variant>
        <vt:lpwstr>http://www.nevo.co.il/case/29425463</vt:lpwstr>
      </vt:variant>
      <vt:variant>
        <vt:lpwstr/>
      </vt:variant>
      <vt:variant>
        <vt:i4>3276917</vt:i4>
      </vt:variant>
      <vt:variant>
        <vt:i4>78</vt:i4>
      </vt:variant>
      <vt:variant>
        <vt:i4>0</vt:i4>
      </vt:variant>
      <vt:variant>
        <vt:i4>5</vt:i4>
      </vt:variant>
      <vt:variant>
        <vt:lpwstr>http://www.nevo.co.il/case/23526032</vt:lpwstr>
      </vt:variant>
      <vt:variant>
        <vt:lpwstr/>
      </vt:variant>
      <vt:variant>
        <vt:i4>3342462</vt:i4>
      </vt:variant>
      <vt:variant>
        <vt:i4>75</vt:i4>
      </vt:variant>
      <vt:variant>
        <vt:i4>0</vt:i4>
      </vt:variant>
      <vt:variant>
        <vt:i4>5</vt:i4>
      </vt:variant>
      <vt:variant>
        <vt:lpwstr>http://www.nevo.co.il/case/30185243</vt:lpwstr>
      </vt:variant>
      <vt:variant>
        <vt:lpwstr/>
      </vt:variant>
      <vt:variant>
        <vt:i4>5177424</vt:i4>
      </vt:variant>
      <vt:variant>
        <vt:i4>72</vt:i4>
      </vt:variant>
      <vt:variant>
        <vt:i4>0</vt:i4>
      </vt:variant>
      <vt:variant>
        <vt:i4>5</vt:i4>
      </vt:variant>
      <vt:variant>
        <vt:lpwstr>http://www.nevo.co.il/law/70301/144.g</vt:lpwstr>
      </vt:variant>
      <vt:variant>
        <vt:lpwstr/>
      </vt:variant>
      <vt:variant>
        <vt:i4>3342462</vt:i4>
      </vt:variant>
      <vt:variant>
        <vt:i4>69</vt:i4>
      </vt:variant>
      <vt:variant>
        <vt:i4>0</vt:i4>
      </vt:variant>
      <vt:variant>
        <vt:i4>5</vt:i4>
      </vt:variant>
      <vt:variant>
        <vt:lpwstr>http://www.nevo.co.il/case/5981628</vt:lpwstr>
      </vt:variant>
      <vt:variant>
        <vt:lpwstr/>
      </vt:variant>
      <vt:variant>
        <vt:i4>3342452</vt:i4>
      </vt:variant>
      <vt:variant>
        <vt:i4>66</vt:i4>
      </vt:variant>
      <vt:variant>
        <vt:i4>0</vt:i4>
      </vt:variant>
      <vt:variant>
        <vt:i4>5</vt:i4>
      </vt:variant>
      <vt:variant>
        <vt:lpwstr>http://www.nevo.co.il/case/27234477</vt:lpwstr>
      </vt:variant>
      <vt:variant>
        <vt:lpwstr/>
      </vt:variant>
      <vt:variant>
        <vt:i4>3407997</vt:i4>
      </vt:variant>
      <vt:variant>
        <vt:i4>63</vt:i4>
      </vt:variant>
      <vt:variant>
        <vt:i4>0</vt:i4>
      </vt:variant>
      <vt:variant>
        <vt:i4>5</vt:i4>
      </vt:variant>
      <vt:variant>
        <vt:lpwstr>http://www.nevo.co.il/case/29445473</vt:lpwstr>
      </vt:variant>
      <vt:variant>
        <vt:lpwstr/>
      </vt:variant>
      <vt:variant>
        <vt:i4>3276916</vt:i4>
      </vt:variant>
      <vt:variant>
        <vt:i4>60</vt:i4>
      </vt:variant>
      <vt:variant>
        <vt:i4>0</vt:i4>
      </vt:variant>
      <vt:variant>
        <vt:i4>5</vt:i4>
      </vt:variant>
      <vt:variant>
        <vt:lpwstr>http://www.nevo.co.il/case/23129184</vt:lpwstr>
      </vt:variant>
      <vt:variant>
        <vt:lpwstr/>
      </vt:variant>
      <vt:variant>
        <vt:i4>5177424</vt:i4>
      </vt:variant>
      <vt:variant>
        <vt:i4>57</vt:i4>
      </vt:variant>
      <vt:variant>
        <vt:i4>0</vt:i4>
      </vt:variant>
      <vt:variant>
        <vt:i4>5</vt:i4>
      </vt:variant>
      <vt:variant>
        <vt:lpwstr>http://www.nevo.co.il/law/70301/144.g</vt:lpwstr>
      </vt:variant>
      <vt:variant>
        <vt:lpwstr/>
      </vt:variant>
      <vt:variant>
        <vt:i4>7995492</vt:i4>
      </vt:variant>
      <vt:variant>
        <vt:i4>54</vt:i4>
      </vt:variant>
      <vt:variant>
        <vt:i4>0</vt:i4>
      </vt:variant>
      <vt:variant>
        <vt:i4>5</vt:i4>
      </vt:variant>
      <vt:variant>
        <vt:lpwstr>http://www.nevo.co.il/law/70301</vt:lpwstr>
      </vt:variant>
      <vt:variant>
        <vt:lpwstr/>
      </vt:variant>
      <vt:variant>
        <vt:i4>3407984</vt:i4>
      </vt:variant>
      <vt:variant>
        <vt:i4>51</vt:i4>
      </vt:variant>
      <vt:variant>
        <vt:i4>0</vt:i4>
      </vt:variant>
      <vt:variant>
        <vt:i4>5</vt:i4>
      </vt:variant>
      <vt:variant>
        <vt:lpwstr>http://www.nevo.co.il/case/27648787</vt:lpwstr>
      </vt:variant>
      <vt:variant>
        <vt:lpwstr/>
      </vt:variant>
      <vt:variant>
        <vt:i4>3735673</vt:i4>
      </vt:variant>
      <vt:variant>
        <vt:i4>48</vt:i4>
      </vt:variant>
      <vt:variant>
        <vt:i4>0</vt:i4>
      </vt:variant>
      <vt:variant>
        <vt:i4>5</vt:i4>
      </vt:variant>
      <vt:variant>
        <vt:lpwstr>http://www.nevo.co.il/case/27734980</vt:lpwstr>
      </vt:variant>
      <vt:variant>
        <vt:lpwstr/>
      </vt:variant>
      <vt:variant>
        <vt:i4>3342449</vt:i4>
      </vt:variant>
      <vt:variant>
        <vt:i4>45</vt:i4>
      </vt:variant>
      <vt:variant>
        <vt:i4>0</vt:i4>
      </vt:variant>
      <vt:variant>
        <vt:i4>5</vt:i4>
      </vt:variant>
      <vt:variant>
        <vt:lpwstr>http://www.nevo.co.il/case/27513376</vt:lpwstr>
      </vt:variant>
      <vt:variant>
        <vt:lpwstr/>
      </vt:variant>
      <vt:variant>
        <vt:i4>3932274</vt:i4>
      </vt:variant>
      <vt:variant>
        <vt:i4>42</vt:i4>
      </vt:variant>
      <vt:variant>
        <vt:i4>0</vt:i4>
      </vt:variant>
      <vt:variant>
        <vt:i4>5</vt:i4>
      </vt:variant>
      <vt:variant>
        <vt:lpwstr>http://www.nevo.co.il/case/29867910</vt:lpwstr>
      </vt:variant>
      <vt:variant>
        <vt:lpwstr/>
      </vt:variant>
      <vt:variant>
        <vt:i4>3342462</vt:i4>
      </vt:variant>
      <vt:variant>
        <vt:i4>39</vt:i4>
      </vt:variant>
      <vt:variant>
        <vt:i4>0</vt:i4>
      </vt:variant>
      <vt:variant>
        <vt:i4>5</vt:i4>
      </vt:variant>
      <vt:variant>
        <vt:lpwstr>http://www.nevo.co.il/case/30185243</vt:lpwstr>
      </vt:variant>
      <vt:variant>
        <vt:lpwstr/>
      </vt:variant>
      <vt:variant>
        <vt:i4>3997815</vt:i4>
      </vt:variant>
      <vt:variant>
        <vt:i4>36</vt:i4>
      </vt:variant>
      <vt:variant>
        <vt:i4>0</vt:i4>
      </vt:variant>
      <vt:variant>
        <vt:i4>5</vt:i4>
      </vt:variant>
      <vt:variant>
        <vt:lpwstr>http://www.nevo.co.il/case/25924423</vt:lpwstr>
      </vt:variant>
      <vt:variant>
        <vt:lpwstr/>
      </vt:variant>
      <vt:variant>
        <vt:i4>3604592</vt:i4>
      </vt:variant>
      <vt:variant>
        <vt:i4>33</vt:i4>
      </vt:variant>
      <vt:variant>
        <vt:i4>0</vt:i4>
      </vt:variant>
      <vt:variant>
        <vt:i4>5</vt:i4>
      </vt:variant>
      <vt:variant>
        <vt:lpwstr>http://www.nevo.co.il/case/10443017</vt:lpwstr>
      </vt:variant>
      <vt:variant>
        <vt:lpwstr/>
      </vt:variant>
      <vt:variant>
        <vt:i4>3604593</vt:i4>
      </vt:variant>
      <vt:variant>
        <vt:i4>30</vt:i4>
      </vt:variant>
      <vt:variant>
        <vt:i4>0</vt:i4>
      </vt:variant>
      <vt:variant>
        <vt:i4>5</vt:i4>
      </vt:variant>
      <vt:variant>
        <vt:lpwstr>http://www.nevo.co.il/case/5865581</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6357043</vt:i4>
      </vt:variant>
      <vt:variant>
        <vt:i4>24</vt:i4>
      </vt:variant>
      <vt:variant>
        <vt:i4>0</vt:i4>
      </vt:variant>
      <vt:variant>
        <vt:i4>5</vt:i4>
      </vt:variant>
      <vt:variant>
        <vt:lpwstr>http://www.nevo.co.il/law/70301/144.c.3</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6357043</vt:i4>
      </vt:variant>
      <vt:variant>
        <vt:i4>9</vt:i4>
      </vt:variant>
      <vt:variant>
        <vt:i4>0</vt:i4>
      </vt:variant>
      <vt:variant>
        <vt:i4>5</vt:i4>
      </vt:variant>
      <vt:variant>
        <vt:lpwstr>http://www.nevo.co.il/law/70301/144.c.3</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2025-02-28T15:36:00Z</dcterms:created>
  <dcterms:modified xsi:type="dcterms:W3CDTF">2025-02-28T15:36:00Z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37506</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אחמד כעבייה</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20250129</vt:lpwstr>
  </property>
  <property fmtid="{D5CDD505-2E9C-101B-9397-08002B2CF9AE}" pid="13" name="TYPE_N_DATE">
    <vt:lpwstr>38020250129</vt:lpwstr>
  </property>
  <property fmtid="{D5CDD505-2E9C-101B-9397-08002B2CF9AE}" pid="14" name="CASESLISTTMP1">
    <vt:lpwstr>6473037;5865581;10443017;25924423;30185243:2;29867910;27513376;27734980;27648787;23129184;29445473;27234477;5981628;23526032;29425463;30075178;28010041;27910054;30390092;27806879;29372283;26309644</vt:lpwstr>
  </property>
  <property fmtid="{D5CDD505-2E9C-101B-9397-08002B2CF9AE}" pid="15" name="CASENOTES1">
    <vt:lpwstr>ProcID=209&amp;PartA=52428&amp;PartB=02&amp;PartC=23</vt:lpwstr>
  </property>
  <property fmtid="{D5CDD505-2E9C-101B-9397-08002B2CF9AE}" pid="16" name="CASENOTES2">
    <vt:lpwstr>ProcID=133;209&amp;PartA=5798&amp;PartC=00</vt:lpwstr>
  </property>
  <property fmtid="{D5CDD505-2E9C-101B-9397-08002B2CF9AE}" pid="17" name="WORDNUMPAGES">
    <vt:lpwstr>7</vt:lpwstr>
  </property>
  <property fmtid="{D5CDD505-2E9C-101B-9397-08002B2CF9AE}" pid="18" name="TYPE_ABS_DATE">
    <vt:lpwstr>380020250129</vt:lpwstr>
  </property>
  <property fmtid="{D5CDD505-2E9C-101B-9397-08002B2CF9AE}" pid="19" name="ISABSTRACT">
    <vt:lpwstr>Y</vt:lpwstr>
  </property>
  <property fmtid="{D5CDD505-2E9C-101B-9397-08002B2CF9AE}" pid="20" name="LAWLISTTMP1">
    <vt:lpwstr>70301/144.a:2;144.c.3;144.g:2;144:2</vt:lpwstr>
  </property>
</Properties>
</file>