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9D40E9" w:rsidRPr="003D6785" w14:paraId="2A5AE5AE" w14:textId="77777777" w:rsidTr="00A624A3">
        <w:trPr>
          <w:trHeight w:hRule="exact" w:val="418"/>
          <w:jc w:val="center"/>
        </w:trPr>
        <w:tc>
          <w:tcPr>
            <w:tcW w:w="8721" w:type="dxa"/>
            <w:gridSpan w:val="2"/>
          </w:tcPr>
          <w:p w14:paraId="760B4B76" w14:textId="77777777" w:rsidR="009D40E9" w:rsidRPr="003D6785" w:rsidRDefault="009D40E9" w:rsidP="002D2092">
            <w:pPr>
              <w:pStyle w:val="a3"/>
              <w:jc w:val="center"/>
              <w:rPr>
                <w:rFonts w:ascii="Tahoma" w:hAnsi="Tahoma" w:cs="Tahoma"/>
                <w:color w:val="000080"/>
                <w:rtl/>
              </w:rPr>
            </w:pPr>
            <w:r w:rsidRPr="003D6785">
              <w:rPr>
                <w:rFonts w:ascii="Tahoma" w:hAnsi="Tahoma" w:cs="Tahoma"/>
                <w:b/>
                <w:bCs/>
                <w:color w:val="000080"/>
                <w:rtl/>
              </w:rPr>
              <w:t>בית משפט השלום בקריות</w:t>
            </w:r>
          </w:p>
        </w:tc>
      </w:tr>
      <w:tr w:rsidR="009D40E9" w:rsidRPr="007E2005" w14:paraId="41AB4548" w14:textId="77777777" w:rsidTr="00A624A3">
        <w:trPr>
          <w:trHeight w:val="337"/>
          <w:jc w:val="center"/>
        </w:trPr>
        <w:tc>
          <w:tcPr>
            <w:tcW w:w="5054" w:type="dxa"/>
          </w:tcPr>
          <w:p w14:paraId="7C2A08C4" w14:textId="77777777" w:rsidR="009D40E9" w:rsidRPr="007E2005" w:rsidRDefault="009D40E9" w:rsidP="007E2005">
            <w:pPr>
              <w:pStyle w:val="a3"/>
              <w:spacing w:before="120" w:after="120" w:line="240" w:lineRule="exact"/>
              <w:rPr>
                <w:rFonts w:ascii="David" w:hAnsi="David"/>
                <w:b/>
                <w:bCs/>
                <w:sz w:val="26"/>
                <w:szCs w:val="26"/>
                <w:rtl/>
              </w:rPr>
            </w:pPr>
            <w:r w:rsidRPr="007E2005">
              <w:rPr>
                <w:rFonts w:ascii="David" w:hAnsi="David"/>
                <w:b/>
                <w:bCs/>
                <w:sz w:val="26"/>
                <w:szCs w:val="26"/>
                <w:rtl/>
              </w:rPr>
              <w:t>ת"פ 45761-05-24 מדינת ישראל נ' יוספין</w:t>
            </w:r>
          </w:p>
        </w:tc>
        <w:tc>
          <w:tcPr>
            <w:tcW w:w="3667" w:type="dxa"/>
          </w:tcPr>
          <w:p w14:paraId="739F4F1F" w14:textId="77777777" w:rsidR="009D40E9" w:rsidRPr="007E2005" w:rsidRDefault="009D40E9" w:rsidP="007E2005">
            <w:pPr>
              <w:pStyle w:val="a3"/>
              <w:spacing w:before="120" w:after="120" w:line="240" w:lineRule="exact"/>
              <w:jc w:val="right"/>
              <w:rPr>
                <w:rFonts w:ascii="David" w:hAnsi="David"/>
                <w:b/>
                <w:bCs/>
                <w:sz w:val="26"/>
                <w:szCs w:val="26"/>
                <w:rtl/>
              </w:rPr>
            </w:pPr>
          </w:p>
        </w:tc>
      </w:tr>
    </w:tbl>
    <w:p w14:paraId="628DC015" w14:textId="77777777" w:rsidR="009D40E9" w:rsidRPr="007E2005" w:rsidRDefault="009D40E9" w:rsidP="007E2005">
      <w:pPr>
        <w:pStyle w:val="a3"/>
        <w:spacing w:before="120" w:after="120" w:line="240" w:lineRule="exact"/>
        <w:rPr>
          <w:rFonts w:ascii="David" w:hAnsi="David"/>
          <w:b/>
          <w:bCs/>
          <w:sz w:val="26"/>
          <w:szCs w:val="26"/>
          <w:rtl/>
        </w:rPr>
      </w:pPr>
      <w:r w:rsidRPr="007E2005">
        <w:rPr>
          <w:rFonts w:ascii="David" w:hAnsi="David"/>
          <w:b/>
          <w:bCs/>
          <w:sz w:val="26"/>
          <w:szCs w:val="26"/>
          <w:rtl/>
        </w:rPr>
        <w:t xml:space="preserve"> </w:t>
      </w:r>
    </w:p>
    <w:tbl>
      <w:tblPr>
        <w:bidiVisual/>
        <w:tblW w:w="93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7"/>
        <w:gridCol w:w="5095"/>
        <w:gridCol w:w="3263"/>
      </w:tblGrid>
      <w:tr w:rsidR="009D40E9" w:rsidRPr="007E2005" w14:paraId="02A45AAB" w14:textId="77777777" w:rsidTr="009D40E9">
        <w:trPr>
          <w:trHeight w:val="345"/>
          <w:jc w:val="center"/>
        </w:trPr>
        <w:tc>
          <w:tcPr>
            <w:tcW w:w="957" w:type="dxa"/>
            <w:tcBorders>
              <w:top w:val="nil"/>
              <w:left w:val="nil"/>
              <w:bottom w:val="nil"/>
              <w:right w:val="nil"/>
            </w:tcBorders>
            <w:shd w:val="clear" w:color="auto" w:fill="auto"/>
          </w:tcPr>
          <w:p w14:paraId="730ED92A" w14:textId="77777777" w:rsidR="009D40E9" w:rsidRPr="007E2005" w:rsidRDefault="009D40E9" w:rsidP="007E2005">
            <w:pPr>
              <w:spacing w:before="120" w:after="120" w:line="240" w:lineRule="exact"/>
              <w:jc w:val="both"/>
              <w:rPr>
                <w:rFonts w:ascii="David" w:hAnsi="David"/>
                <w:b/>
                <w:bCs/>
                <w:sz w:val="26"/>
                <w:szCs w:val="26"/>
              </w:rPr>
            </w:pPr>
            <w:r w:rsidRPr="007E2005">
              <w:rPr>
                <w:rFonts w:ascii="David" w:hAnsi="David"/>
                <w:b/>
                <w:bCs/>
                <w:sz w:val="26"/>
                <w:szCs w:val="26"/>
                <w:rtl/>
              </w:rPr>
              <w:t xml:space="preserve">בפני </w:t>
            </w:r>
          </w:p>
        </w:tc>
        <w:tc>
          <w:tcPr>
            <w:tcW w:w="8358" w:type="dxa"/>
            <w:gridSpan w:val="2"/>
            <w:tcBorders>
              <w:top w:val="nil"/>
              <w:left w:val="nil"/>
              <w:bottom w:val="nil"/>
              <w:right w:val="nil"/>
            </w:tcBorders>
            <w:shd w:val="clear" w:color="auto" w:fill="auto"/>
          </w:tcPr>
          <w:p w14:paraId="1BAE23E9" w14:textId="77777777" w:rsidR="009D40E9" w:rsidRPr="007E2005" w:rsidRDefault="009D40E9" w:rsidP="007E2005">
            <w:pPr>
              <w:spacing w:before="120" w:after="120" w:line="240" w:lineRule="exact"/>
              <w:rPr>
                <w:rFonts w:ascii="David" w:hAnsi="David"/>
                <w:b/>
                <w:bCs/>
                <w:sz w:val="26"/>
                <w:szCs w:val="26"/>
              </w:rPr>
            </w:pPr>
            <w:r w:rsidRPr="007E2005">
              <w:rPr>
                <w:rFonts w:ascii="David" w:hAnsi="David"/>
                <w:b/>
                <w:bCs/>
                <w:sz w:val="26"/>
                <w:szCs w:val="26"/>
                <w:rtl/>
              </w:rPr>
              <w:t>כב' השופט יוסי טורס , סגן הנשיאה</w:t>
            </w:r>
          </w:p>
        </w:tc>
      </w:tr>
      <w:tr w:rsidR="009D40E9" w:rsidRPr="007E2005" w14:paraId="700DFF9B" w14:textId="77777777" w:rsidTr="009D40E9">
        <w:trPr>
          <w:trHeight w:val="415"/>
          <w:jc w:val="center"/>
        </w:trPr>
        <w:tc>
          <w:tcPr>
            <w:tcW w:w="957" w:type="dxa"/>
            <w:tcBorders>
              <w:top w:val="nil"/>
              <w:left w:val="nil"/>
              <w:bottom w:val="nil"/>
              <w:right w:val="nil"/>
            </w:tcBorders>
            <w:shd w:val="clear" w:color="auto" w:fill="auto"/>
          </w:tcPr>
          <w:p w14:paraId="76370E5C" w14:textId="77777777" w:rsidR="009D40E9" w:rsidRPr="007E2005" w:rsidRDefault="009D40E9" w:rsidP="007E2005">
            <w:pPr>
              <w:spacing w:before="120" w:after="120" w:line="240" w:lineRule="exact"/>
              <w:jc w:val="both"/>
              <w:rPr>
                <w:rFonts w:ascii="David" w:hAnsi="David"/>
                <w:b/>
                <w:bCs/>
                <w:sz w:val="26"/>
                <w:szCs w:val="26"/>
              </w:rPr>
            </w:pPr>
            <w:bookmarkStart w:id="0" w:name="LastJudge"/>
            <w:bookmarkStart w:id="1" w:name="FirstAppellant"/>
            <w:bookmarkEnd w:id="0"/>
            <w:r w:rsidRPr="007E2005">
              <w:rPr>
                <w:rFonts w:ascii="David" w:hAnsi="David"/>
                <w:b/>
                <w:bCs/>
                <w:sz w:val="26"/>
                <w:szCs w:val="26"/>
                <w:rtl/>
              </w:rPr>
              <w:t>בעניין:</w:t>
            </w:r>
          </w:p>
        </w:tc>
        <w:tc>
          <w:tcPr>
            <w:tcW w:w="5095" w:type="dxa"/>
            <w:tcBorders>
              <w:top w:val="nil"/>
              <w:left w:val="nil"/>
              <w:bottom w:val="nil"/>
              <w:right w:val="nil"/>
            </w:tcBorders>
            <w:shd w:val="clear" w:color="auto" w:fill="auto"/>
          </w:tcPr>
          <w:p w14:paraId="392EE120" w14:textId="77777777" w:rsidR="009D40E9" w:rsidRPr="007E2005" w:rsidRDefault="009D40E9" w:rsidP="007E2005">
            <w:pPr>
              <w:spacing w:before="120" w:after="120" w:line="240" w:lineRule="exact"/>
              <w:rPr>
                <w:rFonts w:ascii="David" w:hAnsi="David"/>
                <w:b/>
                <w:bCs/>
                <w:sz w:val="26"/>
                <w:szCs w:val="26"/>
              </w:rPr>
            </w:pPr>
            <w:r w:rsidRPr="007E2005">
              <w:rPr>
                <w:rFonts w:ascii="David" w:hAnsi="David"/>
                <w:b/>
                <w:bCs/>
                <w:sz w:val="26"/>
                <w:szCs w:val="26"/>
                <w:rtl/>
              </w:rPr>
              <w:t>מדינת ישראל</w:t>
            </w:r>
          </w:p>
        </w:tc>
        <w:tc>
          <w:tcPr>
            <w:tcW w:w="3263" w:type="dxa"/>
            <w:tcBorders>
              <w:top w:val="nil"/>
              <w:left w:val="nil"/>
              <w:bottom w:val="nil"/>
              <w:right w:val="nil"/>
            </w:tcBorders>
            <w:shd w:val="clear" w:color="auto" w:fill="auto"/>
          </w:tcPr>
          <w:p w14:paraId="567F6336" w14:textId="77777777" w:rsidR="009D40E9" w:rsidRPr="007E2005" w:rsidRDefault="009D40E9" w:rsidP="007E2005">
            <w:pPr>
              <w:spacing w:before="120" w:after="120" w:line="240" w:lineRule="exact"/>
              <w:jc w:val="both"/>
              <w:rPr>
                <w:rFonts w:ascii="David" w:hAnsi="David"/>
                <w:b/>
                <w:bCs/>
                <w:sz w:val="26"/>
                <w:szCs w:val="26"/>
              </w:rPr>
            </w:pPr>
            <w:r w:rsidRPr="007E2005">
              <w:rPr>
                <w:rFonts w:ascii="David" w:hAnsi="David"/>
                <w:b/>
                <w:bCs/>
                <w:sz w:val="26"/>
                <w:szCs w:val="26"/>
                <w:rtl/>
              </w:rPr>
              <w:t>המאשימה</w:t>
            </w:r>
          </w:p>
        </w:tc>
      </w:tr>
      <w:bookmarkEnd w:id="1"/>
      <w:tr w:rsidR="007E2005" w:rsidRPr="007E2005" w14:paraId="68A74206" w14:textId="77777777" w:rsidTr="00FF52C9">
        <w:trPr>
          <w:trHeight w:val="415"/>
          <w:jc w:val="center"/>
        </w:trPr>
        <w:tc>
          <w:tcPr>
            <w:tcW w:w="9315" w:type="dxa"/>
            <w:gridSpan w:val="3"/>
            <w:tcBorders>
              <w:top w:val="nil"/>
              <w:left w:val="nil"/>
              <w:bottom w:val="nil"/>
              <w:right w:val="nil"/>
            </w:tcBorders>
            <w:shd w:val="clear" w:color="auto" w:fill="auto"/>
          </w:tcPr>
          <w:p w14:paraId="6413DA36" w14:textId="77777777" w:rsidR="007E2005" w:rsidRPr="007E2005" w:rsidRDefault="007E2005" w:rsidP="007E2005">
            <w:pPr>
              <w:spacing w:before="240" w:after="240" w:line="240" w:lineRule="exact"/>
              <w:jc w:val="center"/>
              <w:rPr>
                <w:rFonts w:ascii="David" w:hAnsi="David"/>
                <w:b/>
                <w:bCs/>
                <w:sz w:val="26"/>
                <w:szCs w:val="26"/>
              </w:rPr>
            </w:pPr>
            <w:r w:rsidRPr="007E2005">
              <w:rPr>
                <w:rFonts w:ascii="David" w:hAnsi="David"/>
                <w:b/>
                <w:bCs/>
                <w:sz w:val="26"/>
                <w:szCs w:val="26"/>
                <w:rtl/>
              </w:rPr>
              <w:t>נגד</w:t>
            </w:r>
          </w:p>
        </w:tc>
      </w:tr>
      <w:tr w:rsidR="009D40E9" w:rsidRPr="007E2005" w14:paraId="018672A4" w14:textId="77777777" w:rsidTr="009D40E9">
        <w:trPr>
          <w:trHeight w:val="415"/>
          <w:jc w:val="center"/>
        </w:trPr>
        <w:tc>
          <w:tcPr>
            <w:tcW w:w="957" w:type="dxa"/>
            <w:tcBorders>
              <w:top w:val="nil"/>
              <w:left w:val="nil"/>
              <w:bottom w:val="nil"/>
              <w:right w:val="nil"/>
            </w:tcBorders>
            <w:shd w:val="clear" w:color="auto" w:fill="auto"/>
          </w:tcPr>
          <w:p w14:paraId="739CDC68" w14:textId="77777777" w:rsidR="009D40E9" w:rsidRPr="007E2005" w:rsidRDefault="009D40E9" w:rsidP="007E2005">
            <w:pPr>
              <w:spacing w:before="120" w:after="120" w:line="240" w:lineRule="exact"/>
              <w:rPr>
                <w:rFonts w:ascii="David" w:hAnsi="David"/>
                <w:b/>
                <w:bCs/>
                <w:sz w:val="26"/>
                <w:szCs w:val="26"/>
                <w:rtl/>
              </w:rPr>
            </w:pPr>
          </w:p>
        </w:tc>
        <w:tc>
          <w:tcPr>
            <w:tcW w:w="5095" w:type="dxa"/>
            <w:tcBorders>
              <w:top w:val="nil"/>
              <w:left w:val="nil"/>
              <w:bottom w:val="nil"/>
              <w:right w:val="nil"/>
            </w:tcBorders>
            <w:shd w:val="clear" w:color="auto" w:fill="auto"/>
          </w:tcPr>
          <w:p w14:paraId="63C08820" w14:textId="77777777" w:rsidR="009D40E9" w:rsidRPr="007E2005" w:rsidRDefault="009D40E9" w:rsidP="007E2005">
            <w:pPr>
              <w:spacing w:before="120" w:after="120" w:line="240" w:lineRule="exact"/>
              <w:rPr>
                <w:rFonts w:ascii="David" w:hAnsi="David"/>
                <w:b/>
                <w:bCs/>
                <w:sz w:val="26"/>
                <w:szCs w:val="26"/>
                <w:rtl/>
              </w:rPr>
            </w:pPr>
            <w:r w:rsidRPr="007E2005">
              <w:rPr>
                <w:rFonts w:ascii="David" w:hAnsi="David"/>
                <w:b/>
                <w:bCs/>
                <w:sz w:val="26"/>
                <w:szCs w:val="26"/>
                <w:rtl/>
              </w:rPr>
              <w:t>אחמד יוספין</w:t>
            </w:r>
          </w:p>
        </w:tc>
        <w:tc>
          <w:tcPr>
            <w:tcW w:w="3263" w:type="dxa"/>
            <w:tcBorders>
              <w:top w:val="nil"/>
              <w:left w:val="nil"/>
              <w:bottom w:val="nil"/>
              <w:right w:val="nil"/>
            </w:tcBorders>
            <w:shd w:val="clear" w:color="auto" w:fill="auto"/>
          </w:tcPr>
          <w:p w14:paraId="6C3327B0" w14:textId="77777777" w:rsidR="009D40E9" w:rsidRPr="007E2005" w:rsidRDefault="009D40E9" w:rsidP="007E2005">
            <w:pPr>
              <w:spacing w:before="120" w:after="120" w:line="240" w:lineRule="exact"/>
              <w:rPr>
                <w:rFonts w:ascii="David" w:hAnsi="David"/>
                <w:b/>
                <w:bCs/>
                <w:sz w:val="26"/>
                <w:szCs w:val="26"/>
              </w:rPr>
            </w:pPr>
            <w:r w:rsidRPr="007E2005">
              <w:rPr>
                <w:rFonts w:ascii="David" w:hAnsi="David"/>
                <w:b/>
                <w:bCs/>
                <w:sz w:val="26"/>
                <w:szCs w:val="26"/>
                <w:rtl/>
              </w:rPr>
              <w:t>הנאשם</w:t>
            </w:r>
          </w:p>
        </w:tc>
      </w:tr>
    </w:tbl>
    <w:p w14:paraId="1DE8C00B" w14:textId="77777777" w:rsidR="003D6785" w:rsidRPr="003D6785" w:rsidRDefault="003D6785" w:rsidP="003D6785">
      <w:pPr>
        <w:spacing w:before="120" w:after="120" w:line="240" w:lineRule="exact"/>
        <w:ind w:left="283" w:hanging="283"/>
        <w:jc w:val="both"/>
        <w:rPr>
          <w:rFonts w:ascii="FrankRuehl" w:hAnsi="FrankRuehl" w:cs="FrankRuehl"/>
          <w:rtl/>
        </w:rPr>
      </w:pPr>
    </w:p>
    <w:p w14:paraId="051C1DE6" w14:textId="77777777" w:rsidR="007E2005" w:rsidRPr="007E2005" w:rsidRDefault="007E2005" w:rsidP="007E2005">
      <w:pPr>
        <w:spacing w:before="120" w:after="120" w:line="240" w:lineRule="exact"/>
        <w:ind w:left="283" w:hanging="283"/>
        <w:jc w:val="both"/>
        <w:rPr>
          <w:rFonts w:ascii="FrankRuehl" w:hAnsi="FrankRuehl" w:cs="FrankRuehl"/>
          <w:rtl/>
        </w:rPr>
      </w:pPr>
      <w:bookmarkStart w:id="2" w:name="LawTable"/>
      <w:bookmarkEnd w:id="2"/>
      <w:r w:rsidRPr="007E2005">
        <w:rPr>
          <w:rFonts w:ascii="FrankRuehl" w:hAnsi="FrankRuehl" w:cs="FrankRuehl"/>
          <w:rtl/>
        </w:rPr>
        <w:t xml:space="preserve">חקיקה שאוזכרה: </w:t>
      </w:r>
    </w:p>
    <w:p w14:paraId="22B3AC81" w14:textId="77777777" w:rsidR="007E2005" w:rsidRPr="007E2005" w:rsidRDefault="007E2005" w:rsidP="007E2005">
      <w:pPr>
        <w:spacing w:before="120" w:after="120" w:line="240" w:lineRule="exact"/>
        <w:ind w:left="283" w:hanging="283"/>
        <w:jc w:val="both"/>
        <w:rPr>
          <w:rFonts w:ascii="FrankRuehl" w:hAnsi="FrankRuehl" w:cs="FrankRuehl"/>
          <w:color w:val="0000FF"/>
          <w:rtl/>
        </w:rPr>
      </w:pPr>
      <w:hyperlink r:id="rId7" w:history="1">
        <w:r w:rsidRPr="007E2005">
          <w:rPr>
            <w:rStyle w:val="Hyperlink"/>
            <w:rFonts w:ascii="FrankRuehl" w:hAnsi="FrankRuehl" w:cs="FrankRuehl"/>
            <w:u w:val="none"/>
            <w:rtl/>
          </w:rPr>
          <w:t>חוק הכניסה לישראל, תשי"ב-1952</w:t>
        </w:r>
      </w:hyperlink>
      <w:r w:rsidRPr="007E2005">
        <w:rPr>
          <w:rFonts w:ascii="FrankRuehl" w:hAnsi="FrankRuehl" w:cs="FrankRuehl"/>
          <w:color w:val="0000FF"/>
          <w:rtl/>
        </w:rPr>
        <w:t xml:space="preserve">: סע'  </w:t>
      </w:r>
      <w:hyperlink r:id="rId8" w:history="1">
        <w:r w:rsidRPr="007E2005">
          <w:rPr>
            <w:rStyle w:val="Hyperlink"/>
            <w:rFonts w:ascii="FrankRuehl" w:hAnsi="FrankRuehl" w:cs="FrankRuehl"/>
            <w:u w:val="none"/>
          </w:rPr>
          <w:t>12</w:t>
        </w:r>
        <w:r w:rsidRPr="007E2005">
          <w:rPr>
            <w:rStyle w:val="Hyperlink"/>
            <w:rFonts w:ascii="FrankRuehl" w:hAnsi="FrankRuehl" w:cs="FrankRuehl"/>
            <w:u w:val="none"/>
            <w:rtl/>
          </w:rPr>
          <w:t>א</w:t>
        </w:r>
      </w:hyperlink>
      <w:r w:rsidRPr="007E2005">
        <w:rPr>
          <w:rFonts w:ascii="FrankRuehl" w:hAnsi="FrankRuehl" w:cs="FrankRuehl"/>
          <w:color w:val="0000FF"/>
          <w:rtl/>
        </w:rPr>
        <w:t xml:space="preserve">(ג)(1), </w:t>
      </w:r>
      <w:hyperlink r:id="rId9" w:history="1">
        <w:r w:rsidRPr="007E2005">
          <w:rPr>
            <w:rStyle w:val="Hyperlink"/>
            <w:rFonts w:ascii="FrankRuehl" w:hAnsi="FrankRuehl" w:cs="FrankRuehl"/>
            <w:u w:val="none"/>
          </w:rPr>
          <w:t>12</w:t>
        </w:r>
        <w:r w:rsidRPr="007E2005">
          <w:rPr>
            <w:rStyle w:val="Hyperlink"/>
            <w:rFonts w:ascii="FrankRuehl" w:hAnsi="FrankRuehl" w:cs="FrankRuehl"/>
            <w:u w:val="none"/>
            <w:rtl/>
          </w:rPr>
          <w:t>ה</w:t>
        </w:r>
        <w:r w:rsidRPr="007E2005">
          <w:rPr>
            <w:rStyle w:val="Hyperlink"/>
            <w:rFonts w:ascii="FrankRuehl" w:hAnsi="FrankRuehl" w:cs="FrankRuehl"/>
            <w:u w:val="none"/>
          </w:rPr>
          <w:t>'</w:t>
        </w:r>
      </w:hyperlink>
      <w:r w:rsidRPr="007E2005">
        <w:rPr>
          <w:rFonts w:ascii="FrankRuehl" w:hAnsi="FrankRuehl" w:cs="FrankRuehl"/>
          <w:color w:val="0000FF"/>
          <w:rtl/>
        </w:rPr>
        <w:t xml:space="preserve">, </w:t>
      </w:r>
      <w:hyperlink r:id="rId10" w:history="1">
        <w:r w:rsidRPr="007E2005">
          <w:rPr>
            <w:rStyle w:val="Hyperlink"/>
            <w:rFonts w:ascii="FrankRuehl" w:hAnsi="FrankRuehl" w:cs="FrankRuehl"/>
            <w:u w:val="none"/>
          </w:rPr>
          <w:t>12</w:t>
        </w:r>
        <w:r w:rsidRPr="007E2005">
          <w:rPr>
            <w:rStyle w:val="Hyperlink"/>
            <w:rFonts w:ascii="FrankRuehl" w:hAnsi="FrankRuehl" w:cs="FrankRuehl"/>
            <w:u w:val="none"/>
            <w:rtl/>
          </w:rPr>
          <w:t>ב2</w:t>
        </w:r>
      </w:hyperlink>
      <w:r w:rsidRPr="007E2005">
        <w:rPr>
          <w:rFonts w:ascii="FrankRuehl" w:hAnsi="FrankRuehl" w:cs="FrankRuehl"/>
          <w:color w:val="0000FF"/>
          <w:rtl/>
        </w:rPr>
        <w:t xml:space="preserve">, </w:t>
      </w:r>
      <w:hyperlink r:id="rId11" w:history="1">
        <w:r w:rsidRPr="007E2005">
          <w:rPr>
            <w:rStyle w:val="Hyperlink"/>
            <w:rFonts w:ascii="FrankRuehl" w:hAnsi="FrankRuehl" w:cs="FrankRuehl"/>
            <w:u w:val="none"/>
          </w:rPr>
          <w:t>12</w:t>
        </w:r>
        <w:r w:rsidRPr="007E2005">
          <w:rPr>
            <w:rStyle w:val="Hyperlink"/>
            <w:rFonts w:ascii="FrankRuehl" w:hAnsi="FrankRuehl" w:cs="FrankRuehl"/>
            <w:u w:val="none"/>
            <w:rtl/>
          </w:rPr>
          <w:t>ב2</w:t>
        </w:r>
      </w:hyperlink>
      <w:r w:rsidRPr="007E2005">
        <w:rPr>
          <w:rFonts w:ascii="FrankRuehl" w:hAnsi="FrankRuehl" w:cs="FrankRuehl"/>
          <w:color w:val="0000FF"/>
          <w:rtl/>
        </w:rPr>
        <w:t xml:space="preserve">(א), </w:t>
      </w:r>
      <w:hyperlink r:id="rId12" w:history="1">
        <w:r w:rsidRPr="007E2005">
          <w:rPr>
            <w:rStyle w:val="Hyperlink"/>
            <w:rFonts w:ascii="FrankRuehl" w:hAnsi="FrankRuehl" w:cs="FrankRuehl"/>
            <w:u w:val="none"/>
          </w:rPr>
          <w:t>12</w:t>
        </w:r>
        <w:r w:rsidRPr="007E2005">
          <w:rPr>
            <w:rStyle w:val="Hyperlink"/>
            <w:rFonts w:ascii="FrankRuehl" w:hAnsi="FrankRuehl" w:cs="FrankRuehl"/>
            <w:u w:val="none"/>
            <w:rtl/>
          </w:rPr>
          <w:t>ב3</w:t>
        </w:r>
      </w:hyperlink>
      <w:r w:rsidRPr="007E2005">
        <w:rPr>
          <w:rFonts w:ascii="FrankRuehl" w:hAnsi="FrankRuehl" w:cs="FrankRuehl"/>
          <w:color w:val="0000FF"/>
          <w:rtl/>
        </w:rPr>
        <w:t xml:space="preserve">, </w:t>
      </w:r>
      <w:hyperlink r:id="rId13" w:history="1">
        <w:r w:rsidRPr="007E2005">
          <w:rPr>
            <w:rStyle w:val="Hyperlink"/>
            <w:rFonts w:ascii="FrankRuehl" w:hAnsi="FrankRuehl" w:cs="FrankRuehl"/>
            <w:u w:val="none"/>
          </w:rPr>
          <w:t>12</w:t>
        </w:r>
        <w:r w:rsidRPr="007E2005">
          <w:rPr>
            <w:rStyle w:val="Hyperlink"/>
            <w:rFonts w:ascii="FrankRuehl" w:hAnsi="FrankRuehl" w:cs="FrankRuehl"/>
            <w:u w:val="none"/>
            <w:rtl/>
          </w:rPr>
          <w:t>ב3</w:t>
        </w:r>
      </w:hyperlink>
      <w:r w:rsidRPr="007E2005">
        <w:rPr>
          <w:rFonts w:ascii="FrankRuehl" w:hAnsi="FrankRuehl" w:cs="FrankRuehl"/>
          <w:color w:val="0000FF"/>
          <w:rtl/>
        </w:rPr>
        <w:t xml:space="preserve">(א)(2), </w:t>
      </w:r>
      <w:hyperlink r:id="rId14" w:history="1">
        <w:r w:rsidRPr="007E2005">
          <w:rPr>
            <w:rStyle w:val="Hyperlink"/>
            <w:rFonts w:ascii="FrankRuehl" w:hAnsi="FrankRuehl" w:cs="FrankRuehl"/>
            <w:u w:val="none"/>
          </w:rPr>
          <w:t>12</w:t>
        </w:r>
        <w:r w:rsidRPr="007E2005">
          <w:rPr>
            <w:rStyle w:val="Hyperlink"/>
            <w:rFonts w:ascii="FrankRuehl" w:hAnsi="FrankRuehl" w:cs="FrankRuehl"/>
            <w:u w:val="none"/>
            <w:rtl/>
          </w:rPr>
          <w:t>ב3</w:t>
        </w:r>
      </w:hyperlink>
      <w:r w:rsidRPr="007E2005">
        <w:rPr>
          <w:rFonts w:ascii="FrankRuehl" w:hAnsi="FrankRuehl" w:cs="FrankRuehl"/>
          <w:color w:val="0000FF"/>
          <w:rtl/>
        </w:rPr>
        <w:t>(ג)</w:t>
      </w:r>
    </w:p>
    <w:p w14:paraId="61ED8593" w14:textId="77777777" w:rsidR="007E2005" w:rsidRPr="007E2005" w:rsidRDefault="007E2005" w:rsidP="007E2005">
      <w:pPr>
        <w:spacing w:before="120" w:after="120" w:line="240" w:lineRule="exact"/>
        <w:ind w:left="283" w:hanging="283"/>
        <w:jc w:val="both"/>
        <w:rPr>
          <w:rFonts w:ascii="FrankRuehl" w:hAnsi="FrankRuehl" w:cs="FrankRuehl"/>
          <w:color w:val="0000FF"/>
          <w:rtl/>
        </w:rPr>
      </w:pPr>
      <w:hyperlink r:id="rId15" w:history="1">
        <w:r w:rsidRPr="007E2005">
          <w:rPr>
            <w:rStyle w:val="Hyperlink"/>
            <w:rFonts w:ascii="FrankRuehl" w:hAnsi="FrankRuehl" w:cs="FrankRuehl"/>
            <w:u w:val="none"/>
            <w:rtl/>
          </w:rPr>
          <w:t>חוק סדר הדין הפלילי [נוסח משולב], תשמ"ב-1982</w:t>
        </w:r>
      </w:hyperlink>
      <w:r w:rsidRPr="007E2005">
        <w:rPr>
          <w:rFonts w:ascii="FrankRuehl" w:hAnsi="FrankRuehl" w:cs="FrankRuehl"/>
          <w:color w:val="0000FF"/>
          <w:rtl/>
        </w:rPr>
        <w:t xml:space="preserve">: סע'  </w:t>
      </w:r>
      <w:hyperlink r:id="rId16" w:history="1">
        <w:r w:rsidRPr="007E2005">
          <w:rPr>
            <w:rStyle w:val="Hyperlink"/>
            <w:rFonts w:ascii="FrankRuehl" w:hAnsi="FrankRuehl" w:cs="FrankRuehl"/>
            <w:u w:val="none"/>
          </w:rPr>
          <w:t>186</w:t>
        </w:r>
      </w:hyperlink>
    </w:p>
    <w:p w14:paraId="702A3D24" w14:textId="77777777" w:rsidR="007E2005" w:rsidRPr="007E2005" w:rsidRDefault="007E2005" w:rsidP="007E2005">
      <w:pPr>
        <w:spacing w:before="120" w:after="120" w:line="240" w:lineRule="exact"/>
        <w:ind w:left="283" w:hanging="283"/>
        <w:jc w:val="both"/>
        <w:rPr>
          <w:rFonts w:ascii="FrankRuehl" w:hAnsi="FrankRuehl" w:cs="FrankRuehl"/>
          <w:color w:val="0000FF"/>
          <w:rtl/>
        </w:rPr>
      </w:pPr>
      <w:hyperlink r:id="rId17" w:history="1">
        <w:r w:rsidRPr="007E2005">
          <w:rPr>
            <w:rStyle w:val="Hyperlink"/>
            <w:rFonts w:ascii="FrankRuehl" w:hAnsi="FrankRuehl" w:cs="FrankRuehl"/>
            <w:u w:val="none"/>
            <w:rtl/>
          </w:rPr>
          <w:t>חוק העונשין, תשל"ז-1977</w:t>
        </w:r>
      </w:hyperlink>
      <w:r w:rsidRPr="007E2005">
        <w:rPr>
          <w:rFonts w:ascii="FrankRuehl" w:hAnsi="FrankRuehl" w:cs="FrankRuehl"/>
          <w:color w:val="0000FF"/>
          <w:rtl/>
        </w:rPr>
        <w:t xml:space="preserve">: סע'  </w:t>
      </w:r>
      <w:hyperlink r:id="rId18" w:history="1">
        <w:r w:rsidRPr="007E2005">
          <w:rPr>
            <w:rStyle w:val="Hyperlink"/>
            <w:rFonts w:ascii="FrankRuehl" w:hAnsi="FrankRuehl" w:cs="FrankRuehl"/>
            <w:u w:val="none"/>
          </w:rPr>
          <w:t>144</w:t>
        </w:r>
        <w:r w:rsidRPr="007E2005">
          <w:rPr>
            <w:rStyle w:val="Hyperlink"/>
            <w:rFonts w:ascii="FrankRuehl" w:hAnsi="FrankRuehl" w:cs="FrankRuehl"/>
            <w:u w:val="none"/>
            <w:rtl/>
          </w:rPr>
          <w:t>ז</w:t>
        </w:r>
      </w:hyperlink>
      <w:r w:rsidRPr="007E2005">
        <w:rPr>
          <w:rFonts w:ascii="FrankRuehl" w:hAnsi="FrankRuehl" w:cs="FrankRuehl"/>
          <w:color w:val="0000FF"/>
          <w:rtl/>
        </w:rPr>
        <w:t xml:space="preserve">, </w:t>
      </w:r>
      <w:hyperlink r:id="rId19" w:history="1">
        <w:r w:rsidRPr="007E2005">
          <w:rPr>
            <w:rStyle w:val="Hyperlink"/>
            <w:rFonts w:ascii="FrankRuehl" w:hAnsi="FrankRuehl" w:cs="FrankRuehl"/>
            <w:u w:val="none"/>
          </w:rPr>
          <w:t>355</w:t>
        </w:r>
      </w:hyperlink>
    </w:p>
    <w:p w14:paraId="1F78836B" w14:textId="77777777" w:rsidR="009D40E9" w:rsidRDefault="009D40E9" w:rsidP="007E2005">
      <w:pPr>
        <w:rPr>
          <w:rFonts w:ascii="David" w:hAnsi="David" w:hint="cs"/>
          <w:sz w:val="26"/>
          <w:szCs w:val="26"/>
          <w:rtl/>
        </w:rPr>
      </w:pPr>
      <w:bookmarkStart w:id="3" w:name="LawTable_End"/>
      <w:bookmarkEnd w:id="3"/>
    </w:p>
    <w:p w14:paraId="6D5664BA" w14:textId="77777777" w:rsidR="00BD05C0" w:rsidRPr="00542A18" w:rsidRDefault="00BD05C0" w:rsidP="00BD05C0">
      <w:pPr>
        <w:pBdr>
          <w:top w:val="single" w:sz="4" w:space="1" w:color="auto"/>
          <w:bottom w:val="single" w:sz="4" w:space="1" w:color="auto"/>
        </w:pBdr>
        <w:spacing w:after="120" w:line="320" w:lineRule="exact"/>
        <w:jc w:val="both"/>
        <w:rPr>
          <w:rFonts w:cs="FrankRuehl" w:hint="cs"/>
          <w:szCs w:val="26"/>
          <w:rtl/>
        </w:rPr>
      </w:pPr>
      <w:bookmarkStart w:id="4" w:name="ABSTRACT_START"/>
      <w:bookmarkEnd w:id="4"/>
      <w:r w:rsidRPr="00542A18">
        <w:rPr>
          <w:rFonts w:cs="FrankRuehl" w:hint="cs"/>
          <w:szCs w:val="26"/>
          <w:rtl/>
        </w:rPr>
        <w:t>מיני-רציו:</w:t>
      </w:r>
    </w:p>
    <w:p w14:paraId="26633101" w14:textId="77777777" w:rsidR="00BD05C0" w:rsidRPr="00542A18" w:rsidRDefault="00BD05C0" w:rsidP="00BD05C0">
      <w:pPr>
        <w:pBdr>
          <w:top w:val="single" w:sz="4" w:space="1" w:color="auto"/>
          <w:bottom w:val="single" w:sz="4" w:space="1" w:color="auto"/>
        </w:pBdr>
        <w:spacing w:after="120" w:line="320" w:lineRule="exact"/>
        <w:jc w:val="both"/>
        <w:rPr>
          <w:rFonts w:cs="FrankRuehl" w:hint="cs"/>
          <w:szCs w:val="26"/>
          <w:rtl/>
        </w:rPr>
      </w:pPr>
      <w:r w:rsidRPr="00542A18">
        <w:rPr>
          <w:rFonts w:cs="FrankRuehl" w:hint="cs"/>
          <w:szCs w:val="26"/>
          <w:rtl/>
        </w:rPr>
        <w:t>* עמדה לדיון השאלה, מהו העונש הראוי למסיע ומעביד של שוהה בלתי חוקי בתקופת מלחמה. הו</w:t>
      </w:r>
      <w:r w:rsidRPr="00542A18">
        <w:rPr>
          <w:rFonts w:cs="FrankRuehl"/>
          <w:szCs w:val="26"/>
          <w:rtl/>
        </w:rPr>
        <w:t>טל</w:t>
      </w:r>
      <w:r w:rsidRPr="00542A18">
        <w:rPr>
          <w:rFonts w:cs="FrankRuehl" w:hint="cs"/>
          <w:szCs w:val="26"/>
          <w:rtl/>
        </w:rPr>
        <w:t>ו</w:t>
      </w:r>
      <w:r w:rsidRPr="00542A18">
        <w:rPr>
          <w:rFonts w:cs="FrankRuehl"/>
          <w:szCs w:val="26"/>
          <w:rtl/>
        </w:rPr>
        <w:t xml:space="preserve"> על הנאשם </w:t>
      </w:r>
      <w:r w:rsidRPr="00542A18">
        <w:rPr>
          <w:rFonts w:cs="FrankRuehl" w:hint="cs"/>
          <w:szCs w:val="26"/>
          <w:rtl/>
        </w:rPr>
        <w:t>12 חודשי מאסר בפועל, לצד ענישה נלווית.</w:t>
      </w:r>
    </w:p>
    <w:p w14:paraId="465BA989" w14:textId="77777777" w:rsidR="00BD05C0" w:rsidRPr="00542A18" w:rsidRDefault="00BD05C0" w:rsidP="00BD05C0">
      <w:pPr>
        <w:pBdr>
          <w:top w:val="single" w:sz="4" w:space="1" w:color="auto"/>
          <w:bottom w:val="single" w:sz="4" w:space="1" w:color="auto"/>
        </w:pBdr>
        <w:spacing w:after="120" w:line="320" w:lineRule="exact"/>
        <w:jc w:val="both"/>
        <w:rPr>
          <w:rFonts w:cs="FrankRuehl" w:hint="cs"/>
          <w:szCs w:val="26"/>
          <w:shd w:val="clear" w:color="auto" w:fill="FFFFFF"/>
          <w:rtl/>
        </w:rPr>
      </w:pPr>
      <w:r w:rsidRPr="00542A18">
        <w:rPr>
          <w:rFonts w:cs="FrankRuehl" w:hint="cs"/>
          <w:szCs w:val="26"/>
          <w:shd w:val="clear" w:color="auto" w:fill="FFFFFF"/>
          <w:rtl/>
        </w:rPr>
        <w:t xml:space="preserve">* </w:t>
      </w:r>
      <w:r w:rsidRPr="00542A18">
        <w:rPr>
          <w:rFonts w:cs="FrankRuehl"/>
          <w:szCs w:val="26"/>
          <w:shd w:val="clear" w:color="auto" w:fill="FFFFFF"/>
          <w:rtl/>
        </w:rPr>
        <w:t>עונשין – ענישה – מדיניות ענישה: הסעת תושב זר שלא כדין</w:t>
      </w:r>
    </w:p>
    <w:p w14:paraId="4583D31F" w14:textId="77777777" w:rsidR="00BD05C0" w:rsidRPr="00542A18" w:rsidRDefault="00BD05C0" w:rsidP="00BD05C0">
      <w:pPr>
        <w:pBdr>
          <w:top w:val="single" w:sz="4" w:space="1" w:color="auto"/>
          <w:bottom w:val="single" w:sz="4" w:space="1" w:color="auto"/>
        </w:pBdr>
        <w:spacing w:after="120" w:line="320" w:lineRule="exact"/>
        <w:jc w:val="both"/>
        <w:rPr>
          <w:rFonts w:cs="FrankRuehl" w:hint="cs"/>
          <w:szCs w:val="26"/>
          <w:rtl/>
        </w:rPr>
      </w:pPr>
      <w:r w:rsidRPr="00542A18">
        <w:rPr>
          <w:rFonts w:cs="FrankRuehl" w:hint="cs"/>
          <w:szCs w:val="26"/>
          <w:shd w:val="clear" w:color="auto" w:fill="FFFFFF"/>
          <w:rtl/>
        </w:rPr>
        <w:t xml:space="preserve">* </w:t>
      </w:r>
      <w:r w:rsidRPr="00542A18">
        <w:rPr>
          <w:rFonts w:cs="FrankRuehl"/>
          <w:szCs w:val="26"/>
          <w:shd w:val="clear" w:color="auto" w:fill="FFFFFF"/>
          <w:rtl/>
        </w:rPr>
        <w:t>עונשין – ענישה – מדיניות ענישה: העסקת תושב זר שלא כדין</w:t>
      </w:r>
    </w:p>
    <w:p w14:paraId="6D472ABE" w14:textId="77777777" w:rsidR="00BD05C0" w:rsidRPr="00542A18" w:rsidRDefault="00BD05C0" w:rsidP="00BD05C0">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5E3FBD19" w14:textId="77777777" w:rsidR="00BD05C0" w:rsidRPr="00542A18" w:rsidRDefault="00BD05C0" w:rsidP="00BD05C0">
      <w:pPr>
        <w:pBdr>
          <w:top w:val="single" w:sz="4" w:space="1" w:color="auto"/>
          <w:bottom w:val="single" w:sz="4" w:space="1" w:color="auto"/>
        </w:pBdr>
        <w:spacing w:after="120" w:line="320" w:lineRule="exact"/>
        <w:jc w:val="both"/>
        <w:rPr>
          <w:rFonts w:cs="FrankRuehl" w:hint="cs"/>
          <w:szCs w:val="26"/>
          <w:rtl/>
        </w:rPr>
      </w:pPr>
      <w:r w:rsidRPr="00542A18">
        <w:rPr>
          <w:rFonts w:cs="FrankRuehl" w:hint="cs"/>
          <w:szCs w:val="26"/>
          <w:rtl/>
        </w:rPr>
        <w:t>הנאשם הורשע, במסגרת הסדר טיעון, בעבירת הסעת תושב זר השוהה שלא כדין ובעבירת העסקת תושב זר למשך יומיים רצופים או יותר.</w:t>
      </w:r>
    </w:p>
    <w:p w14:paraId="4E464E82" w14:textId="77777777" w:rsidR="00BD05C0" w:rsidRPr="00542A18" w:rsidRDefault="00BD05C0" w:rsidP="00BD05C0">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7A3EB6AD" w14:textId="77777777" w:rsidR="00BD05C0" w:rsidRPr="00542A18" w:rsidRDefault="00BD05C0" w:rsidP="00BD05C0">
      <w:pPr>
        <w:pBdr>
          <w:top w:val="single" w:sz="4" w:space="1" w:color="auto"/>
          <w:bottom w:val="single" w:sz="4" w:space="1" w:color="auto"/>
        </w:pBdr>
        <w:spacing w:after="120" w:line="320" w:lineRule="exact"/>
        <w:jc w:val="both"/>
        <w:rPr>
          <w:rFonts w:cs="FrankRuehl" w:hint="cs"/>
          <w:szCs w:val="26"/>
          <w:rtl/>
        </w:rPr>
      </w:pPr>
      <w:r w:rsidRPr="00542A18">
        <w:rPr>
          <w:rFonts w:cs="FrankRuehl" w:hint="cs"/>
          <w:szCs w:val="26"/>
          <w:rtl/>
        </w:rPr>
        <w:t>בית המשפט גזר את דנו של הנאשם, ופסק כלהלן:</w:t>
      </w:r>
    </w:p>
    <w:p w14:paraId="52F308CD" w14:textId="77777777" w:rsidR="00BD05C0" w:rsidRPr="00542A18" w:rsidRDefault="00BD05C0" w:rsidP="00BD05C0">
      <w:pPr>
        <w:pBdr>
          <w:top w:val="single" w:sz="4" w:space="1" w:color="auto"/>
          <w:bottom w:val="single" w:sz="4" w:space="1" w:color="auto"/>
        </w:pBdr>
        <w:spacing w:after="120" w:line="320" w:lineRule="exact"/>
        <w:jc w:val="both"/>
        <w:rPr>
          <w:rFonts w:cs="FrankRuehl"/>
          <w:szCs w:val="26"/>
        </w:rPr>
      </w:pPr>
      <w:r w:rsidRPr="00542A18">
        <w:rPr>
          <w:rFonts w:cs="FrankRuehl"/>
          <w:szCs w:val="26"/>
          <w:rtl/>
        </w:rPr>
        <w:t xml:space="preserve">מתחם הענישה ההולם </w:t>
      </w:r>
      <w:r w:rsidRPr="00542A18">
        <w:rPr>
          <w:rFonts w:cs="FrankRuehl" w:hint="cs"/>
          <w:szCs w:val="26"/>
          <w:rtl/>
        </w:rPr>
        <w:t>את ה</w:t>
      </w:r>
      <w:r w:rsidRPr="00542A18">
        <w:rPr>
          <w:rFonts w:cs="FrankRuehl"/>
          <w:szCs w:val="26"/>
          <w:rtl/>
        </w:rPr>
        <w:t xml:space="preserve">עבירות בנסיבות ביצוען נע בין </w:t>
      </w:r>
      <w:r w:rsidRPr="00542A18">
        <w:rPr>
          <w:rFonts w:cs="FrankRuehl" w:hint="cs"/>
          <w:szCs w:val="26"/>
          <w:rtl/>
        </w:rPr>
        <w:t>12 ל-24</w:t>
      </w:r>
      <w:r w:rsidRPr="00542A18">
        <w:rPr>
          <w:rFonts w:cs="FrankRuehl"/>
          <w:szCs w:val="26"/>
          <w:rtl/>
        </w:rPr>
        <w:t xml:space="preserve"> חודשי מאסר בפועל</w:t>
      </w:r>
      <w:r w:rsidRPr="00542A18">
        <w:rPr>
          <w:rFonts w:cs="FrankRuehl" w:hint="cs"/>
          <w:szCs w:val="26"/>
          <w:rtl/>
        </w:rPr>
        <w:t xml:space="preserve"> וענישה נלווית הכוללת מאסר מותנה שגבולו התחתון 9 חודשים (כך שיחדיו העונש המזערי הוא 21 חודשי מאסר).  </w:t>
      </w:r>
    </w:p>
    <w:p w14:paraId="50A58759" w14:textId="77777777" w:rsidR="00BD05C0" w:rsidRPr="00542A18" w:rsidRDefault="00BD05C0" w:rsidP="00BD05C0">
      <w:pPr>
        <w:pBdr>
          <w:top w:val="single" w:sz="4" w:space="1" w:color="auto"/>
          <w:bottom w:val="single" w:sz="4" w:space="1" w:color="auto"/>
        </w:pBdr>
        <w:spacing w:after="120" w:line="320" w:lineRule="exact"/>
        <w:jc w:val="both"/>
        <w:rPr>
          <w:rFonts w:cs="FrankRuehl" w:hint="cs"/>
          <w:szCs w:val="26"/>
          <w:rtl/>
        </w:rPr>
      </w:pPr>
      <w:r w:rsidRPr="00542A18">
        <w:rPr>
          <w:rFonts w:cs="FrankRuehl" w:hint="cs"/>
          <w:szCs w:val="26"/>
          <w:rtl/>
        </w:rPr>
        <w:t>מדובר במתחם מחמיר העלול להביא למצב בו יוטלו עונשי מאסר בכליאה גם על אנשים שחטאו לראשונה (שכן מדובר בעבירה שלרוב אין לשקול בעניינה שיקולי שיקום שיביאו לחריגה לקולה, ואולם מדובר בהחמרה מתונה יחסית וכאשר הציבור אמור היה כבר להפנים היטב את השינוי בענישה בעבירות אלו, שהוא צו השעה וצו המחוקק. מתחם הענישה מבטא את הפגיעה הקשה בערכים המוגנים בעת הזו; את צוק העיתים; את העובדה שמדובר בעבירה שעונשה כיום 7 שנות מאסר; ואת עונש המינימום שנקבע בתיקון 38.</w:t>
      </w:r>
    </w:p>
    <w:p w14:paraId="79464A3A" w14:textId="77777777" w:rsidR="00BD05C0" w:rsidRPr="00542A18" w:rsidRDefault="00BD05C0" w:rsidP="00BD05C0">
      <w:pPr>
        <w:pBdr>
          <w:top w:val="single" w:sz="4" w:space="1" w:color="auto"/>
          <w:bottom w:val="single" w:sz="4" w:space="1" w:color="auto"/>
        </w:pBdr>
        <w:spacing w:after="120" w:line="320" w:lineRule="exact"/>
        <w:jc w:val="both"/>
        <w:rPr>
          <w:rFonts w:cs="FrankRuehl" w:hint="cs"/>
          <w:szCs w:val="26"/>
          <w:rtl/>
        </w:rPr>
      </w:pPr>
      <w:r w:rsidRPr="00542A18">
        <w:rPr>
          <w:rFonts w:cs="FrankRuehl" w:hint="cs"/>
          <w:szCs w:val="26"/>
          <w:rtl/>
        </w:rPr>
        <w:lastRenderedPageBreak/>
        <w:t>על רקע הגבול התחתון של מתחם הענישה והצורך בהרתעה ומתן משקל מופחת לנסיבות האישיות, מתחייב עונש מאסר ממש אשר ייתן ביטוי נכון לשיקולי הענישה השונים. יש לה</w:t>
      </w:r>
      <w:r w:rsidRPr="00542A18">
        <w:rPr>
          <w:rFonts w:cs="FrankRuehl"/>
          <w:szCs w:val="26"/>
          <w:rtl/>
        </w:rPr>
        <w:t xml:space="preserve">טיל על הנאשם </w:t>
      </w:r>
      <w:r w:rsidRPr="00542A18">
        <w:rPr>
          <w:rFonts w:cs="FrankRuehl" w:hint="cs"/>
          <w:szCs w:val="26"/>
          <w:rtl/>
        </w:rPr>
        <w:t xml:space="preserve">12 חודשי מאסר בפועל, </w:t>
      </w:r>
      <w:r w:rsidRPr="00542A18">
        <w:rPr>
          <w:rFonts w:cs="FrankRuehl"/>
          <w:szCs w:val="26"/>
          <w:rtl/>
        </w:rPr>
        <w:t xml:space="preserve">מאסר על תנאי </w:t>
      </w:r>
      <w:r w:rsidRPr="00542A18">
        <w:rPr>
          <w:rFonts w:cs="FrankRuehl" w:hint="cs"/>
          <w:szCs w:val="26"/>
          <w:rtl/>
        </w:rPr>
        <w:t>ו</w:t>
      </w:r>
      <w:r w:rsidRPr="00542A18">
        <w:rPr>
          <w:rFonts w:cs="FrankRuehl"/>
          <w:szCs w:val="26"/>
          <w:rtl/>
        </w:rPr>
        <w:t xml:space="preserve">קנס בסך </w:t>
      </w:r>
      <w:r w:rsidRPr="00542A18">
        <w:rPr>
          <w:rFonts w:cs="FrankRuehl" w:hint="cs"/>
          <w:szCs w:val="26"/>
          <w:rtl/>
        </w:rPr>
        <w:t>5</w:t>
      </w:r>
      <w:r w:rsidRPr="00542A18">
        <w:rPr>
          <w:rFonts w:cs="FrankRuehl"/>
          <w:szCs w:val="26"/>
          <w:rtl/>
        </w:rPr>
        <w:t>,000 ₪</w:t>
      </w:r>
      <w:r w:rsidRPr="00542A18">
        <w:rPr>
          <w:rFonts w:cs="FrankRuehl" w:hint="cs"/>
          <w:szCs w:val="26"/>
          <w:rtl/>
        </w:rPr>
        <w:t>.</w:t>
      </w:r>
    </w:p>
    <w:p w14:paraId="189A9EAA" w14:textId="77777777" w:rsidR="007E2005" w:rsidRDefault="007E2005" w:rsidP="007E2005">
      <w:pPr>
        <w:rPr>
          <w:rFonts w:ascii="David" w:hAnsi="David" w:hint="cs"/>
          <w:sz w:val="26"/>
          <w:szCs w:val="26"/>
          <w:rtl/>
        </w:rPr>
      </w:pPr>
      <w:bookmarkStart w:id="5" w:name="ABSTRACT_END"/>
      <w:bookmarkEnd w:id="5"/>
    </w:p>
    <w:p w14:paraId="7EC5A284" w14:textId="77777777" w:rsidR="007E2005" w:rsidRPr="007E2005" w:rsidRDefault="007E2005" w:rsidP="007E2005">
      <w:pPr>
        <w:rPr>
          <w:rFonts w:ascii="David" w:hAnsi="David" w:hint="cs"/>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9D40E9" w14:paraId="7659A4F3" w14:textId="77777777" w:rsidTr="009D40E9">
        <w:trPr>
          <w:trHeight w:val="355"/>
          <w:jc w:val="center"/>
        </w:trPr>
        <w:tc>
          <w:tcPr>
            <w:tcW w:w="8820" w:type="dxa"/>
            <w:tcBorders>
              <w:top w:val="nil"/>
              <w:left w:val="nil"/>
              <w:bottom w:val="nil"/>
              <w:right w:val="nil"/>
            </w:tcBorders>
            <w:shd w:val="clear" w:color="auto" w:fill="auto"/>
          </w:tcPr>
          <w:p w14:paraId="7EF89C15" w14:textId="77777777" w:rsidR="003D6785" w:rsidRPr="003D6785" w:rsidRDefault="003D6785" w:rsidP="003D6785">
            <w:pPr>
              <w:jc w:val="center"/>
              <w:rPr>
                <w:rFonts w:ascii="David" w:hAnsi="David"/>
                <w:b/>
                <w:bCs/>
                <w:sz w:val="32"/>
                <w:szCs w:val="32"/>
                <w:u w:val="single"/>
                <w:rtl/>
              </w:rPr>
            </w:pPr>
            <w:bookmarkStart w:id="6" w:name="PsakDin" w:colFirst="0" w:colLast="0"/>
            <w:r w:rsidRPr="003D6785">
              <w:rPr>
                <w:rFonts w:ascii="David" w:hAnsi="David"/>
                <w:b/>
                <w:bCs/>
                <w:sz w:val="32"/>
                <w:szCs w:val="32"/>
                <w:u w:val="single"/>
                <w:rtl/>
              </w:rPr>
              <w:t>גזר דין</w:t>
            </w:r>
          </w:p>
          <w:p w14:paraId="2288D4D5" w14:textId="77777777" w:rsidR="009D40E9" w:rsidRPr="003D6785" w:rsidRDefault="009D40E9" w:rsidP="003D6785">
            <w:pPr>
              <w:jc w:val="center"/>
              <w:rPr>
                <w:rFonts w:ascii="David" w:hAnsi="David"/>
                <w:bCs/>
                <w:sz w:val="32"/>
                <w:szCs w:val="32"/>
                <w:u w:val="single"/>
                <w:rtl/>
              </w:rPr>
            </w:pPr>
          </w:p>
        </w:tc>
      </w:tr>
      <w:bookmarkEnd w:id="6"/>
    </w:tbl>
    <w:p w14:paraId="6819F99B" w14:textId="77777777" w:rsidR="009D40E9" w:rsidRDefault="009D40E9" w:rsidP="009D40E9">
      <w:pPr>
        <w:rPr>
          <w:rFonts w:ascii="David" w:hAnsi="David"/>
          <w:sz w:val="26"/>
          <w:szCs w:val="26"/>
          <w:rtl/>
        </w:rPr>
      </w:pPr>
    </w:p>
    <w:p w14:paraId="4789AEE9" w14:textId="77777777" w:rsidR="009D40E9" w:rsidRDefault="009D40E9" w:rsidP="009D40E9">
      <w:pPr>
        <w:rPr>
          <w:rFonts w:ascii="David" w:hAnsi="David"/>
          <w:sz w:val="26"/>
          <w:szCs w:val="26"/>
          <w:rtl/>
        </w:rPr>
      </w:pPr>
    </w:p>
    <w:p w14:paraId="0808074D" w14:textId="77777777" w:rsidR="009D40E9" w:rsidRPr="004E4C72" w:rsidRDefault="009D40E9" w:rsidP="009D40E9">
      <w:pPr>
        <w:ind w:firstLine="720"/>
        <w:rPr>
          <w:rFonts w:ascii="David" w:hAnsi="David"/>
          <w:rtl/>
        </w:rPr>
      </w:pPr>
      <w:r w:rsidRPr="004E4C72">
        <w:rPr>
          <w:rFonts w:ascii="David" w:hAnsi="David" w:hint="cs"/>
          <w:rtl/>
        </w:rPr>
        <w:t xml:space="preserve">מהו העונש הראוי למסיע ומעביד של שוהה בלתי חוקי בתקופת מלחמה. </w:t>
      </w:r>
    </w:p>
    <w:p w14:paraId="370CC29B" w14:textId="77777777" w:rsidR="009D40E9" w:rsidRDefault="009D40E9" w:rsidP="009D40E9">
      <w:pPr>
        <w:rPr>
          <w:rFonts w:ascii="David" w:hAnsi="David"/>
          <w:sz w:val="26"/>
          <w:szCs w:val="26"/>
          <w:rtl/>
        </w:rPr>
      </w:pPr>
    </w:p>
    <w:p w14:paraId="7F927F88" w14:textId="77777777" w:rsidR="009D40E9" w:rsidRPr="008D6F1D" w:rsidRDefault="009D40E9" w:rsidP="009D40E9">
      <w:pPr>
        <w:spacing w:line="360" w:lineRule="auto"/>
        <w:jc w:val="both"/>
        <w:rPr>
          <w:rFonts w:ascii="David" w:hAnsi="David"/>
          <w:rtl/>
        </w:rPr>
      </w:pPr>
      <w:r w:rsidRPr="008D6F1D">
        <w:rPr>
          <w:rFonts w:ascii="David" w:hAnsi="David" w:hint="cs"/>
          <w:b/>
          <w:bCs/>
          <w:u w:val="single"/>
          <w:rtl/>
        </w:rPr>
        <w:t>כתב האישום</w:t>
      </w:r>
    </w:p>
    <w:p w14:paraId="323392B2" w14:textId="77777777" w:rsidR="009D40E9" w:rsidRPr="008D6F1D" w:rsidRDefault="009D40E9" w:rsidP="009D40E9">
      <w:pPr>
        <w:spacing w:line="360" w:lineRule="auto"/>
        <w:jc w:val="both"/>
        <w:rPr>
          <w:rFonts w:ascii="David" w:hAnsi="David"/>
          <w:rtl/>
        </w:rPr>
      </w:pPr>
    </w:p>
    <w:p w14:paraId="7F8F8E1A" w14:textId="77777777" w:rsidR="009D40E9" w:rsidRDefault="009D40E9" w:rsidP="009D40E9">
      <w:pPr>
        <w:pStyle w:val="ListParagraph"/>
        <w:numPr>
          <w:ilvl w:val="0"/>
          <w:numId w:val="1"/>
        </w:numPr>
        <w:spacing w:line="360" w:lineRule="auto"/>
        <w:jc w:val="both"/>
        <w:rPr>
          <w:rFonts w:ascii="David" w:hAnsi="David"/>
        </w:rPr>
      </w:pPr>
      <w:r w:rsidRPr="001A5F96">
        <w:rPr>
          <w:rFonts w:ascii="David" w:hAnsi="David" w:hint="cs"/>
          <w:rtl/>
        </w:rPr>
        <w:t xml:space="preserve">הנאשם הורשע במסגרת הסדר טיעון שלא כלל הסכמה עונשית בעבירת הסעת תושב זר השוהה שלא כדין, לפי </w:t>
      </w:r>
      <w:hyperlink r:id="rId20" w:history="1">
        <w:r w:rsidR="00A624A3" w:rsidRPr="00A624A3">
          <w:rPr>
            <w:rStyle w:val="Hyperlink"/>
            <w:rFonts w:ascii="David" w:hAnsi="David" w:hint="eastAsia"/>
            <w:rtl/>
          </w:rPr>
          <w:t>סעיף</w:t>
        </w:r>
        <w:r w:rsidR="00A624A3" w:rsidRPr="00A624A3">
          <w:rPr>
            <w:rStyle w:val="Hyperlink"/>
            <w:rFonts w:ascii="David" w:hAnsi="David"/>
            <w:rtl/>
          </w:rPr>
          <w:t xml:space="preserve"> 12א(ג)(1)</w:t>
        </w:r>
      </w:hyperlink>
      <w:r w:rsidRPr="001A5F96">
        <w:rPr>
          <w:rFonts w:ascii="David" w:hAnsi="David" w:hint="cs"/>
          <w:rtl/>
        </w:rPr>
        <w:t xml:space="preserve"> ל</w:t>
      </w:r>
      <w:hyperlink r:id="rId21" w:history="1">
        <w:r w:rsidR="003D6785" w:rsidRPr="003D6785">
          <w:rPr>
            <w:rFonts w:ascii="David" w:hAnsi="David"/>
            <w:color w:val="0000FF"/>
            <w:u w:val="single"/>
            <w:rtl/>
          </w:rPr>
          <w:t>חוק הכניסה לישראל</w:t>
        </w:r>
      </w:hyperlink>
      <w:r w:rsidRPr="001A5F96">
        <w:rPr>
          <w:rFonts w:ascii="David" w:hAnsi="David" w:hint="cs"/>
          <w:rtl/>
        </w:rPr>
        <w:t xml:space="preserve">, תשי"ב- 1952 (להלן </w:t>
      </w:r>
      <w:r w:rsidRPr="001A5F96">
        <w:rPr>
          <w:rFonts w:ascii="David" w:hAnsi="David"/>
          <w:rtl/>
        </w:rPr>
        <w:t>–</w:t>
      </w:r>
      <w:r w:rsidRPr="001A5F96">
        <w:rPr>
          <w:rFonts w:ascii="David" w:hAnsi="David" w:hint="cs"/>
          <w:rtl/>
        </w:rPr>
        <w:t xml:space="preserve"> </w:t>
      </w:r>
      <w:r w:rsidRPr="001A5F96">
        <w:rPr>
          <w:rFonts w:ascii="Miriam" w:hAnsi="Miriam" w:cs="Miriam"/>
          <w:rtl/>
        </w:rPr>
        <w:t>חוק הכניסה לישראל</w:t>
      </w:r>
      <w:r w:rsidRPr="001A5F96">
        <w:rPr>
          <w:rFonts w:ascii="David" w:hAnsi="David" w:hint="cs"/>
          <w:rtl/>
        </w:rPr>
        <w:t xml:space="preserve">) ועבירת העסקת תושב זר למשך יומיים רצופים או יותר, לפי </w:t>
      </w:r>
      <w:hyperlink r:id="rId22" w:history="1">
        <w:r w:rsidR="00A624A3" w:rsidRPr="00A624A3">
          <w:rPr>
            <w:rStyle w:val="Hyperlink"/>
            <w:rFonts w:ascii="David" w:hAnsi="David" w:hint="eastAsia"/>
            <w:rtl/>
          </w:rPr>
          <w:t>סעיף</w:t>
        </w:r>
        <w:r w:rsidR="00A624A3" w:rsidRPr="00A624A3">
          <w:rPr>
            <w:rStyle w:val="Hyperlink"/>
            <w:rFonts w:ascii="David" w:hAnsi="David"/>
            <w:rtl/>
          </w:rPr>
          <w:t xml:space="preserve"> 12ב3(א)(2)</w:t>
        </w:r>
      </w:hyperlink>
      <w:r w:rsidRPr="001A5F96">
        <w:rPr>
          <w:rFonts w:ascii="David" w:hAnsi="David" w:hint="cs"/>
          <w:rtl/>
        </w:rPr>
        <w:t xml:space="preserve"> + </w:t>
      </w:r>
      <w:hyperlink r:id="rId23" w:history="1">
        <w:r w:rsidR="00A624A3" w:rsidRPr="00A624A3">
          <w:rPr>
            <w:rStyle w:val="Hyperlink"/>
            <w:rFonts w:ascii="David" w:hAnsi="David"/>
            <w:rtl/>
          </w:rPr>
          <w:t>12ב2(א)</w:t>
        </w:r>
      </w:hyperlink>
      <w:r w:rsidRPr="001A5F96">
        <w:rPr>
          <w:rFonts w:ascii="David" w:hAnsi="David" w:hint="cs"/>
          <w:rtl/>
        </w:rPr>
        <w:t xml:space="preserve"> לחוק הכניסה לישראל. על פי עובדות כתב האישום, במועד הרלוונטי </w:t>
      </w:r>
      <w:r>
        <w:rPr>
          <w:rFonts w:ascii="David" w:hAnsi="David" w:hint="cs"/>
          <w:rtl/>
        </w:rPr>
        <w:t>עבד</w:t>
      </w:r>
      <w:r w:rsidRPr="001A5F96">
        <w:rPr>
          <w:rFonts w:ascii="David" w:hAnsi="David" w:hint="cs"/>
          <w:rtl/>
        </w:rPr>
        <w:t xml:space="preserve"> הנאשם בשיפוץ בית בעיר נהריה</w:t>
      </w:r>
      <w:r>
        <w:rPr>
          <w:rFonts w:ascii="David" w:hAnsi="David" w:hint="cs"/>
          <w:rtl/>
        </w:rPr>
        <w:t xml:space="preserve"> ובין </w:t>
      </w:r>
      <w:r w:rsidRPr="001A5F96">
        <w:rPr>
          <w:rFonts w:ascii="David" w:hAnsi="David" w:hint="cs"/>
          <w:rtl/>
        </w:rPr>
        <w:t xml:space="preserve">התאריכים 12.5.24 </w:t>
      </w:r>
      <w:r w:rsidRPr="001A5F96">
        <w:rPr>
          <w:rFonts w:ascii="David" w:hAnsi="David"/>
          <w:rtl/>
        </w:rPr>
        <w:t>–</w:t>
      </w:r>
      <w:r w:rsidRPr="001A5F96">
        <w:rPr>
          <w:rFonts w:ascii="David" w:hAnsi="David" w:hint="cs"/>
          <w:rtl/>
        </w:rPr>
        <w:t xml:space="preserve"> 16.5.24 העסיק </w:t>
      </w:r>
      <w:r>
        <w:rPr>
          <w:rFonts w:ascii="David" w:hAnsi="David" w:hint="cs"/>
          <w:rtl/>
        </w:rPr>
        <w:t xml:space="preserve">במסגרת זו </w:t>
      </w:r>
      <w:r w:rsidRPr="001A5F96">
        <w:rPr>
          <w:rFonts w:ascii="David" w:hAnsi="David" w:hint="cs"/>
          <w:rtl/>
        </w:rPr>
        <w:t>תושב ג'נין ששהייתו בישראל טעונה היתר, וזאת כשאין ברשותו היתר כאמור. בעבור כל יום עבודה שילם הנאשם לתושב הזר 500 ₪ ובמהלך תקופת ההעסקה הסיע אותו</w:t>
      </w:r>
      <w:r>
        <w:rPr>
          <w:rFonts w:ascii="David" w:hAnsi="David" w:hint="cs"/>
          <w:rtl/>
        </w:rPr>
        <w:t xml:space="preserve"> משפרעם למקום העבודה.</w:t>
      </w:r>
    </w:p>
    <w:p w14:paraId="414B7AAC" w14:textId="77777777" w:rsidR="009D40E9" w:rsidRPr="001A5F96" w:rsidRDefault="009D40E9" w:rsidP="009D40E9">
      <w:pPr>
        <w:pStyle w:val="ListParagraph"/>
        <w:ind w:left="0"/>
        <w:jc w:val="both"/>
        <w:rPr>
          <w:rFonts w:ascii="David" w:hAnsi="David"/>
          <w:rtl/>
        </w:rPr>
      </w:pPr>
    </w:p>
    <w:p w14:paraId="07AE02D0" w14:textId="77777777" w:rsidR="009D40E9" w:rsidRDefault="009D40E9" w:rsidP="009D40E9">
      <w:pPr>
        <w:pStyle w:val="ListParagraph"/>
        <w:spacing w:line="360" w:lineRule="auto"/>
        <w:ind w:left="0"/>
        <w:jc w:val="both"/>
        <w:rPr>
          <w:rFonts w:ascii="David" w:hAnsi="David"/>
          <w:b/>
          <w:bCs/>
          <w:u w:val="single"/>
          <w:rtl/>
        </w:rPr>
      </w:pPr>
      <w:r>
        <w:rPr>
          <w:rFonts w:ascii="David" w:hAnsi="David" w:hint="cs"/>
          <w:b/>
          <w:bCs/>
          <w:u w:val="single"/>
          <w:rtl/>
        </w:rPr>
        <w:t xml:space="preserve">תסקיר שירות המבחן </w:t>
      </w:r>
    </w:p>
    <w:p w14:paraId="39AE8F60" w14:textId="77777777" w:rsidR="009D40E9" w:rsidRPr="00176AA1" w:rsidRDefault="009D40E9" w:rsidP="009D40E9">
      <w:pPr>
        <w:pStyle w:val="ListParagraph"/>
        <w:ind w:left="0"/>
        <w:jc w:val="both"/>
        <w:rPr>
          <w:rFonts w:ascii="David" w:hAnsi="David"/>
        </w:rPr>
      </w:pPr>
    </w:p>
    <w:p w14:paraId="78BF16FC" w14:textId="77777777" w:rsidR="009D40E9" w:rsidRDefault="009D40E9" w:rsidP="009D40E9">
      <w:pPr>
        <w:pStyle w:val="ListParagraph"/>
        <w:numPr>
          <w:ilvl w:val="0"/>
          <w:numId w:val="1"/>
        </w:numPr>
        <w:spacing w:line="360" w:lineRule="auto"/>
        <w:jc w:val="both"/>
        <w:rPr>
          <w:rFonts w:ascii="David" w:hAnsi="David"/>
        </w:rPr>
      </w:pPr>
      <w:r>
        <w:rPr>
          <w:rFonts w:ascii="David" w:hAnsi="David" w:hint="cs"/>
          <w:rtl/>
        </w:rPr>
        <w:t>שירות המבחן הגיש תסקיר בעניינו של הנאשם בו פורטו בהרחבה נסיבות חייו ומטעמים של צנעת הפרט לא ארחיב. בתמצית ייאמר כי הנאשם כבן 66, אב לשישה ילדים וסב לנכדים. מגיל צעיר עוסק הנאשם כעצמאי בתחום השיפוצים אך בשנה האחרונה התדרדר מצבו הבריאותי, הוא הוכר כנכה בשיעור של 65% ונתמך בקצבת נכות. עברו הפלילי נקי וביחס לביצוע העבירות ציין כי התקשה למצוא עובד והעסיק את התושב הזר מבלי לבדוק לעומק את אישורו וזאת לאחר שהצהיר בפניו שיש לו אישור כניסה לישראל והציג כרטיס מגנטי בו הוא משתמש למעבר (הערה: בפתח טיעוני הצדדים לעונש הבהירו הסנגור והנאשם שאין בדברים אלו משום אי קבלת אחריות וכי הנאשם מודה במעשיו). צוין כי הנאשם מודע לחומרת מעשיו, מבין שהתנהל בחוסר אחריות ומביע צער וחרטה. על רקע גילו, מצבו הבריאותי ועברו הנקי המליצה קצינת המבחן על ענישה חינוכית ושיקומית בדמות צו של"צ, שיהיה בה להקטין את הסיכון לביצוע עבירות דומות בעתיד.</w:t>
      </w:r>
    </w:p>
    <w:p w14:paraId="55E1BBD4" w14:textId="77777777" w:rsidR="009D40E9" w:rsidRDefault="009D40E9" w:rsidP="009D40E9">
      <w:pPr>
        <w:pStyle w:val="ListParagraph"/>
        <w:spacing w:line="360" w:lineRule="auto"/>
        <w:ind w:left="0"/>
        <w:jc w:val="both"/>
        <w:rPr>
          <w:rFonts w:ascii="David" w:hAnsi="David"/>
          <w:b/>
          <w:bCs/>
          <w:u w:val="single"/>
          <w:rtl/>
        </w:rPr>
      </w:pPr>
    </w:p>
    <w:p w14:paraId="4FEF9EA3" w14:textId="77777777" w:rsidR="009D40E9" w:rsidRPr="00D35EEA" w:rsidRDefault="009D40E9" w:rsidP="009D40E9">
      <w:pPr>
        <w:pStyle w:val="ListParagraph"/>
        <w:spacing w:line="360" w:lineRule="auto"/>
        <w:ind w:left="0"/>
        <w:jc w:val="both"/>
        <w:rPr>
          <w:rFonts w:ascii="David" w:hAnsi="David"/>
          <w:b/>
          <w:bCs/>
          <w:u w:val="single"/>
          <w:rtl/>
        </w:rPr>
      </w:pPr>
    </w:p>
    <w:p w14:paraId="36A5BF43" w14:textId="77777777" w:rsidR="009D40E9" w:rsidRDefault="009D40E9" w:rsidP="009D40E9">
      <w:pPr>
        <w:pStyle w:val="ListParagraph"/>
        <w:spacing w:line="360" w:lineRule="auto"/>
        <w:ind w:left="0"/>
        <w:jc w:val="both"/>
        <w:rPr>
          <w:rFonts w:ascii="David" w:hAnsi="David"/>
          <w:b/>
          <w:bCs/>
          <w:u w:val="single"/>
          <w:rtl/>
        </w:rPr>
      </w:pPr>
      <w:r>
        <w:rPr>
          <w:rFonts w:ascii="David" w:hAnsi="David" w:hint="cs"/>
          <w:b/>
          <w:bCs/>
          <w:u w:val="single"/>
          <w:rtl/>
        </w:rPr>
        <w:t xml:space="preserve">טיעוני הצדדים לעונש והראיות </w:t>
      </w:r>
    </w:p>
    <w:p w14:paraId="0FA74456" w14:textId="77777777" w:rsidR="009D40E9" w:rsidRPr="00461F0F" w:rsidRDefault="009D40E9" w:rsidP="009D40E9">
      <w:pPr>
        <w:pStyle w:val="ListParagraph"/>
        <w:ind w:left="0"/>
        <w:jc w:val="both"/>
        <w:rPr>
          <w:rFonts w:ascii="David" w:hAnsi="David"/>
          <w:b/>
          <w:bCs/>
          <w:u w:val="single"/>
        </w:rPr>
      </w:pPr>
    </w:p>
    <w:p w14:paraId="1EF5464D" w14:textId="77777777" w:rsidR="009D40E9" w:rsidRDefault="009D40E9" w:rsidP="009D40E9">
      <w:pPr>
        <w:pStyle w:val="ListParagraph"/>
        <w:numPr>
          <w:ilvl w:val="0"/>
          <w:numId w:val="1"/>
        </w:numPr>
        <w:spacing w:line="360" w:lineRule="auto"/>
        <w:jc w:val="both"/>
        <w:rPr>
          <w:rFonts w:ascii="David" w:hAnsi="David"/>
        </w:rPr>
      </w:pPr>
      <w:r>
        <w:rPr>
          <w:rFonts w:ascii="David" w:hAnsi="David" w:hint="cs"/>
          <w:rtl/>
        </w:rPr>
        <w:lastRenderedPageBreak/>
        <w:t xml:space="preserve">אשת הנאשם העידה מטעם ההגנה, הביעה התנצלות וסיפרה על הקושי שחווה המשפחה בשל האירוע. </w:t>
      </w:r>
    </w:p>
    <w:p w14:paraId="4296AE25" w14:textId="77777777" w:rsidR="009D40E9" w:rsidRDefault="009D40E9" w:rsidP="009D40E9">
      <w:pPr>
        <w:pStyle w:val="ListParagraph"/>
        <w:ind w:left="0"/>
        <w:jc w:val="both"/>
        <w:rPr>
          <w:rFonts w:ascii="David" w:hAnsi="David"/>
        </w:rPr>
      </w:pPr>
    </w:p>
    <w:p w14:paraId="29A3A7CC" w14:textId="77777777" w:rsidR="009D40E9" w:rsidRDefault="009D40E9" w:rsidP="009D40E9">
      <w:pPr>
        <w:pStyle w:val="ListParagraph"/>
        <w:numPr>
          <w:ilvl w:val="0"/>
          <w:numId w:val="1"/>
        </w:numPr>
        <w:spacing w:line="360" w:lineRule="auto"/>
        <w:jc w:val="both"/>
        <w:rPr>
          <w:rFonts w:ascii="David" w:hAnsi="David"/>
        </w:rPr>
      </w:pPr>
      <w:r>
        <w:rPr>
          <w:rFonts w:ascii="David" w:hAnsi="David" w:hint="cs"/>
          <w:rtl/>
        </w:rPr>
        <w:t>ב"כ המאשימה הגיש טיעון כתוב והוסיף טיעון על פה. הודגשו הערכים המוגנים שנפגעו וכן חומרת העבירות ונטען למתחם ענישה הנע בין 14-24 חודשי מאסר בפועל תוך הפנייה לפסיקה. ברמה האופרטיבית, עתרה המאשימה לעונש בחלקו התחתון של מתחם הענישה וכן לענישה נלווית וזאת לאור גילו של הנאשם; העבר הנקי; ומסקנות התסקיר.</w:t>
      </w:r>
    </w:p>
    <w:p w14:paraId="0668F53C" w14:textId="77777777" w:rsidR="009D40E9" w:rsidRPr="0060204D" w:rsidRDefault="009D40E9" w:rsidP="009D40E9">
      <w:pPr>
        <w:pStyle w:val="ListParagraph"/>
        <w:ind w:left="0"/>
        <w:jc w:val="both"/>
        <w:rPr>
          <w:rFonts w:ascii="David" w:hAnsi="David"/>
        </w:rPr>
      </w:pPr>
    </w:p>
    <w:p w14:paraId="0394B426" w14:textId="77777777" w:rsidR="009D40E9" w:rsidRDefault="009D40E9" w:rsidP="009D40E9">
      <w:pPr>
        <w:pStyle w:val="ListParagraph"/>
        <w:numPr>
          <w:ilvl w:val="0"/>
          <w:numId w:val="1"/>
        </w:numPr>
        <w:spacing w:line="360" w:lineRule="auto"/>
        <w:jc w:val="both"/>
        <w:rPr>
          <w:rFonts w:ascii="David" w:hAnsi="David"/>
        </w:rPr>
      </w:pPr>
      <w:r>
        <w:rPr>
          <w:rFonts w:ascii="David" w:hAnsi="David" w:hint="cs"/>
          <w:rtl/>
        </w:rPr>
        <w:t xml:space="preserve">ב"כ הנאשם הגיש טיעון כתוב והשלימו על פה. ההגנה טענה כי התושב הזר הוא אדם כבן 57 שבעבר, טרם שינוי ההנחיות, לא נדרש להציג היתר עבודה לאור גילו ולפיכך עתרה לקביעת מתחם ענישה הנע בין מאסר מותנה לבין שלושה חודשי מאסר לריצוי בעבודות שירות. כן הוצגה פסיקה. הודגש כי מדובר בנאשם כבן 66, אב לילדים משכילים וסב לנכדים, שעבד שנים רבות בתחום הבנייה וכיום בשל מצבו הבריאותי מתקיים מקצבת נכות. כן נטען שיש לתת משקל ממשי לנסיבותיו האישיות של הנאשם; למצבו הבריאותי; לעברו הנקי; לתקופה בה שהה בתנאים מגבילי חירות, לרבות מעצר ממש; ולהודאתו. לסיכום עתרה ההגנה להטיל עונש מאסר בעבודות שירות (ובטיעון בכתב התבקש צו של"צ כהמלצת שירות המבחן). </w:t>
      </w:r>
    </w:p>
    <w:p w14:paraId="7ACFD5DD" w14:textId="77777777" w:rsidR="009D40E9" w:rsidRPr="0060204D" w:rsidRDefault="009D40E9" w:rsidP="009D40E9">
      <w:pPr>
        <w:pStyle w:val="ListParagraph"/>
        <w:rPr>
          <w:rFonts w:ascii="David" w:hAnsi="David"/>
          <w:rtl/>
        </w:rPr>
      </w:pPr>
    </w:p>
    <w:p w14:paraId="124C8B1B" w14:textId="77777777" w:rsidR="009D40E9" w:rsidRPr="008D6F1D" w:rsidRDefault="009D40E9" w:rsidP="009D40E9">
      <w:pPr>
        <w:pStyle w:val="ListParagraph"/>
        <w:numPr>
          <w:ilvl w:val="0"/>
          <w:numId w:val="1"/>
        </w:numPr>
        <w:spacing w:line="360" w:lineRule="auto"/>
        <w:jc w:val="both"/>
        <w:rPr>
          <w:rFonts w:ascii="David" w:hAnsi="David"/>
          <w:rtl/>
        </w:rPr>
      </w:pPr>
      <w:r>
        <w:rPr>
          <w:rFonts w:ascii="David" w:hAnsi="David" w:hint="cs"/>
          <w:rtl/>
        </w:rPr>
        <w:t xml:space="preserve">הנאשם בדברו האחרון הביע צער על ביצוע העבירה, ציין כי הוא מבין את טעותו ומשלם מחיר כבד על מעשיו.  </w:t>
      </w:r>
    </w:p>
    <w:p w14:paraId="1D813C30" w14:textId="77777777" w:rsidR="009D40E9" w:rsidRDefault="009D40E9" w:rsidP="009D40E9">
      <w:pPr>
        <w:jc w:val="both"/>
        <w:rPr>
          <w:rFonts w:ascii="David" w:hAnsi="David" w:hint="cs"/>
          <w:rtl/>
        </w:rPr>
      </w:pPr>
    </w:p>
    <w:p w14:paraId="01EECBD1" w14:textId="77777777" w:rsidR="00A624A3" w:rsidRDefault="00A624A3" w:rsidP="009D40E9">
      <w:pPr>
        <w:jc w:val="both"/>
        <w:rPr>
          <w:rFonts w:ascii="David" w:hAnsi="David" w:hint="cs"/>
          <w:rtl/>
        </w:rPr>
      </w:pPr>
    </w:p>
    <w:p w14:paraId="410DC440" w14:textId="77777777" w:rsidR="00A624A3" w:rsidRDefault="00A624A3" w:rsidP="009D40E9">
      <w:pPr>
        <w:jc w:val="both"/>
        <w:rPr>
          <w:rFonts w:ascii="David" w:hAnsi="David" w:hint="cs"/>
          <w:rtl/>
        </w:rPr>
      </w:pPr>
    </w:p>
    <w:p w14:paraId="482EB55A" w14:textId="77777777" w:rsidR="00A624A3" w:rsidRDefault="00A624A3" w:rsidP="009D40E9">
      <w:pPr>
        <w:jc w:val="both"/>
        <w:rPr>
          <w:rFonts w:ascii="David" w:hAnsi="David" w:hint="cs"/>
          <w:rtl/>
        </w:rPr>
      </w:pPr>
    </w:p>
    <w:p w14:paraId="42F00FF7" w14:textId="77777777" w:rsidR="00A624A3" w:rsidRDefault="00A624A3" w:rsidP="009D40E9">
      <w:pPr>
        <w:jc w:val="both"/>
        <w:rPr>
          <w:rFonts w:ascii="David" w:hAnsi="David" w:hint="cs"/>
          <w:rtl/>
        </w:rPr>
      </w:pPr>
    </w:p>
    <w:p w14:paraId="0EA16182" w14:textId="77777777" w:rsidR="00A624A3" w:rsidRDefault="00A624A3" w:rsidP="009D40E9">
      <w:pPr>
        <w:jc w:val="both"/>
        <w:rPr>
          <w:rFonts w:ascii="David" w:hAnsi="David" w:hint="cs"/>
          <w:rtl/>
        </w:rPr>
      </w:pPr>
    </w:p>
    <w:p w14:paraId="6026657B" w14:textId="77777777" w:rsidR="009D40E9" w:rsidRDefault="009D40E9" w:rsidP="009D40E9">
      <w:pPr>
        <w:spacing w:line="360" w:lineRule="auto"/>
        <w:jc w:val="both"/>
        <w:rPr>
          <w:rFonts w:ascii="David" w:hAnsi="David"/>
          <w:b/>
          <w:bCs/>
          <w:u w:val="single"/>
          <w:rtl/>
        </w:rPr>
      </w:pPr>
      <w:r>
        <w:rPr>
          <w:rFonts w:ascii="David" w:hAnsi="David" w:hint="cs"/>
          <w:b/>
          <w:bCs/>
          <w:u w:val="single"/>
          <w:rtl/>
        </w:rPr>
        <w:t>דיון והכרעה</w:t>
      </w:r>
    </w:p>
    <w:p w14:paraId="3C1014CC" w14:textId="77777777" w:rsidR="009D40E9" w:rsidRDefault="009D40E9" w:rsidP="009D40E9">
      <w:pPr>
        <w:spacing w:line="360" w:lineRule="auto"/>
        <w:jc w:val="both"/>
        <w:rPr>
          <w:rFonts w:ascii="David" w:hAnsi="David"/>
          <w:rtl/>
        </w:rPr>
      </w:pPr>
      <w:r>
        <w:rPr>
          <w:rFonts w:ascii="David" w:hAnsi="David" w:hint="cs"/>
          <w:b/>
          <w:bCs/>
          <w:u w:val="single"/>
          <w:rtl/>
        </w:rPr>
        <w:t>קביעת מתחם הענישה</w:t>
      </w:r>
    </w:p>
    <w:p w14:paraId="4FFAAC47" w14:textId="77777777" w:rsidR="009D40E9" w:rsidRDefault="009D40E9" w:rsidP="009D40E9">
      <w:pPr>
        <w:jc w:val="both"/>
        <w:rPr>
          <w:rFonts w:ascii="David" w:hAnsi="David"/>
          <w:rtl/>
        </w:rPr>
      </w:pPr>
    </w:p>
    <w:p w14:paraId="5EAFF549" w14:textId="77777777" w:rsidR="009D40E9" w:rsidRPr="005C6CDB" w:rsidRDefault="009D40E9" w:rsidP="009D40E9">
      <w:pPr>
        <w:pStyle w:val="ListParagraph"/>
        <w:numPr>
          <w:ilvl w:val="0"/>
          <w:numId w:val="1"/>
        </w:numPr>
        <w:spacing w:line="360" w:lineRule="auto"/>
        <w:jc w:val="both"/>
        <w:rPr>
          <w:rFonts w:ascii="David" w:hAnsi="David"/>
        </w:rPr>
      </w:pPr>
      <w:r w:rsidRPr="00E9189B">
        <w:rPr>
          <w:rFonts w:ascii="David" w:hAnsi="David"/>
          <w:rtl/>
        </w:rPr>
        <w:t xml:space="preserve">דומה שאין צורך להרבות במילים בדבר משמעות העבירה שעניינה העסקת תושב זר שלא כדין, חומרתה והערכים המוגנים שנפגעים בעטיה. </w:t>
      </w:r>
      <w:r>
        <w:rPr>
          <w:rFonts w:ascii="David" w:hAnsi="David" w:hint="cs"/>
          <w:rtl/>
        </w:rPr>
        <w:t>עבירה</w:t>
      </w:r>
      <w:r w:rsidRPr="00E9189B">
        <w:rPr>
          <w:rFonts w:ascii="David" w:hAnsi="David"/>
          <w:rtl/>
        </w:rPr>
        <w:t xml:space="preserve"> זו פוגעת בזכותה של המדינה לקבוע את זהות הבאים בשעריה ואף מקשה על כוחות הביטחון בשמירה על גבולות המדינה (גם אם לא באופן ישיר). כמו כן, ודומה שזהו העיקר, היא מעודדת כניסתם למדינה של מי שאינם מחזיקים באישורים הנדרשים ובכך היא מעמידה את תושבי המדינה בסכנה, שהרי מדובר במי שלא עברו את מסננת הבדיקה של כוחות הביטחון וכבר היו (לצערנו) מקרים בהם עובדים ללא היתר כניסה ביצעו פיגועים בשטחי המדינה. מובן שיש להניח לטובת הנאשם שלא ביקש לפגוע בביטחון המדינה ואולם מי אשר מעסיק שוהה בלתי חוקי מעמיד את הציבור בפני סיכון, שכן אין ביכולתו לדעת מה כוונתו של השוהה הזר ו</w:t>
      </w:r>
      <w:r>
        <w:rPr>
          <w:rFonts w:ascii="David" w:hAnsi="David"/>
          <w:rtl/>
        </w:rPr>
        <w:t>מה עלול הוא לעשות במהלך התקופה.</w:t>
      </w:r>
      <w:r>
        <w:rPr>
          <w:rFonts w:ascii="David" w:hAnsi="David" w:hint="cs"/>
          <w:rtl/>
        </w:rPr>
        <w:t xml:space="preserve"> אפנה </w:t>
      </w:r>
      <w:r w:rsidRPr="005C6CDB">
        <w:rPr>
          <w:rFonts w:ascii="David" w:hAnsi="David"/>
          <w:rtl/>
        </w:rPr>
        <w:t xml:space="preserve">בעניין זה </w:t>
      </w:r>
      <w:r>
        <w:rPr>
          <w:rFonts w:ascii="David" w:hAnsi="David" w:hint="cs"/>
          <w:rtl/>
        </w:rPr>
        <w:t>ל</w:t>
      </w:r>
      <w:r w:rsidRPr="005C6CDB">
        <w:rPr>
          <w:rFonts w:ascii="David" w:hAnsi="David"/>
          <w:rtl/>
        </w:rPr>
        <w:t>דברים שנאמרו שנים רבות לפני אירועי 7.10.23:</w:t>
      </w:r>
      <w:r w:rsidRPr="005C6CDB">
        <w:rPr>
          <w:rFonts w:ascii="David" w:hAnsi="David" w:hint="cs"/>
          <w:rtl/>
        </w:rPr>
        <w:t xml:space="preserve"> </w:t>
      </w:r>
    </w:p>
    <w:p w14:paraId="1F61D507" w14:textId="77777777" w:rsidR="009D40E9" w:rsidRPr="005C6CDB" w:rsidRDefault="009D40E9" w:rsidP="009D40E9">
      <w:pPr>
        <w:pStyle w:val="ListParagraph"/>
        <w:rPr>
          <w:rFonts w:ascii="David" w:hAnsi="David"/>
          <w:rtl/>
        </w:rPr>
      </w:pPr>
    </w:p>
    <w:p w14:paraId="0736296A" w14:textId="77777777" w:rsidR="009D40E9" w:rsidRPr="006B5D29" w:rsidRDefault="009D40E9" w:rsidP="009D40E9">
      <w:pPr>
        <w:pStyle w:val="ListParagraph"/>
        <w:ind w:left="1134" w:right="1134"/>
        <w:jc w:val="both"/>
        <w:rPr>
          <w:rFonts w:ascii="David" w:hAnsi="David"/>
          <w:rtl/>
        </w:rPr>
      </w:pPr>
      <w:r w:rsidRPr="006B5D29">
        <w:rPr>
          <w:rFonts w:ascii="Miriam" w:hAnsi="Miriam" w:cs="Miriam"/>
          <w:rtl/>
        </w:rPr>
        <w:t>"אדם המסיע רכב עמוס בשוהים בלתי חוקיים פוגע בבטחון המדינה, ומסייע ביצירת תשתית לפעילות חבלנית [...] ונזכור כי גם אם אין בכוונת המסיע לגרום נזק בטחוני, לעולם אינו יכול לדעת בוודאות מי כל נוסעיו, ומה זומם מי מהם"</w:t>
      </w:r>
      <w:r w:rsidRPr="006B5D29">
        <w:rPr>
          <w:rFonts w:ascii="David" w:hAnsi="David"/>
          <w:rtl/>
        </w:rPr>
        <w:t xml:space="preserve"> (</w:t>
      </w:r>
      <w:hyperlink r:id="rId24" w:history="1">
        <w:r w:rsidR="003D6785" w:rsidRPr="003D6785">
          <w:rPr>
            <w:rFonts w:ascii="David" w:hAnsi="David"/>
            <w:color w:val="0000FF"/>
            <w:u w:val="single"/>
            <w:rtl/>
          </w:rPr>
          <w:t>ע"פ 617/15</w:t>
        </w:r>
      </w:hyperlink>
      <w:r w:rsidRPr="006B5D29">
        <w:rPr>
          <w:rFonts w:ascii="David" w:hAnsi="David"/>
          <w:rtl/>
        </w:rPr>
        <w:t xml:space="preserve"> </w:t>
      </w:r>
      <w:r w:rsidRPr="006B5D29">
        <w:rPr>
          <w:rFonts w:ascii="David" w:hAnsi="David"/>
          <w:b/>
          <w:bCs/>
          <w:rtl/>
        </w:rPr>
        <w:t>רשק מונתסר נ' מדינת ישראל</w:t>
      </w:r>
      <w:r w:rsidRPr="006B5D29">
        <w:rPr>
          <w:rFonts w:ascii="David" w:hAnsi="David"/>
          <w:rtl/>
        </w:rPr>
        <w:t xml:space="preserve"> </w:t>
      </w:r>
      <w:r w:rsidR="007E2005">
        <w:rPr>
          <w:rFonts w:ascii="David" w:hAnsi="David"/>
          <w:rtl/>
        </w:rPr>
        <w:t>[נבו]</w:t>
      </w:r>
      <w:r w:rsidR="007E2005">
        <w:rPr>
          <w:rFonts w:ascii="David" w:hAnsi="David" w:hint="cs"/>
          <w:rtl/>
        </w:rPr>
        <w:t xml:space="preserve"> </w:t>
      </w:r>
      <w:r w:rsidRPr="006B5D29">
        <w:rPr>
          <w:rFonts w:ascii="David" w:hAnsi="David"/>
          <w:rtl/>
        </w:rPr>
        <w:t>(2.4.2015)).</w:t>
      </w:r>
    </w:p>
    <w:p w14:paraId="43DF8001" w14:textId="77777777" w:rsidR="009D40E9" w:rsidRPr="008D6F1D" w:rsidRDefault="009D40E9" w:rsidP="009D40E9">
      <w:pPr>
        <w:jc w:val="both"/>
        <w:rPr>
          <w:rFonts w:ascii="David" w:hAnsi="David"/>
          <w:rtl/>
        </w:rPr>
      </w:pPr>
    </w:p>
    <w:p w14:paraId="703E7E8D" w14:textId="77777777" w:rsidR="009D40E9" w:rsidRDefault="009D40E9" w:rsidP="009D40E9">
      <w:pPr>
        <w:pStyle w:val="ListParagraph"/>
        <w:numPr>
          <w:ilvl w:val="0"/>
          <w:numId w:val="1"/>
        </w:numPr>
        <w:spacing w:line="360" w:lineRule="auto"/>
        <w:jc w:val="both"/>
        <w:rPr>
          <w:rFonts w:ascii="David" w:hAnsi="David"/>
        </w:rPr>
      </w:pPr>
      <w:r w:rsidRPr="00A839AC">
        <w:rPr>
          <w:rFonts w:ascii="David" w:hAnsi="David"/>
          <w:rtl/>
        </w:rPr>
        <w:t xml:space="preserve">דברים אלו יפים ככלל והם יפים </w:t>
      </w:r>
      <w:r>
        <w:rPr>
          <w:rFonts w:ascii="David" w:hAnsi="David" w:hint="cs"/>
          <w:rtl/>
        </w:rPr>
        <w:t>במיוחד</w:t>
      </w:r>
      <w:r w:rsidRPr="00A839AC">
        <w:rPr>
          <w:rFonts w:ascii="David" w:hAnsi="David"/>
          <w:rtl/>
        </w:rPr>
        <w:t xml:space="preserve"> לאחר אירועי 7.10.23 ונוכח המצב הביטחוני החריג השורר במדינה מאז ודומה שאין צורך להרחיב בנושא. משכך, </w:t>
      </w:r>
      <w:r>
        <w:rPr>
          <w:rFonts w:ascii="David" w:hAnsi="David" w:hint="cs"/>
          <w:rtl/>
        </w:rPr>
        <w:t xml:space="preserve">בימים אלו, </w:t>
      </w:r>
      <w:r w:rsidRPr="00A839AC">
        <w:rPr>
          <w:rFonts w:ascii="David" w:hAnsi="David"/>
          <w:rtl/>
        </w:rPr>
        <w:t>מידת הפגיעה של עבירה זו בערכים המוגנים, לרבות פגיעה בביטחון המדינה ותושביה, היא משמעותית ובכל מקרה, היא גבוהה יותר מאשר בתקופה שקדמה ליום 7.10.23.</w:t>
      </w:r>
      <w:r>
        <w:rPr>
          <w:rFonts w:ascii="David" w:hAnsi="David" w:hint="cs"/>
          <w:rtl/>
        </w:rPr>
        <w:t xml:space="preserve"> </w:t>
      </w:r>
    </w:p>
    <w:p w14:paraId="2889DF69" w14:textId="77777777" w:rsidR="009D40E9" w:rsidRDefault="009D40E9" w:rsidP="009D40E9">
      <w:pPr>
        <w:pStyle w:val="ListParagraph"/>
        <w:ind w:left="0"/>
        <w:jc w:val="both"/>
        <w:rPr>
          <w:rFonts w:ascii="David" w:hAnsi="David"/>
        </w:rPr>
      </w:pPr>
    </w:p>
    <w:p w14:paraId="4C4C801B" w14:textId="77777777" w:rsidR="009D40E9" w:rsidRDefault="009D40E9" w:rsidP="009D40E9">
      <w:pPr>
        <w:pStyle w:val="ListParagraph"/>
        <w:numPr>
          <w:ilvl w:val="0"/>
          <w:numId w:val="1"/>
        </w:numPr>
        <w:spacing w:line="360" w:lineRule="auto"/>
        <w:jc w:val="both"/>
        <w:rPr>
          <w:rFonts w:ascii="David" w:hAnsi="David"/>
        </w:rPr>
      </w:pPr>
      <w:r>
        <w:rPr>
          <w:rFonts w:ascii="David" w:hAnsi="David" w:hint="cs"/>
          <w:rtl/>
        </w:rPr>
        <w:t>בבחינת הנסיבות הקשורות לביצוע העבירות אציין כי זמן ההעסקה המדובר היה כחמישה ימים, במהלכם גם הסיע הנאשם את התושב הזר למקום העבודה, בנוסף להעסקתו תמורת תשלום. אין מדובר בהעסקה רגעית אלא בתקופה שאינה קצרה ושכללה גם הסעת השב"ח. הסיבה לביצוע העבירות היא כלכלית, היינו לצורך עמידה בהתחייבות שנטל הנאשם על עצמו במסגרת עסקו. כאן המקום להתייחס לטענת הנאשם לפיה מדובר בעובד שאינו צעיר אשר טרם אירועי 7.10 לא היה זקוק להיתר. ראשית, הנחיה זו לא הוצגה ומכאן שאינני יכול לצאת מנקודת הנחה שאכן זו המדיניות שהונהגה לפני יום 7.10.23 והדבר אינו בבחינת ידיעה שיפוטית (ודוק: למען הסר ספק אשוב ואדגיש שהנאשם הודה שהיה מודע לכך שכניסתו של העובד הזר אסורה וחרף זאת הסיע והעסיק אותו). שנית, וזה העיקר, אף אם אלו היו הנהלים לפני אירועי 7.10 (ואינני קובע כך)</w:t>
      </w:r>
      <w:r>
        <w:rPr>
          <w:rFonts w:ascii="David" w:hAnsi="David" w:hint="cs"/>
        </w:rPr>
        <w:t xml:space="preserve"> </w:t>
      </w:r>
      <w:r>
        <w:rPr>
          <w:rFonts w:ascii="David" w:hAnsi="David" w:hint="cs"/>
          <w:rtl/>
        </w:rPr>
        <w:t>אין בכך משום נסיבה לקולה. השינויים הביטחוניים המשמעותיים שחלו במדינה הביאו לשינוי המדיניות בנושא העסקת תושבי איו"ש (וכאמור הנאשם הודה שידע שהעובד אסור כניסה). על תושבי המדינה לקיים את הוראות החוק ולא להעמיד את הציבור בסיכון, כך שאינני רואה במצב הקודם (ככל שהיה שונה) כנסיבה לקולה.</w:t>
      </w:r>
    </w:p>
    <w:p w14:paraId="2DDB7828" w14:textId="77777777" w:rsidR="009D40E9" w:rsidRPr="00C34561" w:rsidRDefault="009D40E9" w:rsidP="009D40E9">
      <w:pPr>
        <w:pStyle w:val="ListParagraph"/>
        <w:ind w:left="0"/>
        <w:jc w:val="both"/>
        <w:rPr>
          <w:rFonts w:ascii="David" w:hAnsi="David"/>
        </w:rPr>
      </w:pPr>
    </w:p>
    <w:p w14:paraId="579D6308" w14:textId="77777777" w:rsidR="009D40E9" w:rsidRDefault="009D40E9" w:rsidP="009D40E9">
      <w:pPr>
        <w:pStyle w:val="ListParagraph"/>
        <w:numPr>
          <w:ilvl w:val="0"/>
          <w:numId w:val="1"/>
        </w:numPr>
        <w:spacing w:line="360" w:lineRule="auto"/>
        <w:jc w:val="both"/>
        <w:rPr>
          <w:rFonts w:ascii="David" w:hAnsi="David"/>
        </w:rPr>
      </w:pPr>
      <w:r>
        <w:rPr>
          <w:rFonts w:ascii="David" w:hAnsi="David" w:hint="cs"/>
          <w:rtl/>
        </w:rPr>
        <w:t>כאמור, המאשימה ביקשה לקבוע מתחם ענישה הנע בין 14-24 חודשי מאסר וזאת בין היתר בהתבסס על תיקון 38 ל</w:t>
      </w:r>
      <w:hyperlink r:id="rId25" w:history="1">
        <w:r w:rsidR="003D6785" w:rsidRPr="003D6785">
          <w:rPr>
            <w:rFonts w:ascii="David" w:hAnsi="David"/>
            <w:color w:val="0000FF"/>
            <w:u w:val="single"/>
            <w:rtl/>
          </w:rPr>
          <w:t>חוק הכניסה לישראל</w:t>
        </w:r>
      </w:hyperlink>
      <w:r>
        <w:rPr>
          <w:rFonts w:ascii="David" w:hAnsi="David" w:hint="cs"/>
          <w:rtl/>
        </w:rPr>
        <w:t xml:space="preserve">. מדובר בתיקון </w:t>
      </w:r>
      <w:r>
        <w:rPr>
          <w:rFonts w:ascii="David" w:hAnsi="David"/>
          <w:rtl/>
        </w:rPr>
        <w:t>שנכנס לתוק</w:t>
      </w:r>
      <w:r>
        <w:rPr>
          <w:rFonts w:ascii="David" w:hAnsi="David" w:hint="cs"/>
          <w:rtl/>
        </w:rPr>
        <w:t>ף</w:t>
      </w:r>
      <w:r>
        <w:rPr>
          <w:rFonts w:ascii="David" w:hAnsi="David"/>
          <w:rtl/>
        </w:rPr>
        <w:t xml:space="preserve"> </w:t>
      </w:r>
      <w:r w:rsidRPr="00B64D8D">
        <w:rPr>
          <w:rFonts w:ascii="David" w:hAnsi="David"/>
          <w:rtl/>
        </w:rPr>
        <w:t xml:space="preserve">ביום 8.4.24 </w:t>
      </w:r>
      <w:r>
        <w:rPr>
          <w:rFonts w:ascii="David" w:hAnsi="David" w:hint="cs"/>
          <w:rtl/>
        </w:rPr>
        <w:t>ו</w:t>
      </w:r>
      <w:r w:rsidRPr="00B64D8D">
        <w:rPr>
          <w:rFonts w:ascii="David" w:hAnsi="David"/>
          <w:rtl/>
        </w:rPr>
        <w:t>אשר החמיר את הענישה המרבית בגין עבירות העסקה, הלנה והסעת שוהים בלתי חוקיים. כך, בעבירות שהעונש המרבי הקבוע בצדן היה טרם התיקון שנתיים מאסר, קבוע כיום עונש מאסר של עד ארבע שנות מאסר (</w:t>
      </w:r>
      <w:hyperlink r:id="rId26" w:history="1">
        <w:r w:rsidR="00A624A3" w:rsidRPr="00A624A3">
          <w:rPr>
            <w:rStyle w:val="Hyperlink"/>
            <w:rFonts w:ascii="David" w:hAnsi="David"/>
            <w:rtl/>
          </w:rPr>
          <w:t>סעיף 12ב2</w:t>
        </w:r>
      </w:hyperlink>
      <w:r w:rsidRPr="00B64D8D">
        <w:rPr>
          <w:rFonts w:ascii="David" w:hAnsi="David"/>
          <w:rtl/>
        </w:rPr>
        <w:t xml:space="preserve"> לחוק) ואילו בעבירות שהעונש המרבי הקבוע בצדן היה טרם התיקון ארבע שנות מאסר, קבוע כיום עונש מאסר של עד שבע שנות מאסר (</w:t>
      </w:r>
      <w:hyperlink r:id="rId27" w:history="1">
        <w:r w:rsidR="00A624A3" w:rsidRPr="00A624A3">
          <w:rPr>
            <w:rStyle w:val="Hyperlink"/>
            <w:rFonts w:ascii="David" w:hAnsi="David"/>
            <w:rtl/>
          </w:rPr>
          <w:t>סעיף 12ב3</w:t>
        </w:r>
      </w:hyperlink>
      <w:r w:rsidRPr="00B64D8D">
        <w:rPr>
          <w:rFonts w:ascii="David" w:hAnsi="David"/>
          <w:rtl/>
        </w:rPr>
        <w:t xml:space="preserve"> לחוק). כן </w:t>
      </w:r>
      <w:r>
        <w:rPr>
          <w:rFonts w:ascii="David" w:hAnsi="David" w:hint="cs"/>
          <w:rtl/>
        </w:rPr>
        <w:t xml:space="preserve">נוסף </w:t>
      </w:r>
      <w:r w:rsidRPr="00B64D8D">
        <w:rPr>
          <w:rFonts w:ascii="David" w:hAnsi="David"/>
          <w:rtl/>
        </w:rPr>
        <w:t xml:space="preserve">עונש </w:t>
      </w:r>
      <w:r>
        <w:rPr>
          <w:rFonts w:ascii="David" w:hAnsi="David" w:hint="cs"/>
          <w:rtl/>
        </w:rPr>
        <w:t xml:space="preserve">מינימום </w:t>
      </w:r>
      <w:r w:rsidRPr="00B64D8D">
        <w:rPr>
          <w:rFonts w:ascii="David" w:hAnsi="David"/>
          <w:rtl/>
        </w:rPr>
        <w:t>של רבע מהעונש המרבי (</w:t>
      </w:r>
      <w:hyperlink r:id="rId28" w:history="1">
        <w:r w:rsidR="00A624A3" w:rsidRPr="00A624A3">
          <w:rPr>
            <w:rStyle w:val="Hyperlink"/>
            <w:rFonts w:ascii="David" w:hAnsi="David"/>
            <w:rtl/>
          </w:rPr>
          <w:t>סעיף 12ה'</w:t>
        </w:r>
      </w:hyperlink>
      <w:r w:rsidRPr="00B64D8D">
        <w:rPr>
          <w:rFonts w:ascii="David" w:hAnsi="David"/>
          <w:rtl/>
        </w:rPr>
        <w:t xml:space="preserve"> לחוק</w:t>
      </w:r>
      <w:r>
        <w:rPr>
          <w:rFonts w:ascii="David" w:hAnsi="David" w:hint="cs"/>
          <w:rtl/>
        </w:rPr>
        <w:t>; שהוא הוראת שעה עד יום 1.5.27</w:t>
      </w:r>
      <w:r w:rsidRPr="00B64D8D">
        <w:rPr>
          <w:rFonts w:ascii="David" w:hAnsi="David"/>
          <w:rtl/>
        </w:rPr>
        <w:t xml:space="preserve">). התיקון </w:t>
      </w:r>
      <w:r>
        <w:rPr>
          <w:rFonts w:ascii="David" w:hAnsi="David" w:hint="cs"/>
          <w:rtl/>
        </w:rPr>
        <w:t xml:space="preserve">על כל הוראותיו </w:t>
      </w:r>
      <w:r w:rsidRPr="00B64D8D">
        <w:rPr>
          <w:rFonts w:ascii="David" w:hAnsi="David"/>
          <w:rtl/>
        </w:rPr>
        <w:t>ממחיש באופן שאינו משתמע לשתי פנים את עמדת המחוקק בדבר הצורך להחמיר בעונשם של מבצעי עבירות אלו</w:t>
      </w:r>
      <w:r>
        <w:rPr>
          <w:rFonts w:ascii="David" w:hAnsi="David" w:hint="cs"/>
          <w:rtl/>
        </w:rPr>
        <w:t xml:space="preserve"> על פני הנסיבות האישיות</w:t>
      </w:r>
      <w:r w:rsidRPr="00B64D8D">
        <w:rPr>
          <w:rFonts w:ascii="David" w:hAnsi="David"/>
          <w:rtl/>
        </w:rPr>
        <w:t>.</w:t>
      </w:r>
      <w:r>
        <w:rPr>
          <w:rFonts w:ascii="David" w:hAnsi="David" w:hint="cs"/>
          <w:rtl/>
        </w:rPr>
        <w:t xml:space="preserve"> בעניין זה ציין בית המשפט המחוזי בחיפה כי </w:t>
      </w:r>
      <w:r w:rsidRPr="00C34561">
        <w:rPr>
          <w:rFonts w:ascii="Miriam" w:hAnsi="Miriam" w:cs="Miriam"/>
          <w:rtl/>
        </w:rPr>
        <w:t>"</w:t>
      </w:r>
      <w:r w:rsidRPr="00C34561">
        <w:rPr>
          <w:rFonts w:ascii="Miriam" w:hAnsi="Miriam" w:cs="Miriam"/>
          <w:color w:val="000000"/>
          <w:rtl/>
        </w:rPr>
        <w:t xml:space="preserve">תיקון זה רק מביא לידי ביטוי את </w:t>
      </w:r>
      <w:r>
        <w:rPr>
          <w:rFonts w:ascii="Miriam" w:hAnsi="Miriam" w:cs="Miriam"/>
          <w:color w:val="000000"/>
          <w:rtl/>
        </w:rPr>
        <w:t>הצורך – עליו חזרה הפסיקה מזה זמ</w:t>
      </w:r>
      <w:r>
        <w:rPr>
          <w:rFonts w:ascii="Miriam" w:hAnsi="Miriam" w:cs="Miriam" w:hint="cs"/>
          <w:color w:val="000000"/>
          <w:rtl/>
        </w:rPr>
        <w:t xml:space="preserve">ן </w:t>
      </w:r>
      <w:r>
        <w:rPr>
          <w:rFonts w:ascii="Miriam" w:hAnsi="Miriam" w:cs="Miriam"/>
          <w:color w:val="000000"/>
          <w:rtl/>
        </w:rPr>
        <w:t>–</w:t>
      </w:r>
      <w:r>
        <w:rPr>
          <w:rFonts w:ascii="Miriam" w:hAnsi="Miriam" w:cs="Miriam" w:hint="cs"/>
          <w:color w:val="000000"/>
          <w:rtl/>
        </w:rPr>
        <w:t xml:space="preserve"> </w:t>
      </w:r>
      <w:r w:rsidRPr="00C34561">
        <w:rPr>
          <w:rFonts w:ascii="Miriam" w:hAnsi="Miriam" w:cs="Miriam"/>
          <w:color w:val="000000"/>
          <w:rtl/>
        </w:rPr>
        <w:t>לנקוט במדיניות ענישה מחמירה ומרתיעה כלפי אלו שמעסיקים שבחי"ם. גם ללא תיקון החוק היה אמור כל בר דעת, והדברים נכונים שבעתיים לאחר פרוץ המלחמה, כי מי שמעסיק שב"ח מסכן לא רק את כלל הציבור אלא גם את חירותו שלו, במובן זה שהוא עשוי להישלח אל מאחורי סורג ובריח</w:t>
      </w:r>
      <w:r w:rsidRPr="00C34561">
        <w:rPr>
          <w:rFonts w:ascii="Miriam" w:hAnsi="Miriam" w:cs="Miriam"/>
          <w:rtl/>
        </w:rPr>
        <w:t>"</w:t>
      </w:r>
      <w:r>
        <w:rPr>
          <w:rFonts w:ascii="David" w:hAnsi="David" w:hint="cs"/>
        </w:rPr>
        <w:t xml:space="preserve"> </w:t>
      </w:r>
      <w:r>
        <w:rPr>
          <w:rFonts w:ascii="David" w:hAnsi="David" w:hint="cs"/>
          <w:rtl/>
        </w:rPr>
        <w:t>(</w:t>
      </w:r>
      <w:hyperlink r:id="rId29" w:history="1">
        <w:r w:rsidR="003D6785" w:rsidRPr="003D6785">
          <w:rPr>
            <w:rFonts w:ascii="David" w:hAnsi="David"/>
            <w:color w:val="0000FF"/>
            <w:u w:val="single"/>
            <w:rtl/>
          </w:rPr>
          <w:t>עפ"ג 64502-06-24</w:t>
        </w:r>
      </w:hyperlink>
      <w:r w:rsidRPr="00A46FCB">
        <w:rPr>
          <w:rFonts w:ascii="David" w:hAnsi="David"/>
          <w:rtl/>
        </w:rPr>
        <w:t xml:space="preserve"> </w:t>
      </w:r>
      <w:r w:rsidRPr="00A46FCB">
        <w:rPr>
          <w:rFonts w:ascii="David" w:hAnsi="David"/>
          <w:b/>
          <w:bCs/>
          <w:rtl/>
        </w:rPr>
        <w:t>סלאמה נ' מדינת ישראל</w:t>
      </w:r>
      <w:r w:rsidRPr="00A46FCB">
        <w:rPr>
          <w:rFonts w:ascii="David" w:hAnsi="David" w:hint="cs"/>
          <w:rtl/>
        </w:rPr>
        <w:t xml:space="preserve"> </w:t>
      </w:r>
      <w:r w:rsidR="007E2005">
        <w:rPr>
          <w:rFonts w:ascii="David" w:hAnsi="David"/>
          <w:rtl/>
        </w:rPr>
        <w:t>[נבו]</w:t>
      </w:r>
      <w:r w:rsidR="007E2005">
        <w:rPr>
          <w:rFonts w:ascii="David" w:hAnsi="David" w:hint="cs"/>
          <w:rtl/>
        </w:rPr>
        <w:t xml:space="preserve"> </w:t>
      </w:r>
      <w:r w:rsidRPr="00A46FCB">
        <w:rPr>
          <w:rFonts w:ascii="David" w:hAnsi="David" w:hint="cs"/>
          <w:rtl/>
        </w:rPr>
        <w:t>(15.7.</w:t>
      </w:r>
      <w:r>
        <w:rPr>
          <w:rFonts w:ascii="David" w:hAnsi="David" w:hint="cs"/>
          <w:rtl/>
        </w:rPr>
        <w:t>20</w:t>
      </w:r>
      <w:r w:rsidRPr="00A46FCB">
        <w:rPr>
          <w:rFonts w:ascii="David" w:hAnsi="David" w:hint="cs"/>
          <w:rtl/>
        </w:rPr>
        <w:t>24)</w:t>
      </w:r>
      <w:r>
        <w:rPr>
          <w:rFonts w:ascii="David" w:hAnsi="David" w:hint="cs"/>
          <w:rtl/>
        </w:rPr>
        <w:t>).</w:t>
      </w:r>
    </w:p>
    <w:p w14:paraId="4BED1534" w14:textId="77777777" w:rsidR="009D40E9" w:rsidRDefault="009D40E9" w:rsidP="009D40E9">
      <w:pPr>
        <w:pStyle w:val="ListParagraph"/>
        <w:rPr>
          <w:rFonts w:ascii="David" w:hAnsi="David"/>
          <w:rtl/>
        </w:rPr>
      </w:pPr>
    </w:p>
    <w:p w14:paraId="615349ED" w14:textId="77777777" w:rsidR="009D40E9" w:rsidRPr="00D77D8B" w:rsidRDefault="009D40E9" w:rsidP="009D40E9">
      <w:pPr>
        <w:pStyle w:val="ListParagraph"/>
        <w:numPr>
          <w:ilvl w:val="0"/>
          <w:numId w:val="1"/>
        </w:numPr>
        <w:spacing w:line="360" w:lineRule="auto"/>
        <w:jc w:val="both"/>
        <w:rPr>
          <w:rFonts w:ascii="David" w:hAnsi="David"/>
        </w:rPr>
      </w:pPr>
      <w:r w:rsidRPr="00142EB5">
        <w:rPr>
          <w:rFonts w:ascii="David" w:hAnsi="David" w:hint="cs"/>
          <w:rtl/>
        </w:rPr>
        <w:t xml:space="preserve">לעונש המינימום משמעות גם בעניין קביעת </w:t>
      </w:r>
      <w:r w:rsidRPr="00142EB5">
        <w:rPr>
          <w:rFonts w:ascii="David" w:hAnsi="David"/>
          <w:rtl/>
        </w:rPr>
        <w:t>מתחם הענישה</w:t>
      </w:r>
      <w:r>
        <w:rPr>
          <w:rFonts w:ascii="David" w:hAnsi="David" w:hint="cs"/>
          <w:rtl/>
        </w:rPr>
        <w:t xml:space="preserve"> וביתר דיוק </w:t>
      </w:r>
      <w:r>
        <w:rPr>
          <w:rFonts w:ascii="David" w:hAnsi="David"/>
          <w:rtl/>
        </w:rPr>
        <w:t>–</w:t>
      </w:r>
      <w:r>
        <w:rPr>
          <w:rFonts w:ascii="David" w:hAnsi="David" w:hint="cs"/>
          <w:rtl/>
        </w:rPr>
        <w:t xml:space="preserve"> קביעת גבולו התחתון</w:t>
      </w:r>
      <w:r w:rsidRPr="00142EB5">
        <w:rPr>
          <w:rFonts w:ascii="David" w:hAnsi="David"/>
          <w:rtl/>
        </w:rPr>
        <w:t xml:space="preserve">. </w:t>
      </w:r>
      <w:hyperlink r:id="rId30" w:history="1">
        <w:r w:rsidR="00A624A3" w:rsidRPr="00A624A3">
          <w:rPr>
            <w:rStyle w:val="Hyperlink"/>
            <w:rFonts w:ascii="David" w:hAnsi="David"/>
            <w:rtl/>
          </w:rPr>
          <w:t>בסעיף 12ה'</w:t>
        </w:r>
      </w:hyperlink>
      <w:r w:rsidRPr="00142EB5">
        <w:rPr>
          <w:rFonts w:ascii="David" w:hAnsi="David"/>
          <w:rtl/>
        </w:rPr>
        <w:t xml:space="preserve"> </w:t>
      </w:r>
      <w:r w:rsidRPr="00142EB5">
        <w:rPr>
          <w:rFonts w:ascii="David" w:hAnsi="David" w:hint="cs"/>
          <w:rtl/>
        </w:rPr>
        <w:t xml:space="preserve">לחוק צוין כי אם הורשע אדם בעבירות מסוימות ובכלל זה העסקת עובד זר למשך יומיים או יותר </w:t>
      </w:r>
      <w:r>
        <w:rPr>
          <w:rFonts w:ascii="David" w:hAnsi="David" w:hint="cs"/>
          <w:rtl/>
        </w:rPr>
        <w:t xml:space="preserve">(כפי שהורשע הנאשם) </w:t>
      </w:r>
      <w:r w:rsidRPr="00142EB5">
        <w:rPr>
          <w:rFonts w:ascii="Miriam" w:hAnsi="Miriam" w:cs="Miriam" w:hint="cs"/>
          <w:rtl/>
        </w:rPr>
        <w:t>"</w:t>
      </w:r>
      <w:r w:rsidRPr="00142EB5">
        <w:rPr>
          <w:rFonts w:ascii="Miriam" w:hAnsi="Miriam" w:cs="Miriam"/>
          <w:rtl/>
        </w:rPr>
        <w:t>לא יפחת עונשו מרבע העונש המרבי שנקבע לאותה עבירה, אלא אם כן החליט בית המשפט, מטעמים מיוחדים שיירשמו, להקל בעונשו; עונש מאסר לפי סעיף קטן זה לא יהיה, בהעדר טעמים מיוחדים, כולו על-תנאי".</w:t>
      </w:r>
      <w:r w:rsidRPr="00142EB5">
        <w:rPr>
          <w:rFonts w:ascii="David" w:hAnsi="David" w:hint="cs"/>
          <w:rtl/>
        </w:rPr>
        <w:t xml:space="preserve"> </w:t>
      </w:r>
      <w:r w:rsidRPr="00D77D8B">
        <w:rPr>
          <w:rFonts w:ascii="David" w:hAnsi="David"/>
          <w:rtl/>
        </w:rPr>
        <w:t xml:space="preserve">בעניין </w:t>
      </w:r>
      <w:r>
        <w:rPr>
          <w:rFonts w:ascii="David" w:hAnsi="David" w:hint="cs"/>
          <w:rtl/>
        </w:rPr>
        <w:t xml:space="preserve">זה </w:t>
      </w:r>
      <w:r w:rsidRPr="00D77D8B">
        <w:rPr>
          <w:rFonts w:ascii="David" w:hAnsi="David"/>
          <w:rtl/>
        </w:rPr>
        <w:t>נקבע ב</w:t>
      </w:r>
      <w:hyperlink r:id="rId31" w:history="1">
        <w:r w:rsidR="003D6785" w:rsidRPr="003D6785">
          <w:rPr>
            <w:rFonts w:ascii="David" w:hAnsi="David"/>
            <w:color w:val="0000FF"/>
            <w:u w:val="single"/>
            <w:rtl/>
          </w:rPr>
          <w:t>ע"פ 1288/17</w:t>
        </w:r>
      </w:hyperlink>
      <w:r w:rsidRPr="00D77D8B">
        <w:rPr>
          <w:rFonts w:ascii="David" w:hAnsi="David"/>
          <w:rtl/>
        </w:rPr>
        <w:t xml:space="preserve"> </w:t>
      </w:r>
      <w:r w:rsidRPr="00D77D8B">
        <w:rPr>
          <w:rFonts w:ascii="David" w:hAnsi="David"/>
          <w:b/>
          <w:bCs/>
          <w:rtl/>
        </w:rPr>
        <w:t>מדינת ישראל נ' שנהר</w:t>
      </w:r>
      <w:r w:rsidRPr="00D77D8B">
        <w:rPr>
          <w:rFonts w:ascii="David" w:hAnsi="David"/>
          <w:rtl/>
        </w:rPr>
        <w:t xml:space="preserve"> </w:t>
      </w:r>
      <w:r w:rsidR="007E2005">
        <w:rPr>
          <w:rFonts w:ascii="David" w:hAnsi="David"/>
          <w:rtl/>
        </w:rPr>
        <w:t>[נבו]</w:t>
      </w:r>
      <w:r w:rsidR="007E2005">
        <w:rPr>
          <w:rFonts w:ascii="David" w:hAnsi="David" w:hint="cs"/>
          <w:rtl/>
        </w:rPr>
        <w:t xml:space="preserve"> </w:t>
      </w:r>
      <w:r w:rsidRPr="00D77D8B">
        <w:rPr>
          <w:rFonts w:ascii="David" w:hAnsi="David"/>
          <w:rtl/>
        </w:rPr>
        <w:t xml:space="preserve">(3.10.2017)) כי </w:t>
      </w:r>
      <w:r w:rsidRPr="00D77D8B">
        <w:rPr>
          <w:rFonts w:ascii="Miriam" w:hAnsi="Miriam" w:cs="Miriam"/>
          <w:rtl/>
        </w:rPr>
        <w:t>"אין לקבוע, ככלל, רף ענישה תחתון הנמוך מהעונש המזערי, וזאת גם כאשר קיימת הצדקה לסטות ממתחם העונש ההולם משיקולי שיקום. בצד זאת, יתכנו 'טעמים מיוחדים' המצדיקים קביעת רף תחתון נמוך יותר, ובמקרה מעין זה על בית המשפט לפרט את אותם טעמים מיוחדים"</w:t>
      </w:r>
      <w:r w:rsidRPr="00D77D8B">
        <w:rPr>
          <w:rFonts w:ascii="David" w:hAnsi="David"/>
          <w:rtl/>
        </w:rPr>
        <w:t xml:space="preserve"> (וראו בנושא גם </w:t>
      </w:r>
      <w:hyperlink r:id="rId32" w:history="1">
        <w:r w:rsidR="003D6785" w:rsidRPr="003D6785">
          <w:rPr>
            <w:rFonts w:ascii="David" w:hAnsi="David"/>
            <w:color w:val="0000FF"/>
            <w:u w:val="single"/>
            <w:rtl/>
          </w:rPr>
          <w:t>ע"פ 1693/23</w:t>
        </w:r>
      </w:hyperlink>
      <w:r w:rsidRPr="00D77D8B">
        <w:rPr>
          <w:rFonts w:ascii="David" w:hAnsi="David"/>
          <w:rtl/>
        </w:rPr>
        <w:t xml:space="preserve"> </w:t>
      </w:r>
      <w:r w:rsidRPr="00D77D8B">
        <w:rPr>
          <w:rFonts w:ascii="David" w:hAnsi="David"/>
          <w:b/>
          <w:bCs/>
          <w:rtl/>
        </w:rPr>
        <w:t>אסלאם אבו אחמד נ' מדינת ישראל</w:t>
      </w:r>
      <w:r w:rsidRPr="00D77D8B">
        <w:rPr>
          <w:rFonts w:ascii="David" w:hAnsi="David"/>
          <w:rtl/>
        </w:rPr>
        <w:t xml:space="preserve"> </w:t>
      </w:r>
      <w:r w:rsidR="007E2005">
        <w:rPr>
          <w:rFonts w:ascii="David" w:hAnsi="David"/>
          <w:rtl/>
        </w:rPr>
        <w:t>[נבו]</w:t>
      </w:r>
      <w:r w:rsidR="007E2005">
        <w:rPr>
          <w:rFonts w:ascii="David" w:hAnsi="David" w:hint="cs"/>
          <w:rtl/>
        </w:rPr>
        <w:t xml:space="preserve"> </w:t>
      </w:r>
      <w:r w:rsidRPr="00D77D8B">
        <w:rPr>
          <w:rFonts w:ascii="David" w:hAnsi="David"/>
          <w:rtl/>
        </w:rPr>
        <w:t>(3.</w:t>
      </w:r>
      <w:r w:rsidRPr="00D77D8B">
        <w:rPr>
          <w:rFonts w:ascii="David" w:hAnsi="David" w:hint="cs"/>
          <w:rtl/>
        </w:rPr>
        <w:t>12</w:t>
      </w:r>
      <w:r w:rsidRPr="00D77D8B">
        <w:rPr>
          <w:rFonts w:ascii="David" w:hAnsi="David"/>
          <w:rtl/>
        </w:rPr>
        <w:t xml:space="preserve">.2023); </w:t>
      </w:r>
      <w:hyperlink r:id="rId33" w:history="1">
        <w:r w:rsidR="003D6785" w:rsidRPr="003D6785">
          <w:rPr>
            <w:rFonts w:ascii="David" w:hAnsi="David"/>
            <w:color w:val="0000FF"/>
            <w:u w:val="single"/>
            <w:rtl/>
          </w:rPr>
          <w:t>ע"פ 8687/20</w:t>
        </w:r>
      </w:hyperlink>
      <w:r w:rsidRPr="00D77D8B">
        <w:rPr>
          <w:rFonts w:ascii="David" w:hAnsi="David"/>
          <w:rtl/>
        </w:rPr>
        <w:t xml:space="preserve"> </w:t>
      </w:r>
      <w:r w:rsidRPr="00D77D8B">
        <w:rPr>
          <w:rFonts w:ascii="David" w:hAnsi="David"/>
          <w:b/>
          <w:bCs/>
          <w:rtl/>
        </w:rPr>
        <w:t>פלוני נ' מדינת ישראל</w:t>
      </w:r>
      <w:r w:rsidRPr="00D77D8B">
        <w:rPr>
          <w:rFonts w:ascii="David" w:hAnsi="David"/>
          <w:rtl/>
        </w:rPr>
        <w:t xml:space="preserve"> </w:t>
      </w:r>
      <w:r w:rsidR="007E2005">
        <w:rPr>
          <w:rFonts w:ascii="David" w:hAnsi="David"/>
          <w:rtl/>
        </w:rPr>
        <w:t>[נבו]</w:t>
      </w:r>
      <w:r w:rsidR="007E2005">
        <w:rPr>
          <w:rFonts w:ascii="David" w:hAnsi="David" w:hint="cs"/>
          <w:rtl/>
        </w:rPr>
        <w:t xml:space="preserve"> </w:t>
      </w:r>
      <w:r w:rsidRPr="00D77D8B">
        <w:rPr>
          <w:rFonts w:ascii="David" w:hAnsi="David"/>
          <w:rtl/>
        </w:rPr>
        <w:t>(29.8.2021)).</w:t>
      </w:r>
      <w:r w:rsidRPr="00D77D8B">
        <w:rPr>
          <w:rFonts w:ascii="David" w:hAnsi="David" w:hint="cs"/>
          <w:rtl/>
        </w:rPr>
        <w:t xml:space="preserve"> </w:t>
      </w:r>
    </w:p>
    <w:p w14:paraId="5347E15D" w14:textId="77777777" w:rsidR="009D40E9" w:rsidRPr="00D77D8B" w:rsidRDefault="009D40E9" w:rsidP="009D40E9">
      <w:pPr>
        <w:pStyle w:val="ListParagraph"/>
        <w:rPr>
          <w:rFonts w:ascii="David" w:hAnsi="David"/>
          <w:rtl/>
        </w:rPr>
      </w:pPr>
    </w:p>
    <w:p w14:paraId="079D8594" w14:textId="77777777" w:rsidR="009D40E9" w:rsidRPr="000B4BE9" w:rsidRDefault="009D40E9" w:rsidP="009D40E9">
      <w:pPr>
        <w:pStyle w:val="ListParagraph"/>
        <w:numPr>
          <w:ilvl w:val="0"/>
          <w:numId w:val="1"/>
        </w:numPr>
        <w:spacing w:line="360" w:lineRule="auto"/>
        <w:jc w:val="both"/>
        <w:rPr>
          <w:rFonts w:ascii="David" w:hAnsi="David"/>
        </w:rPr>
      </w:pPr>
      <w:r>
        <w:rPr>
          <w:rFonts w:ascii="David" w:hAnsi="David" w:hint="cs"/>
          <w:rtl/>
        </w:rPr>
        <w:t>הנאשם הורשע בשתי עבירות. האחת שהעונש הקבוע בצדה הוא 4 שנות מאסר (</w:t>
      </w:r>
      <w:hyperlink r:id="rId34" w:history="1">
        <w:r w:rsidR="00A624A3" w:rsidRPr="00A624A3">
          <w:rPr>
            <w:rStyle w:val="Hyperlink"/>
            <w:rFonts w:ascii="David" w:hAnsi="David" w:hint="eastAsia"/>
            <w:rtl/>
          </w:rPr>
          <w:t>סעיף</w:t>
        </w:r>
        <w:r w:rsidR="00A624A3" w:rsidRPr="00A624A3">
          <w:rPr>
            <w:rStyle w:val="Hyperlink"/>
            <w:rFonts w:ascii="David" w:hAnsi="David"/>
            <w:rtl/>
          </w:rPr>
          <w:t xml:space="preserve"> 12א(ג)(1)</w:t>
        </w:r>
      </w:hyperlink>
      <w:r>
        <w:rPr>
          <w:rFonts w:ascii="David" w:hAnsi="David" w:hint="cs"/>
          <w:rtl/>
        </w:rPr>
        <w:t xml:space="preserve"> ל</w:t>
      </w:r>
      <w:hyperlink r:id="rId35" w:history="1">
        <w:r w:rsidR="003D6785" w:rsidRPr="003D6785">
          <w:rPr>
            <w:rFonts w:ascii="David" w:hAnsi="David"/>
            <w:color w:val="0000FF"/>
            <w:u w:val="single"/>
            <w:rtl/>
          </w:rPr>
          <w:t>חוק הכניסה לישראל</w:t>
        </w:r>
      </w:hyperlink>
      <w:r>
        <w:rPr>
          <w:rFonts w:ascii="David" w:hAnsi="David" w:hint="cs"/>
          <w:rtl/>
        </w:rPr>
        <w:t>)</w:t>
      </w:r>
      <w:r>
        <w:rPr>
          <w:rFonts w:ascii="David" w:hAnsi="David" w:hint="cs"/>
        </w:rPr>
        <w:t xml:space="preserve"> </w:t>
      </w:r>
      <w:r>
        <w:rPr>
          <w:rFonts w:ascii="David" w:hAnsi="David" w:hint="cs"/>
          <w:rtl/>
        </w:rPr>
        <w:t xml:space="preserve">והשנייה </w:t>
      </w:r>
      <w:r w:rsidRPr="00142EB5">
        <w:rPr>
          <w:rFonts w:ascii="David" w:hAnsi="David" w:hint="cs"/>
          <w:rtl/>
        </w:rPr>
        <w:t>עונש</w:t>
      </w:r>
      <w:r>
        <w:rPr>
          <w:rFonts w:ascii="David" w:hAnsi="David" w:hint="cs"/>
          <w:rtl/>
        </w:rPr>
        <w:t>ה</w:t>
      </w:r>
      <w:r w:rsidRPr="00142EB5">
        <w:rPr>
          <w:rFonts w:ascii="David" w:hAnsi="David" w:hint="cs"/>
          <w:rtl/>
        </w:rPr>
        <w:t xml:space="preserve"> 7 שנות מאסר </w:t>
      </w:r>
      <w:r>
        <w:rPr>
          <w:rFonts w:ascii="David" w:hAnsi="David" w:hint="cs"/>
          <w:rtl/>
        </w:rPr>
        <w:t>(</w:t>
      </w:r>
      <w:hyperlink r:id="rId36" w:history="1">
        <w:r w:rsidR="00A624A3" w:rsidRPr="00A624A3">
          <w:rPr>
            <w:rStyle w:val="Hyperlink"/>
            <w:rFonts w:ascii="David" w:hAnsi="David" w:hint="eastAsia"/>
            <w:rtl/>
          </w:rPr>
          <w:t>סעיף</w:t>
        </w:r>
        <w:r w:rsidR="00A624A3" w:rsidRPr="00A624A3">
          <w:rPr>
            <w:rStyle w:val="Hyperlink"/>
            <w:rFonts w:ascii="David" w:hAnsi="David"/>
            <w:rtl/>
          </w:rPr>
          <w:t xml:space="preserve"> 12ב3(א)(2)</w:t>
        </w:r>
      </w:hyperlink>
      <w:r>
        <w:rPr>
          <w:rFonts w:ascii="David" w:hAnsi="David" w:hint="cs"/>
          <w:rtl/>
        </w:rPr>
        <w:t xml:space="preserve"> לחוק הכניסה לישראל).</w:t>
      </w:r>
      <w:r>
        <w:rPr>
          <w:rFonts w:ascii="David" w:hAnsi="David" w:hint="cs"/>
        </w:rPr>
        <w:t xml:space="preserve"> </w:t>
      </w:r>
      <w:r w:rsidRPr="00142EB5">
        <w:rPr>
          <w:rFonts w:ascii="David" w:hAnsi="David" w:hint="cs"/>
          <w:rtl/>
        </w:rPr>
        <w:t>משכך העונש</w:t>
      </w:r>
      <w:r>
        <w:rPr>
          <w:rFonts w:ascii="David" w:hAnsi="David" w:hint="cs"/>
          <w:rtl/>
        </w:rPr>
        <w:t>ים</w:t>
      </w:r>
      <w:r w:rsidRPr="00142EB5">
        <w:rPr>
          <w:rFonts w:ascii="David" w:hAnsi="David" w:hint="cs"/>
          <w:rtl/>
        </w:rPr>
        <w:t xml:space="preserve"> המזערי</w:t>
      </w:r>
      <w:r>
        <w:rPr>
          <w:rFonts w:ascii="David" w:hAnsi="David" w:hint="cs"/>
          <w:rtl/>
        </w:rPr>
        <w:t>ים</w:t>
      </w:r>
      <w:r w:rsidRPr="00142EB5">
        <w:rPr>
          <w:rFonts w:ascii="David" w:hAnsi="David" w:hint="cs"/>
          <w:rtl/>
        </w:rPr>
        <w:t xml:space="preserve"> </w:t>
      </w:r>
      <w:r>
        <w:rPr>
          <w:rFonts w:ascii="David" w:hAnsi="David" w:hint="cs"/>
          <w:rtl/>
        </w:rPr>
        <w:t>במקרה זה הם בני 12 חודשים וכן 21</w:t>
      </w:r>
      <w:r w:rsidRPr="00142EB5">
        <w:rPr>
          <w:rFonts w:ascii="David" w:hAnsi="David" w:hint="cs"/>
          <w:rtl/>
        </w:rPr>
        <w:t xml:space="preserve"> חודשי מאסר</w:t>
      </w:r>
      <w:r>
        <w:rPr>
          <w:rFonts w:ascii="David" w:hAnsi="David" w:hint="cs"/>
          <w:rtl/>
        </w:rPr>
        <w:t>. ודוק:</w:t>
      </w:r>
      <w:r>
        <w:rPr>
          <w:rFonts w:ascii="David" w:hAnsi="David" w:hint="cs"/>
        </w:rPr>
        <w:t xml:space="preserve"> </w:t>
      </w:r>
      <w:r>
        <w:rPr>
          <w:rFonts w:ascii="David" w:hAnsi="David" w:hint="cs"/>
          <w:rtl/>
        </w:rPr>
        <w:t xml:space="preserve">המאשימה לא טענה אחרת כך שאקבע שמדובר ב"מעשה" אחד לפי </w:t>
      </w:r>
      <w:hyperlink r:id="rId37" w:history="1">
        <w:r w:rsidR="00A624A3" w:rsidRPr="00A624A3">
          <w:rPr>
            <w:rStyle w:val="Hyperlink"/>
            <w:rFonts w:ascii="David" w:hAnsi="David" w:hint="eastAsia"/>
            <w:rtl/>
          </w:rPr>
          <w:t>סעיף</w:t>
        </w:r>
        <w:r w:rsidR="00A624A3" w:rsidRPr="00A624A3">
          <w:rPr>
            <w:rStyle w:val="Hyperlink"/>
            <w:rFonts w:ascii="David" w:hAnsi="David"/>
            <w:rtl/>
          </w:rPr>
          <w:t xml:space="preserve"> 186</w:t>
        </w:r>
      </w:hyperlink>
      <w:r>
        <w:rPr>
          <w:rFonts w:ascii="David" w:hAnsi="David" w:hint="cs"/>
          <w:rtl/>
        </w:rPr>
        <w:t xml:space="preserve"> ל</w:t>
      </w:r>
      <w:hyperlink r:id="rId38" w:history="1">
        <w:r w:rsidR="003D6785" w:rsidRPr="003D6785">
          <w:rPr>
            <w:rFonts w:ascii="David" w:hAnsi="David"/>
            <w:color w:val="0000FF"/>
            <w:u w:val="single"/>
            <w:rtl/>
          </w:rPr>
          <w:t>חוק סדר הדין הפלילי</w:t>
        </w:r>
      </w:hyperlink>
      <w:r>
        <w:rPr>
          <w:rFonts w:ascii="David" w:hAnsi="David" w:hint="cs"/>
          <w:rtl/>
        </w:rPr>
        <w:t xml:space="preserve"> [נוסח משולב], תשמ"ב-1982 ומשכך תקרת העונש המרבי היא 7 שנות מאסר והעונש המזערי עומד על 21 חודשים,</w:t>
      </w:r>
      <w:r w:rsidRPr="000B4BE9">
        <w:rPr>
          <w:rFonts w:ascii="David" w:hAnsi="David" w:hint="cs"/>
          <w:rtl/>
        </w:rPr>
        <w:t xml:space="preserve"> כאשר ברי שמדובר במאסר בפועל ועל תנאי יחדיו, שהרי </w:t>
      </w:r>
      <w:r w:rsidRPr="000B4BE9">
        <w:rPr>
          <w:rFonts w:ascii="Miriam" w:hAnsi="Miriam" w:cs="Miriam"/>
          <w:rtl/>
        </w:rPr>
        <w:t>"עונש מאסר, בין שנקבע לריצוי בפועל ובין שהוטל על</w:t>
      </w:r>
      <w:r w:rsidRPr="000B4BE9">
        <w:rPr>
          <w:rFonts w:ascii="Miriam" w:hAnsi="Miriam" w:cs="Miriam"/>
          <w:position w:val="4"/>
          <w:sz w:val="22"/>
          <w:rtl/>
        </w:rPr>
        <w:t>-</w:t>
      </w:r>
      <w:r w:rsidRPr="000B4BE9">
        <w:rPr>
          <w:rFonts w:ascii="Miriam" w:hAnsi="Miriam" w:cs="Miriam"/>
          <w:rtl/>
        </w:rPr>
        <w:t>תנאי, הוא אותו עונש. אלא שעונש המאסר על</w:t>
      </w:r>
      <w:r w:rsidRPr="000B4BE9">
        <w:rPr>
          <w:rFonts w:ascii="Miriam" w:hAnsi="Miriam" w:cs="Miriam"/>
          <w:position w:val="4"/>
          <w:sz w:val="22"/>
          <w:rtl/>
        </w:rPr>
        <w:t>-</w:t>
      </w:r>
      <w:r w:rsidRPr="000B4BE9">
        <w:rPr>
          <w:rFonts w:ascii="Miriam" w:hAnsi="Miriam" w:cs="Miriam"/>
          <w:rtl/>
        </w:rPr>
        <w:t>תנאי הוא בבחינת מאסר שריצויו נדחה"</w:t>
      </w:r>
      <w:r w:rsidRPr="000B4BE9">
        <w:rPr>
          <w:rFonts w:ascii="Miriam" w:hAnsi="Miriam" w:cs="Miriam"/>
        </w:rPr>
        <w:t xml:space="preserve"> </w:t>
      </w:r>
      <w:r w:rsidRPr="000B4BE9">
        <w:rPr>
          <w:rFonts w:ascii="David" w:hAnsi="David" w:hint="cs"/>
          <w:rtl/>
        </w:rPr>
        <w:t>(</w:t>
      </w:r>
      <w:hyperlink r:id="rId39" w:history="1">
        <w:r w:rsidR="007E2005" w:rsidRPr="007E2005">
          <w:rPr>
            <w:rStyle w:val="Hyperlink"/>
            <w:rFonts w:ascii="David" w:hAnsi="David" w:hint="eastAsia"/>
            <w:rtl/>
          </w:rPr>
          <w:t>ע</w:t>
        </w:r>
        <w:r w:rsidR="007E2005" w:rsidRPr="007E2005">
          <w:rPr>
            <w:rStyle w:val="Hyperlink"/>
            <w:rFonts w:ascii="David" w:hAnsi="David"/>
            <w:rtl/>
          </w:rPr>
          <w:t>"פ 5798/00</w:t>
        </w:r>
      </w:hyperlink>
      <w:r w:rsidRPr="000B4BE9">
        <w:rPr>
          <w:rFonts w:ascii="David" w:hAnsi="David" w:hint="cs"/>
          <w:rtl/>
        </w:rPr>
        <w:t xml:space="preserve"> </w:t>
      </w:r>
      <w:r w:rsidRPr="000B4BE9">
        <w:rPr>
          <w:rFonts w:ascii="David" w:hAnsi="David" w:hint="cs"/>
          <w:b/>
          <w:bCs/>
          <w:rtl/>
        </w:rPr>
        <w:t>ריזי ואח' נ' מדינת ישראל</w:t>
      </w:r>
      <w:r w:rsidRPr="000B4BE9">
        <w:rPr>
          <w:rFonts w:ascii="David" w:hAnsi="David" w:hint="cs"/>
          <w:rtl/>
        </w:rPr>
        <w:t xml:space="preserve"> </w:t>
      </w:r>
      <w:r w:rsidR="007E2005">
        <w:rPr>
          <w:rFonts w:ascii="David" w:hAnsi="David"/>
          <w:rtl/>
        </w:rPr>
        <w:t>[נבו]</w:t>
      </w:r>
      <w:r w:rsidR="007E2005">
        <w:rPr>
          <w:rFonts w:ascii="David" w:hAnsi="David" w:hint="cs"/>
          <w:rtl/>
        </w:rPr>
        <w:t xml:space="preserve"> </w:t>
      </w:r>
      <w:r w:rsidRPr="000B4BE9">
        <w:rPr>
          <w:rFonts w:ascii="David" w:hAnsi="David" w:hint="cs"/>
          <w:rtl/>
        </w:rPr>
        <w:t xml:space="preserve">(12.2.2001), פסקה 6; וראו גם </w:t>
      </w:r>
      <w:hyperlink r:id="rId40" w:history="1">
        <w:r w:rsidR="003D6785" w:rsidRPr="003D6785">
          <w:rPr>
            <w:rFonts w:ascii="David" w:hAnsi="David"/>
            <w:color w:val="0000FF"/>
            <w:u w:val="single"/>
            <w:rtl/>
          </w:rPr>
          <w:t>ע"פ 5023/99</w:t>
        </w:r>
      </w:hyperlink>
      <w:r w:rsidRPr="000B4BE9">
        <w:rPr>
          <w:rFonts w:ascii="David" w:hAnsi="David" w:hint="cs"/>
          <w:rtl/>
        </w:rPr>
        <w:t xml:space="preserve"> </w:t>
      </w:r>
      <w:r w:rsidRPr="000B4BE9">
        <w:rPr>
          <w:rFonts w:ascii="David" w:hAnsi="David" w:hint="cs"/>
          <w:b/>
          <w:bCs/>
          <w:rtl/>
        </w:rPr>
        <w:t>יוסף חכמי נ' מדינת ישראל</w:t>
      </w:r>
      <w:r w:rsidR="007E2005">
        <w:rPr>
          <w:rFonts w:ascii="David" w:hAnsi="David" w:hint="cs"/>
          <w:b/>
          <w:bCs/>
          <w:rtl/>
        </w:rPr>
        <w:t xml:space="preserve"> </w:t>
      </w:r>
      <w:r w:rsidR="007E2005">
        <w:rPr>
          <w:rFonts w:ascii="David" w:hAnsi="David"/>
          <w:b/>
          <w:bCs/>
          <w:rtl/>
        </w:rPr>
        <w:t>[נבו]</w:t>
      </w:r>
      <w:r w:rsidRPr="000B4BE9">
        <w:rPr>
          <w:rFonts w:ascii="David" w:hAnsi="David" w:hint="cs"/>
          <w:rtl/>
        </w:rPr>
        <w:t xml:space="preserve"> 15.3.2001), פסקה 6 לפסק דינה של כב' השופטת פרוקצ'יה). </w:t>
      </w:r>
      <w:r>
        <w:rPr>
          <w:rFonts w:ascii="David" w:hAnsi="David" w:hint="cs"/>
          <w:rtl/>
        </w:rPr>
        <w:t>ואולם, בהתאם ל</w:t>
      </w:r>
      <w:r w:rsidRPr="000B4BE9">
        <w:rPr>
          <w:rFonts w:ascii="David" w:hAnsi="David" w:hint="cs"/>
          <w:rtl/>
        </w:rPr>
        <w:t>תיקון</w:t>
      </w:r>
      <w:r>
        <w:rPr>
          <w:rFonts w:ascii="David" w:hAnsi="David" w:hint="cs"/>
          <w:rtl/>
        </w:rPr>
        <w:t>,</w:t>
      </w:r>
      <w:r w:rsidRPr="000B4BE9">
        <w:rPr>
          <w:rFonts w:ascii="David" w:hAnsi="David" w:hint="cs"/>
          <w:rtl/>
        </w:rPr>
        <w:t xml:space="preserve"> בכל מקרה </w:t>
      </w:r>
      <w:r>
        <w:rPr>
          <w:rFonts w:ascii="David" w:hAnsi="David" w:hint="cs"/>
          <w:rtl/>
        </w:rPr>
        <w:t xml:space="preserve">אין להטיל </w:t>
      </w:r>
      <w:r w:rsidRPr="000B4BE9">
        <w:rPr>
          <w:rFonts w:ascii="David" w:hAnsi="David" w:hint="cs"/>
          <w:rtl/>
        </w:rPr>
        <w:t xml:space="preserve">עונש </w:t>
      </w:r>
      <w:r>
        <w:rPr>
          <w:rFonts w:ascii="David" w:hAnsi="David" w:hint="cs"/>
          <w:rtl/>
        </w:rPr>
        <w:t>מאסר ש</w:t>
      </w:r>
      <w:r w:rsidRPr="000B4BE9">
        <w:rPr>
          <w:rFonts w:ascii="David" w:hAnsi="David" w:hint="cs"/>
          <w:rtl/>
        </w:rPr>
        <w:t xml:space="preserve">כולו על תנאי, כך שגם אם </w:t>
      </w:r>
      <w:r>
        <w:rPr>
          <w:rFonts w:ascii="David" w:hAnsi="David" w:hint="cs"/>
          <w:rtl/>
        </w:rPr>
        <w:t>ראה בית המשפט להטיל עונש נמוך מ</w:t>
      </w:r>
      <w:r w:rsidRPr="000B4BE9">
        <w:rPr>
          <w:rFonts w:ascii="David" w:hAnsi="David" w:hint="cs"/>
          <w:rtl/>
        </w:rPr>
        <w:t xml:space="preserve">עונש </w:t>
      </w:r>
      <w:r>
        <w:rPr>
          <w:rFonts w:ascii="David" w:hAnsi="David" w:hint="cs"/>
          <w:rtl/>
        </w:rPr>
        <w:t xml:space="preserve">המינימום </w:t>
      </w:r>
      <w:r w:rsidRPr="000B4BE9">
        <w:rPr>
          <w:rFonts w:ascii="David" w:hAnsi="David" w:hint="cs"/>
          <w:rtl/>
        </w:rPr>
        <w:t>(מאסר בפועל בצירוף מאסר מותנה) עדי</w:t>
      </w:r>
      <w:r>
        <w:rPr>
          <w:rFonts w:ascii="David" w:hAnsi="David" w:hint="cs"/>
          <w:rtl/>
        </w:rPr>
        <w:t>י</w:t>
      </w:r>
      <w:r w:rsidRPr="000B4BE9">
        <w:rPr>
          <w:rFonts w:ascii="David" w:hAnsi="David" w:hint="cs"/>
          <w:rtl/>
        </w:rPr>
        <w:t>ן קיימת חובה להטיל עונש מאסר בפועל כלשהו (הוראה בנוסח דומה קיימת גם בעבירות מין (</w:t>
      </w:r>
      <w:hyperlink r:id="rId41" w:history="1">
        <w:r w:rsidR="00A624A3" w:rsidRPr="00A624A3">
          <w:rPr>
            <w:rStyle w:val="Hyperlink"/>
            <w:rFonts w:ascii="David" w:hAnsi="David" w:hint="eastAsia"/>
            <w:rtl/>
          </w:rPr>
          <w:t>סעיף</w:t>
        </w:r>
        <w:r w:rsidR="00A624A3" w:rsidRPr="00A624A3">
          <w:rPr>
            <w:rStyle w:val="Hyperlink"/>
            <w:rFonts w:ascii="David" w:hAnsi="David"/>
            <w:rtl/>
          </w:rPr>
          <w:t xml:space="preserve"> 355</w:t>
        </w:r>
      </w:hyperlink>
      <w:r>
        <w:rPr>
          <w:rFonts w:ascii="David" w:hAnsi="David" w:hint="cs"/>
          <w:rtl/>
        </w:rPr>
        <w:t xml:space="preserve"> ל</w:t>
      </w:r>
      <w:hyperlink r:id="rId42" w:history="1">
        <w:r w:rsidR="003D6785" w:rsidRPr="003D6785">
          <w:rPr>
            <w:rFonts w:ascii="David" w:hAnsi="David"/>
            <w:color w:val="0000FF"/>
            <w:u w:val="single"/>
            <w:rtl/>
          </w:rPr>
          <w:t>חוק העונשין</w:t>
        </w:r>
      </w:hyperlink>
      <w:r w:rsidRPr="000B4BE9">
        <w:rPr>
          <w:rFonts w:ascii="David" w:hAnsi="David" w:hint="cs"/>
          <w:rtl/>
        </w:rPr>
        <w:t>) ובעבירות נשק (</w:t>
      </w:r>
      <w:hyperlink r:id="rId43" w:history="1">
        <w:r w:rsidR="00A624A3" w:rsidRPr="00A624A3">
          <w:rPr>
            <w:rStyle w:val="Hyperlink"/>
            <w:rFonts w:ascii="David" w:hAnsi="David" w:hint="eastAsia"/>
            <w:rtl/>
          </w:rPr>
          <w:t>סעיף</w:t>
        </w:r>
        <w:r w:rsidR="00A624A3" w:rsidRPr="00A624A3">
          <w:rPr>
            <w:rStyle w:val="Hyperlink"/>
            <w:rFonts w:ascii="David" w:hAnsi="David"/>
            <w:rtl/>
          </w:rPr>
          <w:t xml:space="preserve"> 144ז</w:t>
        </w:r>
      </w:hyperlink>
      <w:r>
        <w:rPr>
          <w:rFonts w:ascii="David" w:hAnsi="David" w:hint="cs"/>
          <w:rtl/>
        </w:rPr>
        <w:t>; כהוראת שעה</w:t>
      </w:r>
      <w:r w:rsidRPr="000B4BE9">
        <w:rPr>
          <w:rFonts w:ascii="David" w:hAnsi="David" w:hint="cs"/>
          <w:rtl/>
        </w:rPr>
        <w:t>)</w:t>
      </w:r>
      <w:r>
        <w:rPr>
          <w:rFonts w:ascii="David" w:hAnsi="David" w:hint="cs"/>
          <w:rtl/>
        </w:rPr>
        <w:t>)</w:t>
      </w:r>
      <w:r w:rsidRPr="000B4BE9">
        <w:rPr>
          <w:rFonts w:ascii="David" w:hAnsi="David" w:hint="cs"/>
          <w:rtl/>
        </w:rPr>
        <w:t xml:space="preserve">. </w:t>
      </w:r>
    </w:p>
    <w:p w14:paraId="411A3B9C" w14:textId="77777777" w:rsidR="009D40E9" w:rsidRPr="00452443" w:rsidRDefault="009D40E9" w:rsidP="009D40E9">
      <w:pPr>
        <w:pStyle w:val="ListParagraph"/>
        <w:rPr>
          <w:rFonts w:ascii="David" w:hAnsi="David"/>
          <w:rtl/>
        </w:rPr>
      </w:pPr>
    </w:p>
    <w:p w14:paraId="266D9608" w14:textId="77777777" w:rsidR="009D40E9" w:rsidRDefault="009D40E9" w:rsidP="009D40E9">
      <w:pPr>
        <w:pStyle w:val="ListParagraph"/>
        <w:numPr>
          <w:ilvl w:val="0"/>
          <w:numId w:val="1"/>
        </w:numPr>
        <w:spacing w:line="360" w:lineRule="auto"/>
        <w:jc w:val="both"/>
        <w:rPr>
          <w:rFonts w:ascii="David" w:hAnsi="David"/>
        </w:rPr>
      </w:pPr>
      <w:r w:rsidRPr="00A46FCB">
        <w:rPr>
          <w:rFonts w:ascii="David" w:hAnsi="David" w:hint="cs"/>
          <w:rtl/>
        </w:rPr>
        <w:t>לצורך בחינת מדיניות הענישה הנוהגת אפנה לפסקי הדין הבאים, בשינויים המחויבים</w:t>
      </w:r>
      <w:r>
        <w:rPr>
          <w:rFonts w:ascii="David" w:hAnsi="David" w:hint="cs"/>
          <w:rtl/>
        </w:rPr>
        <w:t>, תוך שיודגש שרוב המקרים הם כאלו שהתיקון לא חל לגביהם וזאת לאור כך שמדובר בתיקון חדש יחסית. חלק מהקרים הם גם לפני אירועי 7.10 על כל המשמעות הכרוכה בכך</w:t>
      </w:r>
      <w:r w:rsidRPr="00A46FCB">
        <w:rPr>
          <w:rFonts w:ascii="David" w:hAnsi="David" w:hint="cs"/>
          <w:rtl/>
        </w:rPr>
        <w:t xml:space="preserve">: </w:t>
      </w:r>
    </w:p>
    <w:p w14:paraId="552179E3" w14:textId="77777777" w:rsidR="009D40E9" w:rsidRPr="00E13215" w:rsidRDefault="009D40E9" w:rsidP="009D40E9">
      <w:pPr>
        <w:pStyle w:val="ListParagraph"/>
        <w:rPr>
          <w:rFonts w:ascii="David" w:hAnsi="David"/>
          <w:rtl/>
        </w:rPr>
      </w:pPr>
    </w:p>
    <w:p w14:paraId="004DD029" w14:textId="77777777" w:rsidR="009D40E9" w:rsidRDefault="009D40E9" w:rsidP="009D40E9">
      <w:pPr>
        <w:pStyle w:val="ListParagraph"/>
        <w:spacing w:line="360" w:lineRule="auto"/>
        <w:jc w:val="both"/>
        <w:rPr>
          <w:rFonts w:ascii="David" w:hAnsi="David"/>
          <w:rtl/>
        </w:rPr>
      </w:pPr>
      <w:r>
        <w:rPr>
          <w:rFonts w:ascii="David" w:hAnsi="David" w:hint="cs"/>
          <w:rtl/>
        </w:rPr>
        <w:t>(-)</w:t>
      </w:r>
      <w:r>
        <w:rPr>
          <w:rFonts w:ascii="David" w:hAnsi="David"/>
          <w:rtl/>
        </w:rPr>
        <w:tab/>
      </w:r>
      <w:hyperlink r:id="rId44" w:history="1">
        <w:r w:rsidR="003D6785" w:rsidRPr="003D6785">
          <w:rPr>
            <w:rFonts w:ascii="David" w:hAnsi="David"/>
            <w:color w:val="0000FF"/>
            <w:u w:val="single"/>
            <w:rtl/>
          </w:rPr>
          <w:t>רע"פ 2057/19</w:t>
        </w:r>
      </w:hyperlink>
      <w:r w:rsidRPr="00A46FCB">
        <w:rPr>
          <w:rFonts w:ascii="David" w:hAnsi="David"/>
          <w:rtl/>
        </w:rPr>
        <w:t xml:space="preserve"> </w:t>
      </w:r>
      <w:r w:rsidRPr="00A46FCB">
        <w:rPr>
          <w:rFonts w:ascii="David" w:hAnsi="David"/>
          <w:b/>
          <w:bCs/>
          <w:rtl/>
        </w:rPr>
        <w:t>פתחי מרזוק נ' מדינת ישראל</w:t>
      </w:r>
      <w:r w:rsidRPr="00A46FCB">
        <w:rPr>
          <w:rFonts w:ascii="David" w:hAnsi="David"/>
          <w:rtl/>
        </w:rPr>
        <w:t xml:space="preserve"> </w:t>
      </w:r>
      <w:r w:rsidR="007E2005">
        <w:rPr>
          <w:rFonts w:ascii="David" w:hAnsi="David"/>
          <w:rtl/>
        </w:rPr>
        <w:t>[נבו]</w:t>
      </w:r>
      <w:r w:rsidR="007E2005">
        <w:rPr>
          <w:rFonts w:ascii="David" w:hAnsi="David" w:hint="cs"/>
          <w:rtl/>
        </w:rPr>
        <w:t xml:space="preserve"> </w:t>
      </w:r>
      <w:r w:rsidRPr="00A46FCB">
        <w:rPr>
          <w:rFonts w:ascii="David" w:hAnsi="David"/>
          <w:rtl/>
        </w:rPr>
        <w:t>(21.3.2019), בו הורשע נאשם בהסעה והעסקה של תושב זר ונידון ל-5 חודשי מאסר בדרך של עבודות שירות וענישה נלווית. במקרה זה העסיק הנאשם חמישה שוהים בלתי חוקיים: שלושה הועסקו למשך חודש, אחד לתקופה בת חודשיים ואחד נוסף לתקופה בת שבועיים. כמו כן, הסיע הנאשם את השוהים הבלתי חוקיים בכל יום מהמחסום למקום העבודה בחריש</w:t>
      </w:r>
      <w:r>
        <w:rPr>
          <w:rFonts w:ascii="David" w:hAnsi="David" w:hint="cs"/>
          <w:rtl/>
        </w:rPr>
        <w:t>.</w:t>
      </w:r>
      <w:r w:rsidRPr="00A46FCB">
        <w:rPr>
          <w:rFonts w:ascii="David" w:hAnsi="David"/>
          <w:rtl/>
        </w:rPr>
        <w:t xml:space="preserve"> </w:t>
      </w:r>
      <w:r w:rsidRPr="00A46FCB">
        <w:rPr>
          <w:rFonts w:ascii="David" w:hAnsi="David" w:hint="cs"/>
          <w:rtl/>
        </w:rPr>
        <w:t xml:space="preserve"> </w:t>
      </w:r>
    </w:p>
    <w:p w14:paraId="44376E71" w14:textId="77777777" w:rsidR="009D40E9" w:rsidRDefault="009D40E9" w:rsidP="009D40E9">
      <w:pPr>
        <w:spacing w:line="360" w:lineRule="auto"/>
        <w:jc w:val="both"/>
        <w:rPr>
          <w:rFonts w:ascii="David" w:hAnsi="David"/>
          <w:rtl/>
        </w:rPr>
      </w:pPr>
    </w:p>
    <w:p w14:paraId="1D94ABB6" w14:textId="77777777" w:rsidR="009D40E9" w:rsidRDefault="009D40E9" w:rsidP="009D40E9">
      <w:pPr>
        <w:spacing w:line="360" w:lineRule="auto"/>
        <w:ind w:left="720"/>
        <w:jc w:val="both"/>
        <w:rPr>
          <w:rFonts w:ascii="David" w:hAnsi="David"/>
          <w:rtl/>
        </w:rPr>
      </w:pPr>
      <w:r>
        <w:rPr>
          <w:rFonts w:ascii="David" w:hAnsi="David" w:hint="cs"/>
          <w:rtl/>
        </w:rPr>
        <w:t>(-)</w:t>
      </w:r>
      <w:r>
        <w:rPr>
          <w:rFonts w:ascii="David" w:hAnsi="David"/>
          <w:rtl/>
        </w:rPr>
        <w:tab/>
      </w:r>
      <w:hyperlink r:id="rId45" w:history="1">
        <w:r w:rsidR="003D6785" w:rsidRPr="003D6785">
          <w:rPr>
            <w:rFonts w:ascii="David" w:hAnsi="David"/>
            <w:color w:val="0000FF"/>
            <w:u w:val="single"/>
            <w:rtl/>
          </w:rPr>
          <w:t>עפ"ג 64502-06-24</w:t>
        </w:r>
      </w:hyperlink>
      <w:r w:rsidRPr="00E13215">
        <w:rPr>
          <w:rFonts w:ascii="David" w:hAnsi="David"/>
          <w:rtl/>
        </w:rPr>
        <w:t xml:space="preserve"> </w:t>
      </w:r>
      <w:r w:rsidRPr="00E13215">
        <w:rPr>
          <w:rFonts w:ascii="David" w:hAnsi="David"/>
          <w:b/>
          <w:bCs/>
          <w:rtl/>
        </w:rPr>
        <w:t>סלאמה נ' מדינת ישראל</w:t>
      </w:r>
      <w:r w:rsidRPr="00E13215">
        <w:rPr>
          <w:rFonts w:ascii="David" w:hAnsi="David" w:hint="cs"/>
          <w:rtl/>
        </w:rPr>
        <w:t xml:space="preserve"> </w:t>
      </w:r>
      <w:r w:rsidR="007E2005">
        <w:rPr>
          <w:rFonts w:ascii="David" w:hAnsi="David"/>
          <w:rtl/>
        </w:rPr>
        <w:t>[נבו]</w:t>
      </w:r>
      <w:r w:rsidR="007E2005">
        <w:rPr>
          <w:rFonts w:ascii="David" w:hAnsi="David" w:hint="cs"/>
          <w:rtl/>
        </w:rPr>
        <w:t xml:space="preserve"> </w:t>
      </w:r>
      <w:r w:rsidRPr="00E13215">
        <w:rPr>
          <w:rFonts w:ascii="David" w:hAnsi="David" w:hint="cs"/>
          <w:rtl/>
        </w:rPr>
        <w:t xml:space="preserve">(15.7.2024), בו נדחה ערעורו של נאשם ללא עבר פלילי שהעסיק שוהה זר במשך כשלושה חודשים במאפיה שבבעלותו ונידון לעשרה חודשי מאסר בפועל. יצוין כי רובה המכריע של תקופת ההעסקה הייתה טרם כניסת התיקון לתוקף (למעט יומיים שלגביהם התיקון חל). בית המשפט המחוזי דחה כאמור את הערעור וציין כי </w:t>
      </w:r>
      <w:r w:rsidRPr="00E13215">
        <w:rPr>
          <w:rFonts w:ascii="Miriam" w:hAnsi="Miriam" w:cs="Miriam"/>
          <w:rtl/>
        </w:rPr>
        <w:t xml:space="preserve">"לא מן הנמנע כי הענישה במקרים הבאים, קלים, ומאליו יוצא שגם חמורים יותר מענייננו, </w:t>
      </w:r>
      <w:r w:rsidRPr="00E13215">
        <w:rPr>
          <w:rFonts w:ascii="Miriam" w:hAnsi="Miriam" w:cs="Miriam"/>
          <w:u w:val="single"/>
          <w:rtl/>
        </w:rPr>
        <w:t>תלך ותהיה מחמירה וקשה יותר</w:t>
      </w:r>
      <w:r w:rsidRPr="00E13215">
        <w:rPr>
          <w:rFonts w:ascii="Miriam" w:hAnsi="Miriam" w:cs="Miriam" w:hint="cs"/>
          <w:rtl/>
        </w:rPr>
        <w:t xml:space="preserve">. </w:t>
      </w:r>
      <w:r w:rsidRPr="00E13215">
        <w:rPr>
          <w:rFonts w:ascii="Miriam" w:hAnsi="Miriam" w:cs="Miriam"/>
          <w:rtl/>
        </w:rPr>
        <w:t>משכך, גזר דינו של בית המשפט קמא במקרה דנן יהווה רק בסיס לענישה עתידית ולא בהכרח אמת מידה שיש להשתוות אליה</w:t>
      </w:r>
      <w:r w:rsidRPr="00E13215">
        <w:rPr>
          <w:rFonts w:ascii="Miriam" w:hAnsi="Miriam" w:cs="Miriam"/>
        </w:rPr>
        <w:t>.</w:t>
      </w:r>
      <w:r w:rsidRPr="00E13215">
        <w:rPr>
          <w:rFonts w:ascii="Miriam" w:hAnsi="Miriam" w:cs="Miriam"/>
          <w:rtl/>
        </w:rPr>
        <w:t>"</w:t>
      </w:r>
      <w:r w:rsidRPr="00E13215">
        <w:rPr>
          <w:rFonts w:ascii="David" w:hAnsi="David" w:hint="cs"/>
          <w:rtl/>
        </w:rPr>
        <w:t xml:space="preserve"> (ההדגשה במקור- י"ט)</w:t>
      </w:r>
      <w:r>
        <w:rPr>
          <w:rFonts w:ascii="David" w:hAnsi="David" w:hint="cs"/>
          <w:rtl/>
        </w:rPr>
        <w:t>.</w:t>
      </w:r>
    </w:p>
    <w:p w14:paraId="6B8C31FE" w14:textId="77777777" w:rsidR="009D40E9" w:rsidRDefault="009D40E9" w:rsidP="009D40E9">
      <w:pPr>
        <w:spacing w:line="360" w:lineRule="auto"/>
        <w:ind w:left="720"/>
        <w:jc w:val="both"/>
        <w:rPr>
          <w:rFonts w:ascii="David" w:hAnsi="David"/>
          <w:rtl/>
        </w:rPr>
      </w:pPr>
    </w:p>
    <w:p w14:paraId="7C66C50C" w14:textId="77777777" w:rsidR="009D40E9" w:rsidRDefault="009D40E9" w:rsidP="009D40E9">
      <w:pPr>
        <w:spacing w:line="360" w:lineRule="auto"/>
        <w:ind w:left="720"/>
        <w:jc w:val="both"/>
        <w:rPr>
          <w:rFonts w:ascii="David" w:hAnsi="David"/>
          <w:rtl/>
        </w:rPr>
      </w:pPr>
      <w:r>
        <w:rPr>
          <w:rFonts w:ascii="David" w:hAnsi="David" w:hint="cs"/>
          <w:rtl/>
        </w:rPr>
        <w:t>(-)</w:t>
      </w:r>
      <w:r>
        <w:rPr>
          <w:rFonts w:ascii="David" w:hAnsi="David"/>
          <w:rtl/>
        </w:rPr>
        <w:tab/>
      </w:r>
      <w:r w:rsidRPr="00E13215">
        <w:rPr>
          <w:rFonts w:ascii="David" w:hAnsi="David" w:hint="cs"/>
          <w:rtl/>
        </w:rPr>
        <w:t xml:space="preserve"> </w:t>
      </w:r>
      <w:hyperlink r:id="rId46" w:history="1">
        <w:r w:rsidR="003D6785" w:rsidRPr="003D6785">
          <w:rPr>
            <w:rFonts w:ascii="David" w:hAnsi="David"/>
            <w:color w:val="0000FF"/>
            <w:u w:val="single"/>
            <w:rtl/>
          </w:rPr>
          <w:t>עפ"ג 50481-03-24</w:t>
        </w:r>
      </w:hyperlink>
      <w:r w:rsidRPr="00E13215">
        <w:rPr>
          <w:rFonts w:ascii="David" w:hAnsi="David"/>
          <w:rtl/>
        </w:rPr>
        <w:t xml:space="preserve"> </w:t>
      </w:r>
      <w:r w:rsidRPr="00E13215">
        <w:rPr>
          <w:rFonts w:ascii="David" w:hAnsi="David"/>
          <w:b/>
          <w:bCs/>
          <w:rtl/>
        </w:rPr>
        <w:t xml:space="preserve">ברדא נ' מדינת ישראל </w:t>
      </w:r>
      <w:r w:rsidR="007E2005">
        <w:rPr>
          <w:rFonts w:ascii="David" w:hAnsi="David"/>
          <w:b/>
          <w:bCs/>
          <w:rtl/>
        </w:rPr>
        <w:t>[נבו]</w:t>
      </w:r>
      <w:r w:rsidR="007E2005">
        <w:rPr>
          <w:rFonts w:ascii="David" w:hAnsi="David" w:hint="cs"/>
          <w:b/>
          <w:bCs/>
          <w:rtl/>
        </w:rPr>
        <w:t xml:space="preserve"> </w:t>
      </w:r>
      <w:r w:rsidRPr="00E13215">
        <w:rPr>
          <w:rFonts w:ascii="David" w:hAnsi="David"/>
          <w:b/>
          <w:bCs/>
          <w:rtl/>
        </w:rPr>
        <w:t>(</w:t>
      </w:r>
      <w:r w:rsidRPr="00E13215">
        <w:rPr>
          <w:rFonts w:ascii="David" w:hAnsi="David"/>
          <w:rtl/>
        </w:rPr>
        <w:t>2.4.2024), בו הורשע נאשם בעבירת העסקת שב"ח (בשנת 2020) ונידון ל-45 ימי מאסר לריצוי בעבודות שירות ועונשים נלווים. יצוין כי בהתאם לעובדות כתב האישום מדובר היה בהעסקה "רגעית" שכן כתב האישום לא פירט את תקופת העסקה זולת השעה והיום בו נמצא הנאשם מעסיק את העובד</w:t>
      </w:r>
      <w:r>
        <w:rPr>
          <w:rFonts w:ascii="David" w:hAnsi="David" w:hint="cs"/>
          <w:rtl/>
        </w:rPr>
        <w:t>.</w:t>
      </w:r>
      <w:r w:rsidRPr="00E13215">
        <w:rPr>
          <w:rFonts w:ascii="David" w:hAnsi="David" w:hint="cs"/>
          <w:rtl/>
        </w:rPr>
        <w:t xml:space="preserve"> </w:t>
      </w:r>
    </w:p>
    <w:p w14:paraId="0DA24D3B" w14:textId="77777777" w:rsidR="009D40E9" w:rsidRDefault="009D40E9" w:rsidP="009D40E9">
      <w:pPr>
        <w:spacing w:line="360" w:lineRule="auto"/>
        <w:ind w:left="720"/>
        <w:jc w:val="both"/>
        <w:rPr>
          <w:rFonts w:ascii="David" w:hAnsi="David"/>
          <w:rtl/>
        </w:rPr>
      </w:pPr>
    </w:p>
    <w:p w14:paraId="26798B41" w14:textId="77777777" w:rsidR="009D40E9" w:rsidRDefault="009D40E9" w:rsidP="009D40E9">
      <w:pPr>
        <w:spacing w:line="360" w:lineRule="auto"/>
        <w:ind w:left="720"/>
        <w:jc w:val="both"/>
        <w:rPr>
          <w:rFonts w:ascii="David" w:hAnsi="David"/>
          <w:rtl/>
        </w:rPr>
      </w:pPr>
      <w:r>
        <w:rPr>
          <w:rFonts w:ascii="David" w:hAnsi="David" w:hint="cs"/>
          <w:rtl/>
        </w:rPr>
        <w:t>(-)</w:t>
      </w:r>
      <w:r>
        <w:rPr>
          <w:rFonts w:ascii="David" w:hAnsi="David"/>
          <w:rtl/>
        </w:rPr>
        <w:tab/>
      </w:r>
      <w:hyperlink r:id="rId47" w:history="1">
        <w:r w:rsidR="003D6785" w:rsidRPr="003D6785">
          <w:rPr>
            <w:rFonts w:ascii="David" w:hAnsi="David"/>
            <w:color w:val="0000FF"/>
            <w:u w:val="single"/>
            <w:rtl/>
          </w:rPr>
          <w:t>ת"פ 17349-01-24</w:t>
        </w:r>
      </w:hyperlink>
      <w:r w:rsidRPr="00E13215">
        <w:rPr>
          <w:rFonts w:ascii="David" w:hAnsi="David"/>
          <w:rtl/>
        </w:rPr>
        <w:t xml:space="preserve"> </w:t>
      </w:r>
      <w:r w:rsidRPr="00E13215">
        <w:rPr>
          <w:rFonts w:ascii="David" w:hAnsi="David"/>
          <w:b/>
          <w:bCs/>
          <w:rtl/>
        </w:rPr>
        <w:t>מדינת ישראל נ' רביע מרזוק</w:t>
      </w:r>
      <w:r w:rsidRPr="00E13215">
        <w:rPr>
          <w:rFonts w:ascii="David" w:hAnsi="David"/>
          <w:rtl/>
        </w:rPr>
        <w:t xml:space="preserve"> (26.2.2024), בו נידון עניינו של נאשם שהורשע בעבירת הלנת שישה שוהים בלתי חוקיים לפרקי זמן שבין חמישה ימים ועד שלושה שבועות וזאת כחודשיים לאחר פרוץ מלחמת חרבות ברזל. על הנאשם נגזרו 7.5 חודשי מאסר בפועל ועונשים נלווים, תוך שנקבע מתחם ענישה הנע בין 7-14 חודשי מאסר</w:t>
      </w:r>
      <w:r>
        <w:rPr>
          <w:rFonts w:ascii="David" w:hAnsi="David" w:hint="cs"/>
          <w:rtl/>
        </w:rPr>
        <w:t>.</w:t>
      </w:r>
      <w:r w:rsidRPr="00E13215">
        <w:rPr>
          <w:rFonts w:ascii="David" w:hAnsi="David" w:hint="cs"/>
          <w:rtl/>
        </w:rPr>
        <w:t xml:space="preserve"> </w:t>
      </w:r>
    </w:p>
    <w:p w14:paraId="1FE006A5" w14:textId="77777777" w:rsidR="009D40E9" w:rsidRDefault="009D40E9" w:rsidP="009D40E9">
      <w:pPr>
        <w:spacing w:line="360" w:lineRule="auto"/>
        <w:ind w:left="720"/>
        <w:jc w:val="both"/>
        <w:rPr>
          <w:rFonts w:ascii="David" w:hAnsi="David"/>
          <w:rtl/>
        </w:rPr>
      </w:pPr>
    </w:p>
    <w:p w14:paraId="706BAD19" w14:textId="77777777" w:rsidR="009D40E9" w:rsidRDefault="009D40E9" w:rsidP="009D40E9">
      <w:pPr>
        <w:spacing w:line="360" w:lineRule="auto"/>
        <w:ind w:left="720"/>
        <w:jc w:val="both"/>
        <w:rPr>
          <w:rFonts w:ascii="David" w:hAnsi="David"/>
          <w:rtl/>
        </w:rPr>
      </w:pPr>
      <w:r>
        <w:rPr>
          <w:rFonts w:ascii="David" w:hAnsi="David" w:hint="cs"/>
          <w:rtl/>
        </w:rPr>
        <w:t>(-)</w:t>
      </w:r>
      <w:r>
        <w:rPr>
          <w:rFonts w:ascii="David" w:hAnsi="David"/>
          <w:rtl/>
        </w:rPr>
        <w:tab/>
      </w:r>
      <w:hyperlink r:id="rId48" w:history="1">
        <w:r w:rsidR="003D6785" w:rsidRPr="003D6785">
          <w:rPr>
            <w:rFonts w:ascii="David" w:hAnsi="David"/>
            <w:color w:val="0000FF"/>
            <w:u w:val="single"/>
            <w:rtl/>
          </w:rPr>
          <w:t>ת"פ 63305-01-23</w:t>
        </w:r>
      </w:hyperlink>
      <w:r w:rsidRPr="00E13215">
        <w:rPr>
          <w:rFonts w:ascii="David" w:hAnsi="David"/>
          <w:rtl/>
        </w:rPr>
        <w:t xml:space="preserve"> </w:t>
      </w:r>
      <w:r w:rsidRPr="00E13215">
        <w:rPr>
          <w:rFonts w:ascii="David" w:hAnsi="David"/>
          <w:b/>
          <w:bCs/>
          <w:rtl/>
        </w:rPr>
        <w:t xml:space="preserve">מדינת ישראל נ' עלי אלעטאוונה </w:t>
      </w:r>
      <w:r w:rsidR="007E2005">
        <w:rPr>
          <w:rFonts w:ascii="David" w:hAnsi="David"/>
          <w:b/>
          <w:bCs/>
          <w:rtl/>
        </w:rPr>
        <w:t>[נבו]</w:t>
      </w:r>
      <w:r w:rsidR="007E2005">
        <w:rPr>
          <w:rFonts w:ascii="David" w:hAnsi="David" w:hint="cs"/>
          <w:b/>
          <w:bCs/>
          <w:rtl/>
        </w:rPr>
        <w:t xml:space="preserve"> </w:t>
      </w:r>
      <w:r w:rsidRPr="00E13215">
        <w:rPr>
          <w:rFonts w:ascii="David" w:hAnsi="David"/>
          <w:rtl/>
        </w:rPr>
        <w:t>(14.4.2024), בו נידון עניינו של נאשם שהורשע בהעסקת שישה שוהים בלתי חוקיים (בשנת 2022), במשך כחודשיים, ונידון לשישה חודשי מאסר לריצוי בעבודות שירות ועונשים נלווים</w:t>
      </w:r>
      <w:r>
        <w:rPr>
          <w:rFonts w:ascii="David" w:hAnsi="David" w:hint="cs"/>
          <w:rtl/>
        </w:rPr>
        <w:t>.</w:t>
      </w:r>
    </w:p>
    <w:p w14:paraId="6DDC8B05" w14:textId="77777777" w:rsidR="009D40E9" w:rsidRDefault="009D40E9" w:rsidP="009D40E9">
      <w:pPr>
        <w:spacing w:line="360" w:lineRule="auto"/>
        <w:ind w:left="720"/>
        <w:jc w:val="both"/>
        <w:rPr>
          <w:rFonts w:ascii="David" w:hAnsi="David"/>
          <w:rtl/>
        </w:rPr>
      </w:pPr>
    </w:p>
    <w:p w14:paraId="40CE313B" w14:textId="77777777" w:rsidR="009D40E9" w:rsidRDefault="009D40E9" w:rsidP="009D40E9">
      <w:pPr>
        <w:spacing w:line="360" w:lineRule="auto"/>
        <w:ind w:left="720"/>
        <w:jc w:val="both"/>
        <w:rPr>
          <w:rFonts w:ascii="David" w:hAnsi="David"/>
          <w:rtl/>
        </w:rPr>
      </w:pPr>
      <w:r>
        <w:rPr>
          <w:rFonts w:ascii="David" w:hAnsi="David" w:hint="cs"/>
          <w:rtl/>
        </w:rPr>
        <w:t>(-)</w:t>
      </w:r>
      <w:r>
        <w:rPr>
          <w:rFonts w:ascii="David" w:hAnsi="David"/>
          <w:rtl/>
        </w:rPr>
        <w:tab/>
      </w:r>
      <w:hyperlink r:id="rId49" w:history="1">
        <w:r w:rsidR="003D6785" w:rsidRPr="003D6785">
          <w:rPr>
            <w:rFonts w:ascii="David" w:hAnsi="David"/>
            <w:color w:val="0000FF"/>
            <w:u w:val="single"/>
            <w:rtl/>
          </w:rPr>
          <w:t>ת"פ 12196-06-24</w:t>
        </w:r>
      </w:hyperlink>
      <w:r w:rsidRPr="00E13215">
        <w:rPr>
          <w:rFonts w:ascii="David" w:hAnsi="David"/>
          <w:rtl/>
        </w:rPr>
        <w:t xml:space="preserve"> </w:t>
      </w:r>
      <w:r w:rsidRPr="00E13215">
        <w:rPr>
          <w:rFonts w:ascii="David" w:hAnsi="David"/>
          <w:b/>
          <w:bCs/>
          <w:rtl/>
        </w:rPr>
        <w:t>מדינת ישראל נ' גיא גרבי</w:t>
      </w:r>
      <w:r w:rsidRPr="00E13215">
        <w:rPr>
          <w:rFonts w:ascii="David" w:hAnsi="David" w:hint="cs"/>
          <w:b/>
          <w:bCs/>
          <w:rtl/>
        </w:rPr>
        <w:t xml:space="preserve"> </w:t>
      </w:r>
      <w:r w:rsidR="007E2005">
        <w:rPr>
          <w:rFonts w:ascii="David" w:hAnsi="David"/>
          <w:b/>
          <w:bCs/>
          <w:rtl/>
        </w:rPr>
        <w:t>[נבו]</w:t>
      </w:r>
      <w:r w:rsidR="007E2005">
        <w:rPr>
          <w:rFonts w:ascii="David" w:hAnsi="David" w:hint="cs"/>
          <w:b/>
          <w:bCs/>
          <w:rtl/>
        </w:rPr>
        <w:t xml:space="preserve"> </w:t>
      </w:r>
      <w:r w:rsidRPr="00E13215">
        <w:rPr>
          <w:rFonts w:ascii="David" w:hAnsi="David" w:hint="cs"/>
          <w:rtl/>
        </w:rPr>
        <w:t>(29.10.2024), בו נידון עניינו של נאשם שהעסיק שני שוהים בלתי חוקיים במשך כחודש וחצי בתקופת מלחמת חר</w:t>
      </w:r>
      <w:r>
        <w:rPr>
          <w:rFonts w:ascii="David" w:hAnsi="David" w:hint="cs"/>
          <w:rtl/>
        </w:rPr>
        <w:t>ב</w:t>
      </w:r>
      <w:r w:rsidRPr="00E13215">
        <w:rPr>
          <w:rFonts w:ascii="David" w:hAnsi="David" w:hint="cs"/>
          <w:rtl/>
        </w:rPr>
        <w:t>ות ברזל. נקבע מתחם ענישה הנע בין 9-24 חודשי מאסר בפועל ועל הנאשם הוטלו תשעה חודשי מאסר לריצוי בעבודות שירות</w:t>
      </w:r>
      <w:r>
        <w:rPr>
          <w:rFonts w:ascii="David" w:hAnsi="David" w:hint="cs"/>
          <w:rtl/>
        </w:rPr>
        <w:t>.</w:t>
      </w:r>
    </w:p>
    <w:p w14:paraId="41438C5C" w14:textId="77777777" w:rsidR="009D40E9" w:rsidRDefault="009D40E9" w:rsidP="009D40E9">
      <w:pPr>
        <w:spacing w:line="360" w:lineRule="auto"/>
        <w:ind w:left="720"/>
        <w:jc w:val="both"/>
        <w:rPr>
          <w:rFonts w:ascii="David" w:hAnsi="David"/>
          <w:rtl/>
        </w:rPr>
      </w:pPr>
    </w:p>
    <w:p w14:paraId="576C7CCA" w14:textId="77777777" w:rsidR="009D40E9" w:rsidRDefault="009D40E9" w:rsidP="009D40E9">
      <w:pPr>
        <w:spacing w:line="360" w:lineRule="auto"/>
        <w:ind w:left="720"/>
        <w:jc w:val="both"/>
        <w:rPr>
          <w:rFonts w:ascii="David" w:hAnsi="David"/>
          <w:rtl/>
        </w:rPr>
      </w:pPr>
      <w:r>
        <w:rPr>
          <w:rFonts w:ascii="David" w:hAnsi="David" w:hint="cs"/>
          <w:rtl/>
        </w:rPr>
        <w:t>(-)</w:t>
      </w:r>
      <w:r>
        <w:rPr>
          <w:rFonts w:ascii="David" w:hAnsi="David"/>
          <w:rtl/>
        </w:rPr>
        <w:tab/>
      </w:r>
      <w:hyperlink r:id="rId50" w:history="1">
        <w:r w:rsidR="003D6785" w:rsidRPr="003D6785">
          <w:rPr>
            <w:rFonts w:ascii="David" w:hAnsi="David"/>
            <w:color w:val="0000FF"/>
            <w:u w:val="single"/>
            <w:rtl/>
          </w:rPr>
          <w:t>ת"פ 21773-11-23</w:t>
        </w:r>
      </w:hyperlink>
      <w:r w:rsidRPr="00E13215">
        <w:rPr>
          <w:rFonts w:ascii="David" w:hAnsi="David"/>
          <w:rtl/>
        </w:rPr>
        <w:t xml:space="preserve"> </w:t>
      </w:r>
      <w:r w:rsidRPr="00E13215">
        <w:rPr>
          <w:rFonts w:ascii="David" w:hAnsi="David"/>
          <w:b/>
          <w:bCs/>
          <w:rtl/>
        </w:rPr>
        <w:t>מדינת ישראל נ' כבהא</w:t>
      </w:r>
      <w:r w:rsidRPr="00E13215">
        <w:rPr>
          <w:rFonts w:ascii="David" w:hAnsi="David"/>
          <w:rtl/>
        </w:rPr>
        <w:t xml:space="preserve"> </w:t>
      </w:r>
      <w:r w:rsidR="007E2005">
        <w:rPr>
          <w:rFonts w:ascii="David" w:hAnsi="David"/>
          <w:rtl/>
        </w:rPr>
        <w:t>[נבו]</w:t>
      </w:r>
      <w:r w:rsidR="007E2005">
        <w:rPr>
          <w:rFonts w:ascii="David" w:hAnsi="David" w:hint="cs"/>
          <w:rtl/>
        </w:rPr>
        <w:t xml:space="preserve"> </w:t>
      </w:r>
      <w:r w:rsidRPr="00E13215">
        <w:rPr>
          <w:rFonts w:ascii="David" w:hAnsi="David"/>
          <w:rtl/>
        </w:rPr>
        <w:t>(26.</w:t>
      </w:r>
      <w:r w:rsidRPr="00E13215">
        <w:rPr>
          <w:rFonts w:ascii="David" w:hAnsi="David" w:hint="cs"/>
          <w:rtl/>
        </w:rPr>
        <w:t>5</w:t>
      </w:r>
      <w:r w:rsidRPr="00E13215">
        <w:rPr>
          <w:rFonts w:ascii="David" w:hAnsi="David"/>
          <w:rtl/>
        </w:rPr>
        <w:t>.</w:t>
      </w:r>
      <w:r w:rsidRPr="00E13215">
        <w:rPr>
          <w:rFonts w:ascii="David" w:hAnsi="David" w:hint="cs"/>
          <w:rtl/>
        </w:rPr>
        <w:t>2024</w:t>
      </w:r>
      <w:r w:rsidRPr="00E13215">
        <w:rPr>
          <w:rFonts w:ascii="David" w:hAnsi="David"/>
          <w:rtl/>
        </w:rPr>
        <w:t>)</w:t>
      </w:r>
      <w:r w:rsidRPr="00E13215">
        <w:rPr>
          <w:rFonts w:ascii="David" w:hAnsi="David" w:hint="cs"/>
          <w:rtl/>
        </w:rPr>
        <w:t xml:space="preserve">, בו </w:t>
      </w:r>
      <w:r w:rsidRPr="00E13215">
        <w:rPr>
          <w:rFonts w:ascii="David" w:hAnsi="David"/>
          <w:rtl/>
        </w:rPr>
        <w:t xml:space="preserve">העסיק הנאשם </w:t>
      </w:r>
      <w:r w:rsidRPr="00E13215">
        <w:rPr>
          <w:rFonts w:ascii="David" w:hAnsi="David" w:hint="cs"/>
          <w:rtl/>
        </w:rPr>
        <w:t>חמישה</w:t>
      </w:r>
      <w:r w:rsidRPr="00E13215">
        <w:rPr>
          <w:rFonts w:ascii="David" w:hAnsi="David"/>
          <w:rtl/>
        </w:rPr>
        <w:t xml:space="preserve"> שוהים בלתי חוקיים במסעדה שבבעלותו למשך תקופות שונות שבין 4 חודשים לבין שנה לפני ואחרי פרוץ </w:t>
      </w:r>
      <w:r w:rsidRPr="00E13215">
        <w:rPr>
          <w:rFonts w:ascii="David" w:hAnsi="David" w:hint="cs"/>
          <w:rtl/>
        </w:rPr>
        <w:t xml:space="preserve">המלחמה. </w:t>
      </w:r>
      <w:r w:rsidRPr="00E13215">
        <w:rPr>
          <w:rFonts w:ascii="David" w:hAnsi="David"/>
          <w:rtl/>
        </w:rPr>
        <w:t xml:space="preserve">נקבע מתחם ענישה הנע בין מספר חודשי מאסר לריצוי בעבודות שירות </w:t>
      </w:r>
      <w:r w:rsidRPr="00E13215">
        <w:rPr>
          <w:rFonts w:ascii="David" w:hAnsi="David" w:hint="cs"/>
          <w:rtl/>
        </w:rPr>
        <w:t>לבין</w:t>
      </w:r>
      <w:r w:rsidRPr="00E13215">
        <w:rPr>
          <w:rFonts w:ascii="David" w:hAnsi="David"/>
          <w:rtl/>
        </w:rPr>
        <w:t xml:space="preserve"> ל-15 חודשי מאסר </w:t>
      </w:r>
      <w:r w:rsidRPr="00E13215">
        <w:rPr>
          <w:rFonts w:ascii="David" w:hAnsi="David" w:hint="cs"/>
          <w:rtl/>
        </w:rPr>
        <w:t>בפועל ועל הנאשם הוטלו תשעה</w:t>
      </w:r>
      <w:r w:rsidRPr="00E13215">
        <w:rPr>
          <w:rFonts w:ascii="David" w:hAnsi="David"/>
          <w:rtl/>
        </w:rPr>
        <w:t xml:space="preserve"> חודשי מאסר לריצוי בעבודות שירות</w:t>
      </w:r>
      <w:r>
        <w:rPr>
          <w:rFonts w:ascii="David" w:hAnsi="David" w:hint="cs"/>
          <w:rtl/>
        </w:rPr>
        <w:t>.</w:t>
      </w:r>
    </w:p>
    <w:p w14:paraId="77FC2347" w14:textId="77777777" w:rsidR="009D40E9" w:rsidRDefault="009D40E9" w:rsidP="009D40E9">
      <w:pPr>
        <w:ind w:left="720"/>
        <w:jc w:val="both"/>
        <w:rPr>
          <w:rFonts w:ascii="David" w:hAnsi="David"/>
          <w:rtl/>
        </w:rPr>
      </w:pPr>
    </w:p>
    <w:p w14:paraId="1EE24917" w14:textId="77777777" w:rsidR="009D40E9" w:rsidRPr="00E13215" w:rsidRDefault="009D40E9" w:rsidP="009D40E9">
      <w:pPr>
        <w:spacing w:line="360" w:lineRule="auto"/>
        <w:ind w:left="720"/>
        <w:jc w:val="both"/>
        <w:rPr>
          <w:rFonts w:ascii="David" w:hAnsi="David"/>
          <w:rtl/>
        </w:rPr>
      </w:pPr>
      <w:r>
        <w:rPr>
          <w:rFonts w:ascii="David" w:hAnsi="David" w:hint="cs"/>
          <w:rtl/>
        </w:rPr>
        <w:t>(-)</w:t>
      </w:r>
      <w:r>
        <w:rPr>
          <w:rFonts w:ascii="David" w:hAnsi="David"/>
          <w:rtl/>
        </w:rPr>
        <w:tab/>
      </w:r>
      <w:hyperlink r:id="rId51" w:history="1">
        <w:r w:rsidR="003D6785" w:rsidRPr="003D6785">
          <w:rPr>
            <w:rFonts w:ascii="David" w:hAnsi="David"/>
            <w:color w:val="0000FF"/>
            <w:u w:val="single"/>
            <w:rtl/>
          </w:rPr>
          <w:t>ת"פ 55734-10-23</w:t>
        </w:r>
      </w:hyperlink>
      <w:r w:rsidRPr="00E13215">
        <w:rPr>
          <w:rFonts w:ascii="David" w:hAnsi="David"/>
          <w:rtl/>
        </w:rPr>
        <w:t xml:space="preserve"> </w:t>
      </w:r>
      <w:r w:rsidRPr="00E13215">
        <w:rPr>
          <w:rFonts w:ascii="David" w:hAnsi="David"/>
          <w:b/>
          <w:bCs/>
          <w:rtl/>
        </w:rPr>
        <w:t>מדינת ישראל נ' אלעטאונה</w:t>
      </w:r>
      <w:r w:rsidRPr="00E13215">
        <w:rPr>
          <w:rFonts w:ascii="David" w:hAnsi="David" w:hint="cs"/>
          <w:rtl/>
        </w:rPr>
        <w:t xml:space="preserve"> </w:t>
      </w:r>
      <w:r w:rsidR="007E2005">
        <w:rPr>
          <w:rFonts w:ascii="David" w:hAnsi="David"/>
          <w:rtl/>
        </w:rPr>
        <w:t>[נבו]</w:t>
      </w:r>
      <w:r w:rsidR="007E2005">
        <w:rPr>
          <w:rFonts w:ascii="David" w:hAnsi="David" w:hint="cs"/>
          <w:rtl/>
        </w:rPr>
        <w:t xml:space="preserve"> </w:t>
      </w:r>
      <w:r w:rsidRPr="00E13215">
        <w:rPr>
          <w:rFonts w:ascii="David" w:hAnsi="David" w:hint="cs"/>
          <w:rtl/>
        </w:rPr>
        <w:t xml:space="preserve">(27.10.2024), בו הורשע נאשם בעבירות העסקת והסעת שב"ח ונידון לשמונה חודשי מאסר לריצוי בעבודות שירות. הנאשם העסיק והלין בעסק שבבעלותו שוהה בלתי חוקי במשך כשבועיים, בימים הראשונים שלאחר 7.10.23. במועד אחד הסיע שב"ח. בית המשפט קבע מתחם ענישה הנע בין 6-14 חודשי מאסר. </w:t>
      </w:r>
    </w:p>
    <w:p w14:paraId="6A1AB937" w14:textId="77777777" w:rsidR="009D40E9" w:rsidRDefault="009D40E9" w:rsidP="009D40E9">
      <w:pPr>
        <w:jc w:val="both"/>
        <w:rPr>
          <w:rFonts w:ascii="David" w:hAnsi="David"/>
          <w:rtl/>
        </w:rPr>
      </w:pPr>
    </w:p>
    <w:p w14:paraId="1E406639" w14:textId="77777777" w:rsidR="009D40E9" w:rsidRDefault="009D40E9" w:rsidP="009D40E9">
      <w:pPr>
        <w:pStyle w:val="ListParagraph"/>
        <w:numPr>
          <w:ilvl w:val="0"/>
          <w:numId w:val="1"/>
        </w:numPr>
        <w:spacing w:line="360" w:lineRule="auto"/>
        <w:jc w:val="both"/>
        <w:rPr>
          <w:rFonts w:ascii="David" w:hAnsi="David"/>
        </w:rPr>
      </w:pPr>
      <w:r w:rsidRPr="00A46FCB">
        <w:rPr>
          <w:rFonts w:ascii="David" w:hAnsi="David"/>
          <w:rtl/>
        </w:rPr>
        <w:t>ל</w:t>
      </w:r>
      <w:r>
        <w:rPr>
          <w:rFonts w:ascii="David" w:hAnsi="David" w:hint="cs"/>
          <w:rtl/>
        </w:rPr>
        <w:t xml:space="preserve">אור כל זאת סבור </w:t>
      </w:r>
      <w:r w:rsidRPr="00A46FCB">
        <w:rPr>
          <w:rFonts w:ascii="David" w:hAnsi="David"/>
          <w:rtl/>
        </w:rPr>
        <w:t xml:space="preserve">אני שמתחם הענישה ההולם עבירות אלו בנסיבות ביצוען נע בין </w:t>
      </w:r>
      <w:r w:rsidRPr="00A46FCB">
        <w:rPr>
          <w:rFonts w:ascii="David" w:hAnsi="David" w:hint="cs"/>
          <w:rtl/>
        </w:rPr>
        <w:t>12</w:t>
      </w:r>
      <w:r w:rsidRPr="00A46FCB">
        <w:rPr>
          <w:rFonts w:ascii="David" w:hAnsi="David"/>
          <w:rtl/>
        </w:rPr>
        <w:t>-</w:t>
      </w:r>
      <w:r>
        <w:rPr>
          <w:rFonts w:ascii="David" w:hAnsi="David" w:hint="cs"/>
          <w:rtl/>
        </w:rPr>
        <w:t>24</w:t>
      </w:r>
      <w:r w:rsidRPr="00A46FCB">
        <w:rPr>
          <w:rFonts w:ascii="David" w:hAnsi="David"/>
          <w:rtl/>
        </w:rPr>
        <w:t xml:space="preserve"> חודשי מאסר בפועל</w:t>
      </w:r>
      <w:r w:rsidRPr="00A46FCB">
        <w:rPr>
          <w:rFonts w:ascii="David" w:hAnsi="David" w:hint="cs"/>
          <w:rtl/>
        </w:rPr>
        <w:t xml:space="preserve"> וענישה נלווית</w:t>
      </w:r>
      <w:r>
        <w:rPr>
          <w:rFonts w:ascii="David" w:hAnsi="David" w:hint="cs"/>
          <w:rtl/>
        </w:rPr>
        <w:t xml:space="preserve"> הכוללת מאסר מותנה שגבולו התחתון 9 חודשים (כך שיחדיו העונש המזערי הוא 21 חודשי מאסר)</w:t>
      </w:r>
      <w:r w:rsidRPr="00A46FCB">
        <w:rPr>
          <w:rFonts w:ascii="David" w:hAnsi="David" w:hint="cs"/>
          <w:rtl/>
        </w:rPr>
        <w:t xml:space="preserve">.  </w:t>
      </w:r>
    </w:p>
    <w:p w14:paraId="279E5A1F" w14:textId="77777777" w:rsidR="009D40E9" w:rsidRPr="009A455A" w:rsidRDefault="009D40E9" w:rsidP="009D40E9">
      <w:pPr>
        <w:pStyle w:val="ListParagraph"/>
        <w:rPr>
          <w:rFonts w:ascii="David" w:hAnsi="David"/>
          <w:rtl/>
        </w:rPr>
      </w:pPr>
    </w:p>
    <w:p w14:paraId="00F420B2" w14:textId="77777777" w:rsidR="009D40E9" w:rsidRPr="009A455A" w:rsidRDefault="009D40E9" w:rsidP="009D40E9">
      <w:pPr>
        <w:pStyle w:val="ListParagraph"/>
        <w:numPr>
          <w:ilvl w:val="0"/>
          <w:numId w:val="1"/>
        </w:numPr>
        <w:spacing w:line="360" w:lineRule="auto"/>
        <w:jc w:val="both"/>
        <w:rPr>
          <w:rFonts w:ascii="David" w:hAnsi="David"/>
          <w:rtl/>
        </w:rPr>
      </w:pPr>
      <w:r>
        <w:rPr>
          <w:rFonts w:ascii="David" w:hAnsi="David" w:hint="cs"/>
          <w:rtl/>
        </w:rPr>
        <w:t>ברור לי שמדובר במתחם מחמיר העלול להביא למצב בו יוטלו עונשי מאסר בכליאה גם על אנשים שחטאו לראשונה (שכן מדובר בעבירה שלרוב אין לשקול בעניינה שיקולי שיקום שיביאו לחריגה לקולה)</w:t>
      </w:r>
      <w:r>
        <w:rPr>
          <w:rFonts w:ascii="David" w:hAnsi="David" w:hint="cs"/>
        </w:rPr>
        <w:t xml:space="preserve"> </w:t>
      </w:r>
      <w:r>
        <w:rPr>
          <w:rFonts w:ascii="David" w:hAnsi="David" w:hint="cs"/>
          <w:rtl/>
        </w:rPr>
        <w:t>ואולם מדובר בהחמרה מתונה יחסית וכאשר הציבור אמור היה כבר להפנים היטב את השינוי בענישה בעבירות אלו, שהוא צו השעה וצו המחוקק. מתחם הענישה מבטא אפוא את הפגיעה הקשה בערכים המוגנים בעת הזו; את צוק העיתים; את העובדה שמדובר בעבירה שעונשה כיום 7 שנות מאסר; ואת עונש המינימום שנקבע בתיקון 38. בעניין השלכת העונש המרבי הקבוע בצד העבירה על מתחם הענישה ראו:</w:t>
      </w:r>
      <w:r>
        <w:rPr>
          <w:rFonts w:ascii="David" w:hAnsi="David" w:hint="cs"/>
        </w:rPr>
        <w:t xml:space="preserve"> </w:t>
      </w:r>
      <w:r w:rsidRPr="009A455A">
        <w:rPr>
          <w:rFonts w:ascii="Century" w:hAnsi="Century" w:cs="Miriam"/>
          <w:b/>
          <w:rtl/>
        </w:rPr>
        <w:t xml:space="preserve">"עיקרון ההלימה הוא עניין נורמטיבי וקביעת העונש המרבי בגין עבירה מסוימת לא רק תוחמת את סמכותו של בית משפט אלא גם מבטאת את עמדת המחוקק בדבר חומרת העבירה" </w:t>
      </w:r>
      <w:r w:rsidRPr="009A455A">
        <w:rPr>
          <w:rFonts w:ascii="David" w:hAnsi="David"/>
          <w:rtl/>
        </w:rPr>
        <w:t>(</w:t>
      </w:r>
      <w:hyperlink r:id="rId52" w:history="1">
        <w:r w:rsidR="003D6785" w:rsidRPr="003D6785">
          <w:rPr>
            <w:rFonts w:ascii="David" w:hAnsi="David"/>
            <w:color w:val="0000FF"/>
            <w:u w:val="single"/>
            <w:rtl/>
          </w:rPr>
          <w:t>ע"פ 5735/18</w:t>
        </w:r>
      </w:hyperlink>
      <w:r w:rsidRPr="009A455A">
        <w:rPr>
          <w:rFonts w:ascii="David" w:hAnsi="David"/>
          <w:rtl/>
        </w:rPr>
        <w:t xml:space="preserve"> </w:t>
      </w:r>
      <w:r w:rsidRPr="009A455A">
        <w:rPr>
          <w:rFonts w:ascii="David" w:hAnsi="David"/>
          <w:b/>
          <w:bCs/>
          <w:rtl/>
        </w:rPr>
        <w:t>גודובסקי נ' מדינת ישראל</w:t>
      </w:r>
      <w:r w:rsidRPr="009A455A">
        <w:rPr>
          <w:rFonts w:ascii="David" w:hAnsi="David"/>
          <w:rtl/>
        </w:rPr>
        <w:t xml:space="preserve">, </w:t>
      </w:r>
      <w:r>
        <w:rPr>
          <w:rFonts w:ascii="David" w:hAnsi="David" w:hint="cs"/>
          <w:rtl/>
        </w:rPr>
        <w:t xml:space="preserve">פסק דינו של </w:t>
      </w:r>
      <w:r w:rsidRPr="009A455A">
        <w:rPr>
          <w:rFonts w:ascii="David" w:hAnsi="David"/>
          <w:rtl/>
        </w:rPr>
        <w:t xml:space="preserve">השופט הנדל בפסקה 31 </w:t>
      </w:r>
      <w:r w:rsidR="007E2005">
        <w:rPr>
          <w:rFonts w:ascii="David" w:hAnsi="David"/>
          <w:rtl/>
        </w:rPr>
        <w:t>[נבו]</w:t>
      </w:r>
      <w:r w:rsidR="007E2005">
        <w:rPr>
          <w:rFonts w:ascii="David" w:hAnsi="David" w:hint="cs"/>
          <w:rtl/>
        </w:rPr>
        <w:t xml:space="preserve"> </w:t>
      </w:r>
      <w:r w:rsidRPr="009A455A">
        <w:rPr>
          <w:rFonts w:ascii="David" w:hAnsi="David"/>
          <w:rtl/>
        </w:rPr>
        <w:t>(9.12.2019)</w:t>
      </w:r>
      <w:r>
        <w:rPr>
          <w:rFonts w:ascii="David" w:hAnsi="David" w:hint="cs"/>
          <w:rtl/>
        </w:rPr>
        <w:t xml:space="preserve">; וראו לעניין השלכת החמרת העונש בגין עבירה פלונית על מתחם הענישה: </w:t>
      </w:r>
      <w:hyperlink r:id="rId53" w:history="1">
        <w:r w:rsidR="003D6785" w:rsidRPr="003D6785">
          <w:rPr>
            <w:rFonts w:ascii="David" w:hAnsi="David"/>
            <w:color w:val="0000FF"/>
            <w:u w:val="single"/>
            <w:rtl/>
          </w:rPr>
          <w:t>ע"פ 1964/20</w:t>
        </w:r>
      </w:hyperlink>
      <w:r>
        <w:rPr>
          <w:rFonts w:ascii="David" w:hAnsi="David" w:hint="cs"/>
          <w:rtl/>
        </w:rPr>
        <w:t xml:space="preserve"> </w:t>
      </w:r>
      <w:r w:rsidRPr="009A455A">
        <w:rPr>
          <w:b/>
          <w:bCs/>
          <w:rtl/>
        </w:rPr>
        <w:t>מאנאמטו יצחק אספה</w:t>
      </w:r>
      <w:r w:rsidRPr="009A455A">
        <w:rPr>
          <w:rFonts w:hint="cs"/>
          <w:b/>
          <w:bCs/>
          <w:rtl/>
        </w:rPr>
        <w:t xml:space="preserve"> נ' מדינת ישראל</w:t>
      </w:r>
      <w:r>
        <w:rPr>
          <w:rFonts w:hint="cs"/>
          <w:rtl/>
        </w:rPr>
        <w:t xml:space="preserve"> </w:t>
      </w:r>
      <w:r w:rsidR="007E2005">
        <w:rPr>
          <w:rtl/>
        </w:rPr>
        <w:t>[נבו]</w:t>
      </w:r>
      <w:r w:rsidR="007E2005">
        <w:rPr>
          <w:rFonts w:hint="cs"/>
          <w:rtl/>
        </w:rPr>
        <w:t xml:space="preserve"> </w:t>
      </w:r>
      <w:r>
        <w:rPr>
          <w:rFonts w:hint="cs"/>
          <w:rtl/>
        </w:rPr>
        <w:t>(12.8.2020), פסקה 12).</w:t>
      </w:r>
    </w:p>
    <w:p w14:paraId="30970071" w14:textId="77777777" w:rsidR="009D40E9" w:rsidRDefault="009D40E9" w:rsidP="009D40E9">
      <w:pPr>
        <w:rPr>
          <w:rFonts w:ascii="David" w:hAnsi="David"/>
          <w:b/>
          <w:bCs/>
          <w:color w:val="000000"/>
          <w:u w:val="single"/>
          <w:rtl/>
        </w:rPr>
      </w:pPr>
    </w:p>
    <w:p w14:paraId="2BF8B63C" w14:textId="77777777" w:rsidR="009D40E9" w:rsidRPr="004923A0" w:rsidRDefault="009D40E9" w:rsidP="009D40E9">
      <w:pPr>
        <w:rPr>
          <w:rFonts w:ascii="David" w:hAnsi="David"/>
          <w:rtl/>
        </w:rPr>
      </w:pPr>
      <w:r>
        <w:rPr>
          <w:rFonts w:ascii="David" w:hAnsi="David"/>
          <w:b/>
          <w:bCs/>
          <w:color w:val="000000"/>
          <w:u w:val="single"/>
          <w:rtl/>
        </w:rPr>
        <w:t>קביעת עונשו של הנאשם</w:t>
      </w:r>
    </w:p>
    <w:p w14:paraId="7F73F033" w14:textId="77777777" w:rsidR="009D40E9" w:rsidRDefault="009D40E9" w:rsidP="009D40E9">
      <w:pPr>
        <w:rPr>
          <w:rFonts w:ascii="David" w:hAnsi="David"/>
          <w:rtl/>
        </w:rPr>
      </w:pPr>
    </w:p>
    <w:p w14:paraId="1DD2D944" w14:textId="77777777" w:rsidR="009D40E9" w:rsidRDefault="009D40E9" w:rsidP="009D40E9">
      <w:pPr>
        <w:pStyle w:val="ListParagraph"/>
        <w:numPr>
          <w:ilvl w:val="0"/>
          <w:numId w:val="1"/>
        </w:numPr>
        <w:spacing w:line="360" w:lineRule="auto"/>
        <w:jc w:val="both"/>
        <w:rPr>
          <w:rFonts w:ascii="David" w:hAnsi="David"/>
        </w:rPr>
      </w:pPr>
      <w:r>
        <w:rPr>
          <w:rFonts w:ascii="David" w:hAnsi="David" w:hint="cs"/>
          <w:rtl/>
        </w:rPr>
        <w:t xml:space="preserve">לצורך קביעת עונשו של הנאשם הבאתי בחשבון את גילו, כבן 66, את מצבו הבריאותי הנטען (ושלא הוכח במסמכים), את עברו הפלילי הנקי ונסיבותיו האישיות. </w:t>
      </w:r>
      <w:r w:rsidRPr="00464F63">
        <w:rPr>
          <w:rFonts w:ascii="David" w:hAnsi="David"/>
          <w:rtl/>
        </w:rPr>
        <w:t xml:space="preserve">הבאתי </w:t>
      </w:r>
      <w:r>
        <w:rPr>
          <w:rFonts w:ascii="David" w:hAnsi="David" w:hint="cs"/>
          <w:rtl/>
        </w:rPr>
        <w:t xml:space="preserve">גם </w:t>
      </w:r>
      <w:r w:rsidRPr="00464F63">
        <w:rPr>
          <w:rFonts w:ascii="David" w:hAnsi="David"/>
          <w:rtl/>
        </w:rPr>
        <w:t>בחשבון את הודאתו בהזדמנות הראשונה אשר ביטאה קבלת אחריות וחרטה</w:t>
      </w:r>
      <w:r>
        <w:rPr>
          <w:rFonts w:ascii="David" w:hAnsi="David" w:hint="cs"/>
          <w:rtl/>
        </w:rPr>
        <w:t>, אם כי בפני קצינת המבחן מזער הנאשם ממידת אשמו ויש בכך למתן מסקנה זו</w:t>
      </w:r>
      <w:r w:rsidRPr="00464F63">
        <w:rPr>
          <w:rFonts w:ascii="David" w:hAnsi="David"/>
          <w:rtl/>
        </w:rPr>
        <w:t>.</w:t>
      </w:r>
      <w:r>
        <w:rPr>
          <w:rFonts w:ascii="David" w:hAnsi="David" w:hint="cs"/>
          <w:rtl/>
        </w:rPr>
        <w:t xml:space="preserve"> בצד דברים אלו אציין ש</w:t>
      </w:r>
      <w:r w:rsidRPr="00464F63">
        <w:rPr>
          <w:rFonts w:ascii="David" w:hAnsi="David"/>
          <w:rtl/>
        </w:rPr>
        <w:t xml:space="preserve">התרשמתי שההליך הפלילי, לרבות תקופת המעצר והשהות בתנאים מגבילים, </w:t>
      </w:r>
      <w:r>
        <w:rPr>
          <w:rFonts w:ascii="David" w:hAnsi="David" w:hint="cs"/>
          <w:rtl/>
        </w:rPr>
        <w:t>יצרו אצל הנאשם אפקט הרתעה. כל אלו הם שיקולים לכף הזכות.</w:t>
      </w:r>
    </w:p>
    <w:p w14:paraId="3CE5C3D2" w14:textId="77777777" w:rsidR="009D40E9" w:rsidRPr="0005520D" w:rsidRDefault="009D40E9" w:rsidP="009D40E9">
      <w:pPr>
        <w:pStyle w:val="ListParagraph"/>
        <w:ind w:left="0"/>
        <w:jc w:val="both"/>
        <w:rPr>
          <w:rFonts w:ascii="David" w:hAnsi="David"/>
        </w:rPr>
      </w:pPr>
    </w:p>
    <w:p w14:paraId="55961904" w14:textId="77777777" w:rsidR="009D40E9" w:rsidRPr="008B29B5" w:rsidRDefault="009D40E9" w:rsidP="009D40E9">
      <w:pPr>
        <w:pStyle w:val="ListParagraph"/>
        <w:numPr>
          <w:ilvl w:val="0"/>
          <w:numId w:val="1"/>
        </w:numPr>
        <w:spacing w:line="360" w:lineRule="auto"/>
        <w:jc w:val="both"/>
        <w:rPr>
          <w:rFonts w:ascii="David" w:hAnsi="David"/>
          <w:rtl/>
        </w:rPr>
      </w:pPr>
      <w:r w:rsidRPr="008B29B5">
        <w:rPr>
          <w:rFonts w:ascii="David" w:hAnsi="David" w:hint="cs"/>
          <w:rtl/>
        </w:rPr>
        <w:t>פירטתי בהרחבה את חומרתן של עבירות אלו בכלל ובתקופת מלחמה בפרט. חומרה זו באה לידי ביטוי בהחמרת הענישה בעניינם של שוהים בלתי חוקים (</w:t>
      </w:r>
      <w:r>
        <w:rPr>
          <w:rFonts w:hint="cs"/>
          <w:rtl/>
        </w:rPr>
        <w:t xml:space="preserve"> </w:t>
      </w:r>
      <w:hyperlink r:id="rId54" w:history="1">
        <w:r w:rsidR="003D6785" w:rsidRPr="003D6785">
          <w:rPr>
            <w:color w:val="0000FF"/>
            <w:u w:val="single"/>
            <w:rtl/>
          </w:rPr>
          <w:t>רע"פ 7908/23</w:t>
        </w:r>
      </w:hyperlink>
      <w:r>
        <w:rPr>
          <w:rtl/>
        </w:rPr>
        <w:t xml:space="preserve"> </w:t>
      </w:r>
      <w:r>
        <w:rPr>
          <w:b/>
          <w:bCs/>
          <w:rtl/>
        </w:rPr>
        <w:t>אלנג'אר ואח' נ' מדינת ישראל</w:t>
      </w:r>
      <w:r>
        <w:rPr>
          <w:rtl/>
        </w:rPr>
        <w:t xml:space="preserve"> </w:t>
      </w:r>
      <w:r w:rsidR="007E2005">
        <w:rPr>
          <w:rtl/>
        </w:rPr>
        <w:t>[נבו]</w:t>
      </w:r>
      <w:r w:rsidR="007E2005">
        <w:rPr>
          <w:rFonts w:hint="cs"/>
          <w:rtl/>
        </w:rPr>
        <w:t xml:space="preserve"> </w:t>
      </w:r>
      <w:r>
        <w:rPr>
          <w:rtl/>
        </w:rPr>
        <w:t xml:space="preserve">(27.11.2023)); </w:t>
      </w:r>
      <w:hyperlink r:id="rId55" w:history="1">
        <w:r w:rsidR="003D6785" w:rsidRPr="003D6785">
          <w:rPr>
            <w:color w:val="0000FF"/>
            <w:u w:val="single"/>
            <w:rtl/>
          </w:rPr>
          <w:t>עפ"ג 1680-11-23</w:t>
        </w:r>
      </w:hyperlink>
      <w:r>
        <w:rPr>
          <w:rtl/>
        </w:rPr>
        <w:t xml:space="preserve"> </w:t>
      </w:r>
      <w:r>
        <w:rPr>
          <w:b/>
          <w:bCs/>
          <w:rtl/>
        </w:rPr>
        <w:t>מדינת ישראל נ' כסאב</w:t>
      </w:r>
      <w:r>
        <w:rPr>
          <w:rtl/>
        </w:rPr>
        <w:t xml:space="preserve"> </w:t>
      </w:r>
      <w:r w:rsidR="007E2005">
        <w:rPr>
          <w:rtl/>
        </w:rPr>
        <w:t>[נבו]</w:t>
      </w:r>
      <w:r w:rsidR="007E2005">
        <w:rPr>
          <w:rFonts w:hint="cs"/>
          <w:rtl/>
        </w:rPr>
        <w:t xml:space="preserve"> </w:t>
      </w:r>
      <w:r>
        <w:rPr>
          <w:rtl/>
        </w:rPr>
        <w:t>(6.11.2023)</w:t>
      </w:r>
      <w:r>
        <w:rPr>
          <w:rFonts w:hint="cs"/>
          <w:rtl/>
        </w:rPr>
        <w:t xml:space="preserve">; </w:t>
      </w:r>
      <w:hyperlink r:id="rId56" w:history="1">
        <w:r w:rsidR="003D6785" w:rsidRPr="003D6785">
          <w:rPr>
            <w:color w:val="0000FF"/>
            <w:u w:val="single"/>
            <w:rtl/>
          </w:rPr>
          <w:t>עפ"ג 38304-01-24</w:t>
        </w:r>
      </w:hyperlink>
      <w:r>
        <w:rPr>
          <w:rtl/>
        </w:rPr>
        <w:t xml:space="preserve"> </w:t>
      </w:r>
      <w:r>
        <w:rPr>
          <w:b/>
          <w:bCs/>
          <w:rtl/>
        </w:rPr>
        <w:t>מדינת ישראל נ' עתמאן</w:t>
      </w:r>
      <w:r>
        <w:rPr>
          <w:rtl/>
        </w:rPr>
        <w:t xml:space="preserve"> </w:t>
      </w:r>
      <w:r w:rsidR="007E2005">
        <w:rPr>
          <w:rtl/>
        </w:rPr>
        <w:t>[נבו]</w:t>
      </w:r>
      <w:r w:rsidR="007E2005">
        <w:rPr>
          <w:rFonts w:hint="cs"/>
          <w:rtl/>
        </w:rPr>
        <w:t xml:space="preserve"> </w:t>
      </w:r>
      <w:r>
        <w:rPr>
          <w:rtl/>
        </w:rPr>
        <w:t>(25.1.2024)</w:t>
      </w:r>
      <w:r w:rsidRPr="008B29B5">
        <w:rPr>
          <w:rFonts w:ascii="David" w:hAnsi="David" w:hint="cs"/>
          <w:rtl/>
        </w:rPr>
        <w:t>)</w:t>
      </w:r>
      <w:r w:rsidRPr="008B29B5">
        <w:rPr>
          <w:rFonts w:ascii="David" w:hAnsi="David" w:hint="cs"/>
        </w:rPr>
        <w:t xml:space="preserve"> </w:t>
      </w:r>
      <w:r w:rsidRPr="008B29B5">
        <w:rPr>
          <w:rFonts w:ascii="David" w:hAnsi="David" w:hint="cs"/>
          <w:rtl/>
        </w:rPr>
        <w:t>ועל אחת כמה וכמה נדרשת החמרה משמעותית בענישת אלו המאפשרים זאת: מסיעים, מלינים ומעסיקים אשר אלמלא הסכימו להעסיקם, להסיעם ולהלינם לא היה לשוהים הבלתי חוקיים תמריץ</w:t>
      </w:r>
      <w:r>
        <w:rPr>
          <w:rFonts w:ascii="David" w:hAnsi="David" w:hint="cs"/>
          <w:rtl/>
        </w:rPr>
        <w:t xml:space="preserve"> להיכנס לישראל ללא היתר</w:t>
      </w:r>
      <w:r w:rsidRPr="008B29B5">
        <w:rPr>
          <w:rFonts w:ascii="David" w:hAnsi="David" w:hint="cs"/>
          <w:rtl/>
        </w:rPr>
        <w:t xml:space="preserve">. </w:t>
      </w:r>
      <w:r>
        <w:rPr>
          <w:rFonts w:ascii="David" w:hAnsi="David" w:hint="cs"/>
          <w:rtl/>
        </w:rPr>
        <w:t>שיקולים אלו עניינם בקביעת מתחם הענישה, אך בגדרי המתחם נדרשת ב</w:t>
      </w:r>
      <w:r w:rsidRPr="008B29B5">
        <w:rPr>
          <w:rFonts w:ascii="David" w:hAnsi="David" w:hint="cs"/>
          <w:rtl/>
        </w:rPr>
        <w:t>תקופה זו ענישה הנותנת משקל ממשי לשיקולי ההלימה וההרתעה, ולשיקולים אישיים</w:t>
      </w:r>
      <w:r>
        <w:rPr>
          <w:rFonts w:ascii="David" w:hAnsi="David" w:hint="cs"/>
          <w:rtl/>
        </w:rPr>
        <w:t>, לרבות הנכונות לסטייה מטעמי שיקום,</w:t>
      </w:r>
      <w:r w:rsidRPr="008B29B5">
        <w:rPr>
          <w:rFonts w:ascii="David" w:hAnsi="David" w:hint="cs"/>
          <w:rtl/>
        </w:rPr>
        <w:t xml:space="preserve"> יש לתת משקל מופחת (ראו </w:t>
      </w:r>
      <w:r>
        <w:rPr>
          <w:rFonts w:ascii="David" w:hAnsi="David" w:hint="cs"/>
          <w:rtl/>
        </w:rPr>
        <w:t xml:space="preserve">גם כאן </w:t>
      </w:r>
      <w:r w:rsidRPr="008B29B5">
        <w:rPr>
          <w:rFonts w:ascii="David" w:hAnsi="David" w:hint="cs"/>
          <w:rtl/>
        </w:rPr>
        <w:t xml:space="preserve">בהשוואה </w:t>
      </w:r>
      <w:r>
        <w:rPr>
          <w:rFonts w:hint="cs"/>
          <w:rtl/>
        </w:rPr>
        <w:t xml:space="preserve">לעבירות שב"ח דברים היפים מבחינת קל וחומר לעבירות של מסיעים, מעסיקים ומלינים: </w:t>
      </w:r>
      <w:hyperlink r:id="rId57" w:history="1">
        <w:r w:rsidR="003D6785" w:rsidRPr="003D6785">
          <w:rPr>
            <w:color w:val="0000FF"/>
            <w:u w:val="single"/>
            <w:rtl/>
          </w:rPr>
          <w:t>עפ"ג 5153-08-24</w:t>
        </w:r>
      </w:hyperlink>
      <w:r>
        <w:rPr>
          <w:rFonts w:hint="cs"/>
          <w:rtl/>
        </w:rPr>
        <w:t xml:space="preserve"> </w:t>
      </w:r>
      <w:r w:rsidRPr="008B29B5">
        <w:rPr>
          <w:rFonts w:hint="cs"/>
          <w:b/>
          <w:bCs/>
          <w:rtl/>
        </w:rPr>
        <w:t>מדינת ישראל נ' חאמד</w:t>
      </w:r>
      <w:r>
        <w:rPr>
          <w:rFonts w:hint="cs"/>
          <w:rtl/>
        </w:rPr>
        <w:t xml:space="preserve"> </w:t>
      </w:r>
      <w:r w:rsidR="007E2005">
        <w:rPr>
          <w:rtl/>
        </w:rPr>
        <w:t>[נבו]</w:t>
      </w:r>
      <w:r w:rsidR="007E2005">
        <w:rPr>
          <w:rFonts w:hint="cs"/>
          <w:rtl/>
        </w:rPr>
        <w:t xml:space="preserve"> </w:t>
      </w:r>
      <w:r>
        <w:rPr>
          <w:rFonts w:hint="cs"/>
          <w:rtl/>
        </w:rPr>
        <w:t xml:space="preserve">(6.8.2024); </w:t>
      </w:r>
      <w:hyperlink r:id="rId58" w:history="1">
        <w:r w:rsidR="003D6785" w:rsidRPr="003D6785">
          <w:rPr>
            <w:color w:val="0000FF"/>
            <w:u w:val="single"/>
            <w:rtl/>
          </w:rPr>
          <w:t>עפ"ג 64530-07-24</w:t>
        </w:r>
      </w:hyperlink>
      <w:r>
        <w:rPr>
          <w:rFonts w:hint="cs"/>
          <w:rtl/>
        </w:rPr>
        <w:t xml:space="preserve"> </w:t>
      </w:r>
      <w:r w:rsidRPr="008B29B5">
        <w:rPr>
          <w:rFonts w:hint="cs"/>
          <w:b/>
          <w:bCs/>
          <w:rtl/>
        </w:rPr>
        <w:t xml:space="preserve">בהאא אלשויכי נ' מדינת ישראל </w:t>
      </w:r>
      <w:r w:rsidR="007E2005">
        <w:rPr>
          <w:b/>
          <w:bCs/>
          <w:rtl/>
        </w:rPr>
        <w:t>[נבו]</w:t>
      </w:r>
      <w:r w:rsidR="007E2005">
        <w:rPr>
          <w:rFonts w:hint="cs"/>
          <w:b/>
          <w:bCs/>
          <w:rtl/>
        </w:rPr>
        <w:t xml:space="preserve"> </w:t>
      </w:r>
      <w:r w:rsidRPr="008B29B5">
        <w:rPr>
          <w:rFonts w:hint="cs"/>
          <w:b/>
          <w:bCs/>
          <w:rtl/>
        </w:rPr>
        <w:t>(</w:t>
      </w:r>
      <w:r>
        <w:rPr>
          <w:rFonts w:hint="cs"/>
          <w:rtl/>
        </w:rPr>
        <w:t>4.8.2024)).</w:t>
      </w:r>
    </w:p>
    <w:p w14:paraId="7A4AA476" w14:textId="77777777" w:rsidR="009D40E9" w:rsidRDefault="009D40E9" w:rsidP="009D40E9">
      <w:pPr>
        <w:pStyle w:val="ListParagraph"/>
        <w:rPr>
          <w:rFonts w:ascii="David" w:hAnsi="David"/>
          <w:rtl/>
        </w:rPr>
      </w:pPr>
    </w:p>
    <w:p w14:paraId="1C94464B" w14:textId="77777777" w:rsidR="009D40E9" w:rsidRDefault="009D40E9" w:rsidP="009D40E9">
      <w:pPr>
        <w:pStyle w:val="ListParagraph"/>
        <w:numPr>
          <w:ilvl w:val="0"/>
          <w:numId w:val="1"/>
        </w:numPr>
        <w:spacing w:line="360" w:lineRule="auto"/>
        <w:jc w:val="both"/>
        <w:rPr>
          <w:rFonts w:ascii="David" w:hAnsi="David"/>
        </w:rPr>
      </w:pPr>
      <w:r>
        <w:rPr>
          <w:rFonts w:ascii="David" w:hAnsi="David" w:hint="cs"/>
          <w:rtl/>
        </w:rPr>
        <w:t xml:space="preserve">על רקע הגבול התחתון של מתחם הענישה והצורך בהרתעה ומתן משקל מופחת לנסיבות האישיות, מתחייב לדידי עונש מאסר ממש אשר ייתן ביטוי נכון לשיקולי הענישה השונים. למען הסר ספק אציין שאינני סבור שיש מקום לחריגה ממתחם ענישה משיקולי שיקום. אכן, הנאשם אינו צעיר, עברו הפלילי נקי והוא קיבל אחריות למעשיו. כן דומה שההליך יצר הרתעה שעשויה להביא להקטנת הסיכון העתידי מפניו. עם זאת, כפי שצוין לעיל, </w:t>
      </w:r>
      <w:r w:rsidRPr="008B29B5">
        <w:rPr>
          <w:rFonts w:ascii="David" w:hAnsi="David" w:hint="cs"/>
          <w:rtl/>
        </w:rPr>
        <w:t xml:space="preserve">הנאשם </w:t>
      </w:r>
      <w:r>
        <w:rPr>
          <w:rFonts w:ascii="David" w:hAnsi="David" w:hint="cs"/>
          <w:rtl/>
        </w:rPr>
        <w:t>מזער מאחריותו בפני שירות המבחן ותיאר מציאות עובדתית שונה מכתב האישום לפיה השב"ח הצהיר בפניו שיש לו אישור כניסה לארץ וכן הציג בפניו כרטיס מגנטי המשמש לכניסה לארץ. מדובר בגרסה אשר ספק אם מהווה עבירה כלל ובכל מקרה מגלמת מידת אשם פחותה משמעותית. אמנם בעת הדיון שלאחר מכן קיבל הנאשם אחריות למעשיו, אך אופן התייחסותו לעבירה בפני שירות המבחן מעמיד את נכונות התרשמותו בספק רב ובהתאמה את תקפות המלצותיו. כך או כך, כפי שצוין לעיל, על רקע משקלם היחסי של שיקולי ההרתעה במקרה זה, אינני סבור שהוצגה תשתית מספקת המצדיקה חריגה ממתחם הענישה. בעניין זה הבאתי גם בחשבון את הנסיבות האישיות היינו הגיל, העבר הנקי ואף המצב הרפואי הנטען (שלא הוכח דיו).</w:t>
      </w:r>
      <w:r>
        <w:rPr>
          <w:rFonts w:ascii="David" w:hAnsi="David" w:hint="cs"/>
        </w:rPr>
        <w:t xml:space="preserve"> </w:t>
      </w:r>
    </w:p>
    <w:p w14:paraId="7F5975CC" w14:textId="77777777" w:rsidR="009D40E9" w:rsidRPr="0069079E" w:rsidRDefault="009D40E9" w:rsidP="009D40E9">
      <w:pPr>
        <w:pStyle w:val="ListParagraph"/>
        <w:rPr>
          <w:rFonts w:ascii="David" w:hAnsi="David"/>
          <w:rtl/>
        </w:rPr>
      </w:pPr>
    </w:p>
    <w:p w14:paraId="2609090C" w14:textId="77777777" w:rsidR="009D40E9" w:rsidRDefault="009D40E9" w:rsidP="009D40E9">
      <w:pPr>
        <w:pStyle w:val="ListParagraph"/>
        <w:numPr>
          <w:ilvl w:val="0"/>
          <w:numId w:val="1"/>
        </w:numPr>
        <w:spacing w:line="360" w:lineRule="auto"/>
        <w:jc w:val="both"/>
        <w:rPr>
          <w:rFonts w:ascii="David" w:hAnsi="David"/>
        </w:rPr>
      </w:pPr>
      <w:r>
        <w:rPr>
          <w:rFonts w:ascii="David" w:hAnsi="David" w:hint="cs"/>
          <w:rtl/>
        </w:rPr>
        <w:t xml:space="preserve">טרם סיום אציין כי אינני מתעלם </w:t>
      </w:r>
      <w:r>
        <w:rPr>
          <w:rFonts w:ascii="David" w:hAnsi="David"/>
          <w:color w:val="000000"/>
          <w:rtl/>
        </w:rPr>
        <w:t>מחומרתו של עונש מאסר למי שעברו נקי</w:t>
      </w:r>
      <w:r>
        <w:rPr>
          <w:rFonts w:ascii="David" w:hAnsi="David" w:hint="cs"/>
          <w:color w:val="000000"/>
          <w:rtl/>
        </w:rPr>
        <w:t xml:space="preserve">, גילו אינו צעיר ומצבו הבריאותי אינו שפיר ואולם כל עונש אחר (לרבות מאסר בעבודות שירות) </w:t>
      </w:r>
      <w:r>
        <w:rPr>
          <w:rFonts w:ascii="David" w:hAnsi="David"/>
          <w:color w:val="000000"/>
          <w:rtl/>
        </w:rPr>
        <w:t>יחטיא לדעתי את תכליות הענישה הנדרשות בעת הזו ויש להימנע מכך</w:t>
      </w:r>
      <w:r>
        <w:rPr>
          <w:rFonts w:ascii="David" w:hAnsi="David"/>
          <w:color w:val="000000"/>
        </w:rPr>
        <w:t>.</w:t>
      </w:r>
      <w:r>
        <w:rPr>
          <w:rFonts w:ascii="David" w:hAnsi="David" w:hint="cs"/>
          <w:rtl/>
        </w:rPr>
        <w:t xml:space="preserve"> עם זאת, קיימים לא מעט טעמים העומדים לזכותו של הנאשם </w:t>
      </w:r>
      <w:r w:rsidRPr="004D1D84">
        <w:rPr>
          <w:rFonts w:ascii="David" w:hAnsi="David"/>
          <w:rtl/>
        </w:rPr>
        <w:t xml:space="preserve">ומשכך העונש יהיה מתון </w:t>
      </w:r>
      <w:r>
        <w:rPr>
          <w:rFonts w:ascii="David" w:hAnsi="David" w:hint="cs"/>
          <w:rtl/>
        </w:rPr>
        <w:t>וימוקם ב</w:t>
      </w:r>
      <w:r>
        <w:rPr>
          <w:rFonts w:ascii="David" w:hAnsi="David"/>
          <w:rtl/>
        </w:rPr>
        <w:t>תחתית המתחם</w:t>
      </w:r>
      <w:r w:rsidRPr="004D1D84">
        <w:rPr>
          <w:rFonts w:ascii="David" w:hAnsi="David"/>
          <w:rtl/>
        </w:rPr>
        <w:t>.</w:t>
      </w:r>
    </w:p>
    <w:p w14:paraId="43ACE79A" w14:textId="77777777" w:rsidR="009D40E9" w:rsidRDefault="009D40E9" w:rsidP="009D40E9">
      <w:pPr>
        <w:pStyle w:val="ListParagraph"/>
        <w:rPr>
          <w:rFonts w:ascii="David" w:hAnsi="David"/>
          <w:rtl/>
        </w:rPr>
      </w:pPr>
    </w:p>
    <w:p w14:paraId="5B3DDB68" w14:textId="77777777" w:rsidR="009D40E9" w:rsidRDefault="009D40E9" w:rsidP="009D40E9">
      <w:pPr>
        <w:pStyle w:val="ListParagraph"/>
        <w:rPr>
          <w:rFonts w:ascii="David" w:hAnsi="David"/>
          <w:rtl/>
        </w:rPr>
      </w:pPr>
    </w:p>
    <w:p w14:paraId="6F17042A" w14:textId="77777777" w:rsidR="009D40E9" w:rsidRDefault="009D40E9" w:rsidP="009D40E9">
      <w:pPr>
        <w:pStyle w:val="ListParagraph"/>
        <w:rPr>
          <w:rFonts w:ascii="David" w:hAnsi="David"/>
          <w:rtl/>
        </w:rPr>
      </w:pPr>
    </w:p>
    <w:p w14:paraId="6107A1DD" w14:textId="77777777" w:rsidR="009D40E9" w:rsidRDefault="009D40E9" w:rsidP="009D40E9">
      <w:pPr>
        <w:pStyle w:val="ListParagraph"/>
        <w:rPr>
          <w:rFonts w:ascii="David" w:hAnsi="David"/>
          <w:rtl/>
        </w:rPr>
      </w:pPr>
    </w:p>
    <w:p w14:paraId="7CD9769F" w14:textId="77777777" w:rsidR="009D40E9" w:rsidRDefault="009D40E9" w:rsidP="009D40E9">
      <w:pPr>
        <w:pStyle w:val="ListParagraph"/>
        <w:rPr>
          <w:rFonts w:ascii="David" w:hAnsi="David"/>
          <w:rtl/>
        </w:rPr>
      </w:pPr>
    </w:p>
    <w:p w14:paraId="3DA89BB6" w14:textId="77777777" w:rsidR="009D40E9" w:rsidRPr="0069079E" w:rsidRDefault="009D40E9" w:rsidP="009D40E9">
      <w:pPr>
        <w:pStyle w:val="ListParagraph"/>
        <w:rPr>
          <w:rFonts w:ascii="David" w:hAnsi="David"/>
          <w:rtl/>
        </w:rPr>
      </w:pPr>
    </w:p>
    <w:p w14:paraId="086A68F7" w14:textId="77777777" w:rsidR="009D40E9" w:rsidRDefault="009D40E9" w:rsidP="009D40E9">
      <w:pPr>
        <w:pStyle w:val="ListParagraph"/>
        <w:numPr>
          <w:ilvl w:val="0"/>
          <w:numId w:val="1"/>
        </w:numPr>
        <w:spacing w:line="360" w:lineRule="auto"/>
        <w:jc w:val="both"/>
        <w:rPr>
          <w:rFonts w:ascii="David" w:hAnsi="David"/>
        </w:rPr>
      </w:pPr>
      <w:r w:rsidRPr="004D1D84">
        <w:rPr>
          <w:rFonts w:ascii="David" w:hAnsi="David"/>
          <w:rtl/>
        </w:rPr>
        <w:t>לאור כך אני מטיל על הנאשם את העונשים הבאים:</w:t>
      </w:r>
    </w:p>
    <w:p w14:paraId="75498905" w14:textId="77777777" w:rsidR="009D40E9" w:rsidRPr="004D1D84" w:rsidRDefault="009D40E9" w:rsidP="009D40E9">
      <w:pPr>
        <w:pStyle w:val="ListParagraph"/>
        <w:rPr>
          <w:rFonts w:ascii="David" w:hAnsi="David"/>
          <w:rtl/>
        </w:rPr>
      </w:pPr>
    </w:p>
    <w:p w14:paraId="211A74FC" w14:textId="77777777" w:rsidR="009D40E9" w:rsidRDefault="009D40E9" w:rsidP="009D40E9">
      <w:pPr>
        <w:pStyle w:val="ListParagraph"/>
        <w:numPr>
          <w:ilvl w:val="0"/>
          <w:numId w:val="2"/>
        </w:numPr>
        <w:spacing w:line="360" w:lineRule="auto"/>
        <w:jc w:val="both"/>
        <w:rPr>
          <w:rFonts w:ascii="David" w:hAnsi="David"/>
        </w:rPr>
      </w:pPr>
      <w:r>
        <w:rPr>
          <w:rFonts w:ascii="David" w:hAnsi="David" w:hint="cs"/>
          <w:rtl/>
        </w:rPr>
        <w:t xml:space="preserve">12 חודשי מאסר בפועל, בניכוי ימי מעצרו: 16.5.24-23.5.24. </w:t>
      </w:r>
    </w:p>
    <w:p w14:paraId="0F06BE3E" w14:textId="77777777" w:rsidR="009D40E9" w:rsidRDefault="009D40E9" w:rsidP="009D40E9">
      <w:pPr>
        <w:pStyle w:val="ListParagraph"/>
        <w:numPr>
          <w:ilvl w:val="0"/>
          <w:numId w:val="2"/>
        </w:numPr>
        <w:spacing w:line="360" w:lineRule="auto"/>
        <w:jc w:val="both"/>
        <w:rPr>
          <w:rFonts w:ascii="David" w:hAnsi="David"/>
        </w:rPr>
      </w:pPr>
      <w:r w:rsidRPr="004D1D84">
        <w:rPr>
          <w:rFonts w:ascii="David" w:hAnsi="David"/>
          <w:rtl/>
        </w:rPr>
        <w:t xml:space="preserve">מאסר על תנאי למשך </w:t>
      </w:r>
      <w:r>
        <w:rPr>
          <w:rFonts w:ascii="David" w:hAnsi="David" w:hint="cs"/>
          <w:rtl/>
        </w:rPr>
        <w:t>9</w:t>
      </w:r>
      <w:r w:rsidRPr="004D1D84">
        <w:rPr>
          <w:rFonts w:ascii="David" w:hAnsi="David"/>
          <w:rtl/>
        </w:rPr>
        <w:t xml:space="preserve"> חודשים והתנאי הוא שלא יעבור בתוך 3 שנים כל עבירה על </w:t>
      </w:r>
      <w:hyperlink r:id="rId59" w:history="1">
        <w:r w:rsidR="003D6785" w:rsidRPr="003D6785">
          <w:rPr>
            <w:rFonts w:ascii="David" w:hAnsi="David"/>
            <w:color w:val="0000FF"/>
            <w:u w:val="single"/>
            <w:rtl/>
          </w:rPr>
          <w:t>חוק הכניסה לישראל</w:t>
        </w:r>
      </w:hyperlink>
      <w:r w:rsidRPr="004D1D84">
        <w:rPr>
          <w:rFonts w:ascii="David" w:hAnsi="David"/>
          <w:rtl/>
        </w:rPr>
        <w:t>.</w:t>
      </w:r>
    </w:p>
    <w:p w14:paraId="10BD0A12" w14:textId="77777777" w:rsidR="009D40E9" w:rsidRDefault="009D40E9" w:rsidP="009D40E9">
      <w:pPr>
        <w:pStyle w:val="ListParagraph"/>
        <w:numPr>
          <w:ilvl w:val="0"/>
          <w:numId w:val="2"/>
        </w:numPr>
        <w:spacing w:line="360" w:lineRule="auto"/>
        <w:jc w:val="both"/>
        <w:rPr>
          <w:rFonts w:ascii="David" w:hAnsi="David"/>
        </w:rPr>
      </w:pPr>
      <w:r>
        <w:rPr>
          <w:rFonts w:ascii="David" w:hAnsi="David" w:hint="cs"/>
          <w:rtl/>
        </w:rPr>
        <w:t xml:space="preserve">בהתאם </w:t>
      </w:r>
      <w:hyperlink r:id="rId60" w:history="1">
        <w:r w:rsidR="00A624A3" w:rsidRPr="00A624A3">
          <w:rPr>
            <w:rStyle w:val="Hyperlink"/>
            <w:rFonts w:ascii="David" w:hAnsi="David" w:hint="eastAsia"/>
            <w:rtl/>
          </w:rPr>
          <w:t>לסעיף</w:t>
        </w:r>
        <w:r w:rsidR="00A624A3" w:rsidRPr="00A624A3">
          <w:rPr>
            <w:rStyle w:val="Hyperlink"/>
            <w:rFonts w:ascii="David" w:hAnsi="David"/>
            <w:rtl/>
          </w:rPr>
          <w:t xml:space="preserve"> 12ב3(ג)</w:t>
        </w:r>
      </w:hyperlink>
      <w:r>
        <w:rPr>
          <w:rFonts w:ascii="David" w:hAnsi="David" w:hint="cs"/>
          <w:rtl/>
        </w:rPr>
        <w:t xml:space="preserve"> אני מטיל </w:t>
      </w:r>
      <w:r w:rsidRPr="004D1D84">
        <w:rPr>
          <w:rFonts w:ascii="David" w:hAnsi="David"/>
          <w:rtl/>
        </w:rPr>
        <w:t xml:space="preserve">קנס בסך </w:t>
      </w:r>
      <w:r>
        <w:rPr>
          <w:rFonts w:ascii="David" w:hAnsi="David" w:hint="cs"/>
          <w:rtl/>
        </w:rPr>
        <w:t>5</w:t>
      </w:r>
      <w:r w:rsidRPr="004D1D84">
        <w:rPr>
          <w:rFonts w:ascii="David" w:hAnsi="David"/>
          <w:rtl/>
        </w:rPr>
        <w:t>,000 ₪</w:t>
      </w:r>
      <w:r>
        <w:rPr>
          <w:rFonts w:ascii="David" w:hAnsi="David" w:hint="cs"/>
          <w:rtl/>
        </w:rPr>
        <w:t xml:space="preserve">. אציין כי לאור תקופת המאסר ראיתי לחרוג מהקנס המינימלי ולהעמידו על מחצית. </w:t>
      </w:r>
      <w:r w:rsidRPr="004D1D84">
        <w:rPr>
          <w:rFonts w:ascii="David" w:hAnsi="David"/>
          <w:rtl/>
        </w:rPr>
        <w:t xml:space="preserve">הקנס ישולם </w:t>
      </w:r>
      <w:r>
        <w:rPr>
          <w:rFonts w:ascii="David" w:hAnsi="David" w:hint="cs"/>
          <w:rtl/>
        </w:rPr>
        <w:t>בחמישה</w:t>
      </w:r>
      <w:r w:rsidRPr="004D1D84">
        <w:rPr>
          <w:rFonts w:ascii="David" w:hAnsi="David"/>
          <w:rtl/>
        </w:rPr>
        <w:t xml:space="preserve"> תשלומים שווים ורצופים החל מיום 1.</w:t>
      </w:r>
      <w:r>
        <w:rPr>
          <w:rFonts w:ascii="David" w:hAnsi="David" w:hint="cs"/>
          <w:rtl/>
        </w:rPr>
        <w:t>6</w:t>
      </w:r>
      <w:r w:rsidRPr="004D1D84">
        <w:rPr>
          <w:rFonts w:ascii="David" w:hAnsi="David"/>
          <w:rtl/>
        </w:rPr>
        <w:t>.</w:t>
      </w:r>
      <w:r>
        <w:rPr>
          <w:rFonts w:ascii="David" w:hAnsi="David" w:hint="cs"/>
          <w:rtl/>
        </w:rPr>
        <w:t>25</w:t>
      </w:r>
      <w:r w:rsidRPr="004D1D84">
        <w:rPr>
          <w:rFonts w:ascii="David" w:hAnsi="David"/>
          <w:rtl/>
        </w:rPr>
        <w:t xml:space="preserve"> ובכל 1 לחודש. לא ישולם אחד התשלומים במועד תעמוד היתרה לפירעון מידי.</w:t>
      </w:r>
    </w:p>
    <w:p w14:paraId="3F381B32" w14:textId="77777777" w:rsidR="009D40E9" w:rsidRPr="003B31B8" w:rsidRDefault="009D40E9" w:rsidP="009D40E9">
      <w:pPr>
        <w:pStyle w:val="ListParagraph"/>
        <w:numPr>
          <w:ilvl w:val="0"/>
          <w:numId w:val="2"/>
        </w:numPr>
        <w:spacing w:line="360" w:lineRule="auto"/>
        <w:jc w:val="both"/>
        <w:rPr>
          <w:rFonts w:ascii="David" w:hAnsi="David"/>
          <w:rtl/>
        </w:rPr>
      </w:pPr>
      <w:r w:rsidRPr="003B31B8">
        <w:rPr>
          <w:rFonts w:ascii="David" w:hAnsi="David" w:hint="cs"/>
          <w:rtl/>
        </w:rPr>
        <w:t xml:space="preserve">לאור תקופת המאסר והמצב הרפואי הנטען אני נמנע מפסילת רישיון. </w:t>
      </w:r>
    </w:p>
    <w:p w14:paraId="66783204" w14:textId="77777777" w:rsidR="009D40E9" w:rsidRPr="003D6785" w:rsidRDefault="003D6785" w:rsidP="009D40E9">
      <w:pPr>
        <w:spacing w:line="360" w:lineRule="auto"/>
        <w:jc w:val="both"/>
        <w:rPr>
          <w:rFonts w:ascii="David" w:hAnsi="David"/>
          <w:color w:val="FFFFFF"/>
          <w:sz w:val="2"/>
          <w:szCs w:val="2"/>
          <w:rtl/>
        </w:rPr>
      </w:pPr>
      <w:r w:rsidRPr="003D6785">
        <w:rPr>
          <w:rFonts w:ascii="David" w:hAnsi="David"/>
          <w:color w:val="FFFFFF"/>
          <w:sz w:val="2"/>
          <w:szCs w:val="2"/>
          <w:rtl/>
        </w:rPr>
        <w:t>5129371</w:t>
      </w:r>
    </w:p>
    <w:p w14:paraId="2C23B007" w14:textId="77777777" w:rsidR="009D40E9" w:rsidRPr="004D1D84" w:rsidRDefault="003D6785" w:rsidP="009D40E9">
      <w:pPr>
        <w:spacing w:line="360" w:lineRule="auto"/>
        <w:jc w:val="both"/>
        <w:rPr>
          <w:rFonts w:ascii="David" w:hAnsi="David"/>
          <w:rtl/>
        </w:rPr>
      </w:pPr>
      <w:r w:rsidRPr="003D6785">
        <w:rPr>
          <w:rFonts w:ascii="David" w:hAnsi="David"/>
          <w:b/>
          <w:bCs/>
          <w:color w:val="FFFFFF"/>
          <w:sz w:val="2"/>
          <w:szCs w:val="2"/>
          <w:u w:val="single"/>
          <w:rtl/>
        </w:rPr>
        <w:t>54678313</w:t>
      </w:r>
      <w:r w:rsidR="009D40E9">
        <w:rPr>
          <w:rFonts w:ascii="David" w:hAnsi="David"/>
          <w:b/>
          <w:bCs/>
          <w:color w:val="000000"/>
          <w:u w:val="single"/>
          <w:rtl/>
        </w:rPr>
        <w:t>הודעה זכות ערעור לבית המשפט המחוזי בתוך 45 ימים</w:t>
      </w:r>
      <w:r w:rsidR="009D40E9">
        <w:rPr>
          <w:rFonts w:ascii="David" w:hAnsi="David"/>
          <w:b/>
          <w:bCs/>
          <w:color w:val="000000"/>
          <w:u w:val="single"/>
        </w:rPr>
        <w:t>.</w:t>
      </w:r>
    </w:p>
    <w:p w14:paraId="7024B795" w14:textId="77777777" w:rsidR="009D40E9" w:rsidRDefault="009D40E9" w:rsidP="009D40E9">
      <w:pPr>
        <w:spacing w:line="360" w:lineRule="auto"/>
        <w:jc w:val="both"/>
        <w:rPr>
          <w:rFonts w:ascii="David" w:hAnsi="David"/>
          <w:rtl/>
        </w:rPr>
      </w:pPr>
    </w:p>
    <w:p w14:paraId="4BA3D46D" w14:textId="77777777" w:rsidR="009D40E9" w:rsidRPr="00765E1C" w:rsidRDefault="003D6785" w:rsidP="009D40E9">
      <w:pPr>
        <w:rPr>
          <w:rFonts w:ascii="David" w:hAnsi="David"/>
          <w:rtl/>
        </w:rPr>
      </w:pPr>
      <w:bookmarkStart w:id="7" w:name="Nitan"/>
      <w:r>
        <w:rPr>
          <w:rFonts w:ascii="David" w:hAnsi="David"/>
          <w:rtl/>
        </w:rPr>
        <w:t xml:space="preserve">ניתן היום,  י"ד טבת תשפ"ה, 14 ינואר 2025, במעמד הצדדים. </w:t>
      </w:r>
      <w:bookmarkEnd w:id="7"/>
    </w:p>
    <w:p w14:paraId="671938D4" w14:textId="77777777" w:rsidR="003D6785" w:rsidRDefault="003D6785" w:rsidP="003D6785">
      <w:pPr>
        <w:rPr>
          <w:rtl/>
        </w:rPr>
      </w:pPr>
    </w:p>
    <w:p w14:paraId="4DA6180C" w14:textId="77777777" w:rsidR="003D6785" w:rsidRDefault="003D6785" w:rsidP="003D6785">
      <w:pPr>
        <w:jc w:val="center"/>
        <w:rPr>
          <w:color w:val="0000FF"/>
          <w:u w:val="single"/>
        </w:rPr>
      </w:pPr>
      <w:hyperlink r:id="rId61" w:history="1">
        <w:r>
          <w:rPr>
            <w:color w:val="0000FF"/>
            <w:u w:val="single"/>
            <w:rtl/>
          </w:rPr>
          <w:t>בעניין עריכה ושינויים במסמכי פסיקה, חקיקה ועוד באתר נבו – הקש כאן</w:t>
        </w:r>
      </w:hyperlink>
    </w:p>
    <w:p w14:paraId="77F567F0" w14:textId="77777777" w:rsidR="00A624A3" w:rsidRPr="00A624A3" w:rsidRDefault="00A624A3" w:rsidP="00A624A3">
      <w:pPr>
        <w:keepNext/>
        <w:rPr>
          <w:rFonts w:ascii="David" w:hAnsi="David"/>
          <w:color w:val="000000"/>
          <w:sz w:val="22"/>
          <w:szCs w:val="22"/>
          <w:rtl/>
        </w:rPr>
      </w:pPr>
    </w:p>
    <w:p w14:paraId="1CA14B64" w14:textId="77777777" w:rsidR="00A624A3" w:rsidRPr="00A624A3" w:rsidRDefault="00A624A3" w:rsidP="00A624A3">
      <w:pPr>
        <w:keepNext/>
        <w:rPr>
          <w:rFonts w:ascii="David" w:hAnsi="David"/>
          <w:color w:val="000000"/>
          <w:sz w:val="22"/>
          <w:szCs w:val="22"/>
          <w:rtl/>
        </w:rPr>
      </w:pPr>
      <w:r w:rsidRPr="00A624A3">
        <w:rPr>
          <w:rFonts w:ascii="David" w:hAnsi="David"/>
          <w:color w:val="000000"/>
          <w:sz w:val="22"/>
          <w:szCs w:val="22"/>
          <w:rtl/>
        </w:rPr>
        <w:t>יוסי טורס 54678313</w:t>
      </w:r>
    </w:p>
    <w:p w14:paraId="72D5EFB3" w14:textId="77777777" w:rsidR="003D6785" w:rsidRPr="003D6785" w:rsidRDefault="00A624A3" w:rsidP="00A624A3">
      <w:pPr>
        <w:rPr>
          <w:color w:val="0000FF"/>
          <w:u w:val="single"/>
        </w:rPr>
      </w:pPr>
      <w:r w:rsidRPr="00A624A3">
        <w:rPr>
          <w:color w:val="000000"/>
          <w:u w:val="single"/>
          <w:rtl/>
        </w:rPr>
        <w:t>נוסח מסמך זה כפוף לשינויי ניסוח ועריכה</w:t>
      </w:r>
    </w:p>
    <w:sectPr w:rsidR="003D6785" w:rsidRPr="003D6785" w:rsidSect="00A624A3">
      <w:headerReference w:type="even" r:id="rId62"/>
      <w:headerReference w:type="default" r:id="rId63"/>
      <w:footerReference w:type="even" r:id="rId64"/>
      <w:footerReference w:type="default" r:id="rId6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FF6AF4" w14:textId="77777777" w:rsidR="00B87EAA" w:rsidRDefault="00B87EAA" w:rsidP="00C837EB">
      <w:r>
        <w:separator/>
      </w:r>
    </w:p>
  </w:endnote>
  <w:endnote w:type="continuationSeparator" w:id="0">
    <w:p w14:paraId="3A3609DD" w14:textId="77777777" w:rsidR="00B87EAA" w:rsidRDefault="00B87EAA" w:rsidP="00C837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Century">
    <w:panose1 w:val="02040604050505020304"/>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2D2080" w14:textId="77777777" w:rsidR="00A624A3" w:rsidRDefault="00A624A3" w:rsidP="00A624A3">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3444A2DF" w14:textId="77777777" w:rsidR="002D2092" w:rsidRPr="00A624A3" w:rsidRDefault="00A624A3" w:rsidP="00A624A3">
    <w:pPr>
      <w:pStyle w:val="a5"/>
      <w:pBdr>
        <w:top w:val="single" w:sz="4" w:space="1" w:color="auto"/>
        <w:between w:val="single" w:sz="4" w:space="0" w:color="auto"/>
      </w:pBdr>
      <w:spacing w:after="60"/>
      <w:jc w:val="center"/>
      <w:rPr>
        <w:rFonts w:ascii="FrankRuehl" w:hAnsi="FrankRuehl" w:cs="FrankRuehl"/>
        <w:color w:val="000000"/>
      </w:rPr>
    </w:pPr>
    <w:r w:rsidRPr="00A624A3">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D9C229" w14:textId="77777777" w:rsidR="00A624A3" w:rsidRDefault="00A624A3" w:rsidP="00A624A3">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6C5ECD">
      <w:rPr>
        <w:rFonts w:ascii="FrankRuehl" w:hAnsi="FrankRuehl" w:cs="FrankRuehl"/>
        <w:noProof/>
        <w:rtl/>
      </w:rPr>
      <w:t>1</w:t>
    </w:r>
    <w:r>
      <w:rPr>
        <w:rFonts w:ascii="FrankRuehl" w:hAnsi="FrankRuehl" w:cs="FrankRuehl"/>
        <w:rtl/>
      </w:rPr>
      <w:fldChar w:fldCharType="end"/>
    </w:r>
  </w:p>
  <w:p w14:paraId="61FA9E7F" w14:textId="77777777" w:rsidR="002D2092" w:rsidRPr="00A624A3" w:rsidRDefault="00A624A3" w:rsidP="00A624A3">
    <w:pPr>
      <w:pStyle w:val="a5"/>
      <w:pBdr>
        <w:top w:val="single" w:sz="4" w:space="1" w:color="auto"/>
        <w:between w:val="single" w:sz="4" w:space="0" w:color="auto"/>
      </w:pBdr>
      <w:spacing w:after="60"/>
      <w:jc w:val="center"/>
      <w:rPr>
        <w:rFonts w:ascii="FrankRuehl" w:hAnsi="FrankRuehl" w:cs="FrankRuehl"/>
        <w:color w:val="000000"/>
      </w:rPr>
    </w:pPr>
    <w:r w:rsidRPr="00A624A3">
      <w:rPr>
        <w:rFonts w:ascii="FrankRuehl" w:hAnsi="FrankRuehl" w:cs="FrankRuehl"/>
        <w:color w:val="000000"/>
      </w:rPr>
      <w:pict w14:anchorId="3F965D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1A1974" w14:textId="77777777" w:rsidR="00B87EAA" w:rsidRDefault="00B87EAA" w:rsidP="00C837EB">
      <w:r>
        <w:separator/>
      </w:r>
    </w:p>
  </w:footnote>
  <w:footnote w:type="continuationSeparator" w:id="0">
    <w:p w14:paraId="30E81317" w14:textId="77777777" w:rsidR="00B87EAA" w:rsidRDefault="00B87EAA" w:rsidP="00C837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81BF00" w14:textId="77777777" w:rsidR="003D6785" w:rsidRPr="00A624A3" w:rsidRDefault="00A624A3" w:rsidP="00A624A3">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(קריות) 45761-05-24</w:t>
    </w:r>
    <w:r>
      <w:rPr>
        <w:rFonts w:ascii="David" w:hAnsi="David"/>
        <w:color w:val="000000"/>
        <w:sz w:val="22"/>
        <w:szCs w:val="22"/>
        <w:rtl/>
      </w:rPr>
      <w:tab/>
      <w:t xml:space="preserve"> מדינת ישראל נ' אחמד יוספין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18967F" w14:textId="77777777" w:rsidR="003D6785" w:rsidRPr="00A624A3" w:rsidRDefault="00A624A3" w:rsidP="00A624A3">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(קריות) 45761-05-24</w:t>
    </w:r>
    <w:r>
      <w:rPr>
        <w:rFonts w:ascii="David" w:hAnsi="David"/>
        <w:color w:val="000000"/>
        <w:sz w:val="22"/>
        <w:szCs w:val="22"/>
        <w:rtl/>
      </w:rPr>
      <w:tab/>
      <w:t xml:space="preserve"> מדינת ישראל נ' אחמד יוספין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7D7319"/>
    <w:multiLevelType w:val="hybridMultilevel"/>
    <w:tmpl w:val="DD64DA20"/>
    <w:lvl w:ilvl="0" w:tplc="A3E8A850">
      <w:start w:val="1"/>
      <w:numFmt w:val="decimal"/>
      <w:lvlText w:val="%1."/>
      <w:lvlJc w:val="left"/>
      <w:pPr>
        <w:tabs>
          <w:tab w:val="num" w:pos="567"/>
        </w:tabs>
        <w:ind w:left="0" w:firstLine="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817FA5"/>
    <w:multiLevelType w:val="hybridMultilevel"/>
    <w:tmpl w:val="62A6DE70"/>
    <w:lvl w:ilvl="0" w:tplc="60B0B69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74926845">
    <w:abstractNumId w:val="0"/>
  </w:num>
  <w:num w:numId="2" w16cid:durableId="7096925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D40E9"/>
    <w:rsid w:val="000944DF"/>
    <w:rsid w:val="002D2092"/>
    <w:rsid w:val="003D6785"/>
    <w:rsid w:val="006C5ECD"/>
    <w:rsid w:val="007E2005"/>
    <w:rsid w:val="00833C22"/>
    <w:rsid w:val="008965AD"/>
    <w:rsid w:val="00972DBC"/>
    <w:rsid w:val="009D40E9"/>
    <w:rsid w:val="00A624A3"/>
    <w:rsid w:val="00B87EAA"/>
    <w:rsid w:val="00BD05C0"/>
    <w:rsid w:val="00C837EB"/>
    <w:rsid w:val="00D76E3D"/>
    <w:rsid w:val="00FF52C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80383E6"/>
  <w15:chartTrackingRefBased/>
  <w15:docId w15:val="{C9D3EB0E-35BC-4C40-A146-4C75C6C74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D40E9"/>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D40E9"/>
    <w:pPr>
      <w:tabs>
        <w:tab w:val="center" w:pos="4153"/>
        <w:tab w:val="right" w:pos="8306"/>
      </w:tabs>
    </w:pPr>
  </w:style>
  <w:style w:type="character" w:customStyle="1" w:styleId="a4">
    <w:name w:val="כותרת עליונה תו"/>
    <w:link w:val="a3"/>
    <w:rsid w:val="009D40E9"/>
    <w:rPr>
      <w:rFonts w:ascii="Times New Roman" w:eastAsia="Times New Roman" w:hAnsi="Times New Roman" w:cs="David"/>
      <w:sz w:val="24"/>
      <w:szCs w:val="24"/>
    </w:rPr>
  </w:style>
  <w:style w:type="paragraph" w:styleId="a5">
    <w:name w:val="footer"/>
    <w:basedOn w:val="a"/>
    <w:link w:val="a6"/>
    <w:rsid w:val="009D40E9"/>
    <w:pPr>
      <w:tabs>
        <w:tab w:val="center" w:pos="4153"/>
        <w:tab w:val="right" w:pos="8306"/>
      </w:tabs>
    </w:pPr>
  </w:style>
  <w:style w:type="character" w:customStyle="1" w:styleId="a6">
    <w:name w:val="כותרת תחתונה תו"/>
    <w:link w:val="a5"/>
    <w:rsid w:val="009D40E9"/>
    <w:rPr>
      <w:rFonts w:ascii="Times New Roman" w:eastAsia="Times New Roman" w:hAnsi="Times New Roman" w:cs="David"/>
      <w:sz w:val="24"/>
      <w:szCs w:val="24"/>
    </w:rPr>
  </w:style>
  <w:style w:type="table" w:styleId="a7">
    <w:name w:val="Table Grid"/>
    <w:basedOn w:val="a1"/>
    <w:rsid w:val="009D40E9"/>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9D40E9"/>
  </w:style>
  <w:style w:type="paragraph" w:customStyle="1" w:styleId="ListParagraph">
    <w:name w:val="List Paragraph"/>
    <w:basedOn w:val="a"/>
    <w:qFormat/>
    <w:rsid w:val="009D40E9"/>
    <w:pPr>
      <w:ind w:left="720"/>
      <w:contextualSpacing/>
    </w:pPr>
  </w:style>
  <w:style w:type="character" w:styleId="Hyperlink">
    <w:name w:val="Hyperlink"/>
    <w:rsid w:val="003D678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90721/12b2" TargetMode="External"/><Relationship Id="rId21" Type="http://schemas.openxmlformats.org/officeDocument/2006/relationships/hyperlink" Target="http://www.nevo.co.il/law/90721" TargetMode="External"/><Relationship Id="rId34" Type="http://schemas.openxmlformats.org/officeDocument/2006/relationships/hyperlink" Target="http://www.nevo.co.il/law/90721/12a.c.1" TargetMode="External"/><Relationship Id="rId42" Type="http://schemas.openxmlformats.org/officeDocument/2006/relationships/hyperlink" Target="http://www.nevo.co.il/law/70301" TargetMode="External"/><Relationship Id="rId47" Type="http://schemas.openxmlformats.org/officeDocument/2006/relationships/hyperlink" Target="http://www.nevo.co.il/case/30334560" TargetMode="External"/><Relationship Id="rId50" Type="http://schemas.openxmlformats.org/officeDocument/2006/relationships/hyperlink" Target="http://www.nevo.co.il/case/30184349" TargetMode="External"/><Relationship Id="rId55" Type="http://schemas.openxmlformats.org/officeDocument/2006/relationships/hyperlink" Target="http://www.nevo.co.il/case/30151947" TargetMode="External"/><Relationship Id="rId63" Type="http://schemas.openxmlformats.org/officeDocument/2006/relationships/header" Target="header2.xml"/><Relationship Id="rId7" Type="http://schemas.openxmlformats.org/officeDocument/2006/relationships/hyperlink" Target="http://www.nevo.co.il/law/90721" TargetMode="External"/><Relationship Id="rId2" Type="http://schemas.openxmlformats.org/officeDocument/2006/relationships/styles" Target="styles.xml"/><Relationship Id="rId16" Type="http://schemas.openxmlformats.org/officeDocument/2006/relationships/hyperlink" Target="http://www.nevo.co.il/law/74903/186" TargetMode="External"/><Relationship Id="rId29" Type="http://schemas.openxmlformats.org/officeDocument/2006/relationships/hyperlink" Target="http://www.nevo.co.il/case/30793957" TargetMode="External"/><Relationship Id="rId11" Type="http://schemas.openxmlformats.org/officeDocument/2006/relationships/hyperlink" Target="http://www.nevo.co.il/law/90721/12b2.a" TargetMode="External"/><Relationship Id="rId24" Type="http://schemas.openxmlformats.org/officeDocument/2006/relationships/hyperlink" Target="http://www.nevo.co.il/case/20003034" TargetMode="External"/><Relationship Id="rId32" Type="http://schemas.openxmlformats.org/officeDocument/2006/relationships/hyperlink" Target="http://www.nevo.co.il/case/29445473" TargetMode="External"/><Relationship Id="rId37" Type="http://schemas.openxmlformats.org/officeDocument/2006/relationships/hyperlink" Target="http://www.nevo.co.il/law/74903/186" TargetMode="External"/><Relationship Id="rId40" Type="http://schemas.openxmlformats.org/officeDocument/2006/relationships/hyperlink" Target="http://www.nevo.co.il/case/5981628" TargetMode="External"/><Relationship Id="rId45" Type="http://schemas.openxmlformats.org/officeDocument/2006/relationships/hyperlink" Target="http://www.nevo.co.il/case/30793957" TargetMode="External"/><Relationship Id="rId53" Type="http://schemas.openxmlformats.org/officeDocument/2006/relationships/hyperlink" Target="http://www.nevo.co.il/case/26538238" TargetMode="External"/><Relationship Id="rId58" Type="http://schemas.openxmlformats.org/officeDocument/2006/relationships/hyperlink" Target="http://www.nevo.co.il/case/31973397" TargetMode="External"/><Relationship Id="rId66"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hyperlink" Target="http://www.nevo.co.il/advertisements/nevo-100.doc" TargetMode="External"/><Relationship Id="rId19" Type="http://schemas.openxmlformats.org/officeDocument/2006/relationships/hyperlink" Target="http://www.nevo.co.il/law/70301/355" TargetMode="External"/><Relationship Id="rId14" Type="http://schemas.openxmlformats.org/officeDocument/2006/relationships/hyperlink" Target="http://www.nevo.co.il/law/90721/12b3.c" TargetMode="External"/><Relationship Id="rId22" Type="http://schemas.openxmlformats.org/officeDocument/2006/relationships/hyperlink" Target="http://www.nevo.co.il/law/90721/12b3.a.2" TargetMode="External"/><Relationship Id="rId27" Type="http://schemas.openxmlformats.org/officeDocument/2006/relationships/hyperlink" Target="http://www.nevo.co.il/law/90721/12b3" TargetMode="External"/><Relationship Id="rId30" Type="http://schemas.openxmlformats.org/officeDocument/2006/relationships/hyperlink" Target="http://www.nevo.co.il/law/90721/12e" TargetMode="External"/><Relationship Id="rId35" Type="http://schemas.openxmlformats.org/officeDocument/2006/relationships/hyperlink" Target="http://www.nevo.co.il/law/90721" TargetMode="External"/><Relationship Id="rId43" Type="http://schemas.openxmlformats.org/officeDocument/2006/relationships/hyperlink" Target="http://www.nevo.co.il/law/70301/144g" TargetMode="External"/><Relationship Id="rId48" Type="http://schemas.openxmlformats.org/officeDocument/2006/relationships/hyperlink" Target="http://www.nevo.co.il/case/29342135" TargetMode="External"/><Relationship Id="rId56" Type="http://schemas.openxmlformats.org/officeDocument/2006/relationships/hyperlink" Target="http://www.nevo.co.il/case/30359710" TargetMode="External"/><Relationship Id="rId64" Type="http://schemas.openxmlformats.org/officeDocument/2006/relationships/footer" Target="footer1.xml"/><Relationship Id="rId8" Type="http://schemas.openxmlformats.org/officeDocument/2006/relationships/hyperlink" Target="http://www.nevo.co.il/law/90721/12a.c.1" TargetMode="External"/><Relationship Id="rId51" Type="http://schemas.openxmlformats.org/officeDocument/2006/relationships/hyperlink" Target="http://www.nevo.co.il/case/30121207" TargetMode="External"/><Relationship Id="rId3" Type="http://schemas.openxmlformats.org/officeDocument/2006/relationships/settings" Target="settings.xml"/><Relationship Id="rId12" Type="http://schemas.openxmlformats.org/officeDocument/2006/relationships/hyperlink" Target="http://www.nevo.co.il/law/90721/12b3" TargetMode="External"/><Relationship Id="rId17" Type="http://schemas.openxmlformats.org/officeDocument/2006/relationships/hyperlink" Target="http://www.nevo.co.il/law/70301" TargetMode="External"/><Relationship Id="rId25" Type="http://schemas.openxmlformats.org/officeDocument/2006/relationships/hyperlink" Target="http://www.nevo.co.il/law/90721" TargetMode="External"/><Relationship Id="rId33" Type="http://schemas.openxmlformats.org/officeDocument/2006/relationships/hyperlink" Target="http://www.nevo.co.il/case/27234477" TargetMode="External"/><Relationship Id="rId38" Type="http://schemas.openxmlformats.org/officeDocument/2006/relationships/hyperlink" Target="http://www.nevo.co.il/law/74903" TargetMode="External"/><Relationship Id="rId46" Type="http://schemas.openxmlformats.org/officeDocument/2006/relationships/hyperlink" Target="http://www.nevo.co.il/case/30542970" TargetMode="External"/><Relationship Id="rId59" Type="http://schemas.openxmlformats.org/officeDocument/2006/relationships/hyperlink" Target="http://www.nevo.co.il/law/90721" TargetMode="External"/><Relationship Id="rId67" Type="http://schemas.openxmlformats.org/officeDocument/2006/relationships/theme" Target="theme/theme1.xml"/><Relationship Id="rId20" Type="http://schemas.openxmlformats.org/officeDocument/2006/relationships/hyperlink" Target="http://www.nevo.co.il/law/90721/12a.c.1" TargetMode="External"/><Relationship Id="rId41" Type="http://schemas.openxmlformats.org/officeDocument/2006/relationships/hyperlink" Target="http://www.nevo.co.il/law/70301/355" TargetMode="External"/><Relationship Id="rId54" Type="http://schemas.openxmlformats.org/officeDocument/2006/relationships/hyperlink" Target="http://www.nevo.co.il/case/30150632" TargetMode="External"/><Relationship Id="rId62"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4903" TargetMode="External"/><Relationship Id="rId23" Type="http://schemas.openxmlformats.org/officeDocument/2006/relationships/hyperlink" Target="http://www.nevo.co.il/law/90721/12b2.a" TargetMode="External"/><Relationship Id="rId28" Type="http://schemas.openxmlformats.org/officeDocument/2006/relationships/hyperlink" Target="http://www.nevo.co.il/law/90721/12e" TargetMode="External"/><Relationship Id="rId36" Type="http://schemas.openxmlformats.org/officeDocument/2006/relationships/hyperlink" Target="http://www.nevo.co.il/law/90721/12b3.a.2" TargetMode="External"/><Relationship Id="rId49" Type="http://schemas.openxmlformats.org/officeDocument/2006/relationships/hyperlink" Target="http://www.nevo.co.il/case/30733062" TargetMode="External"/><Relationship Id="rId57" Type="http://schemas.openxmlformats.org/officeDocument/2006/relationships/hyperlink" Target="http://www.nevo.co.il/case/32736832" TargetMode="External"/><Relationship Id="rId10" Type="http://schemas.openxmlformats.org/officeDocument/2006/relationships/hyperlink" Target="http://www.nevo.co.il/law/90721/12b2" TargetMode="External"/><Relationship Id="rId31" Type="http://schemas.openxmlformats.org/officeDocument/2006/relationships/hyperlink" Target="http://www.nevo.co.il/case/23129184" TargetMode="External"/><Relationship Id="rId44" Type="http://schemas.openxmlformats.org/officeDocument/2006/relationships/hyperlink" Target="http://www.nevo.co.il/case/25554428" TargetMode="External"/><Relationship Id="rId52" Type="http://schemas.openxmlformats.org/officeDocument/2006/relationships/hyperlink" Target="http://www.nevo.co.il/case/24881262" TargetMode="External"/><Relationship Id="rId60" Type="http://schemas.openxmlformats.org/officeDocument/2006/relationships/hyperlink" Target="http://www.nevo.co.il/law/90721/12b3.c" TargetMode="External"/><Relationship Id="rId65"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90721/12e" TargetMode="External"/><Relationship Id="rId13" Type="http://schemas.openxmlformats.org/officeDocument/2006/relationships/hyperlink" Target="http://www.nevo.co.il/law/90721/12b3.a.2" TargetMode="External"/><Relationship Id="rId18" Type="http://schemas.openxmlformats.org/officeDocument/2006/relationships/hyperlink" Target="http://www.nevo.co.il/law/70301/144g" TargetMode="External"/><Relationship Id="rId39" Type="http://schemas.openxmlformats.org/officeDocument/2006/relationships/hyperlink" Target="http://www.nevo.co.il/case/6032952"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3327</Words>
  <Characters>16638</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19926</CharactersWithSpaces>
  <SharedDoc>false</SharedDoc>
  <HLinks>
    <vt:vector size="330" baseType="variant">
      <vt:variant>
        <vt:i4>393283</vt:i4>
      </vt:variant>
      <vt:variant>
        <vt:i4>162</vt:i4>
      </vt:variant>
      <vt:variant>
        <vt:i4>0</vt:i4>
      </vt:variant>
      <vt:variant>
        <vt:i4>5</vt:i4>
      </vt:variant>
      <vt:variant>
        <vt:lpwstr>http://www.nevo.co.il/advertisements/nevo-100.doc</vt:lpwstr>
      </vt:variant>
      <vt:variant>
        <vt:lpwstr/>
      </vt:variant>
      <vt:variant>
        <vt:i4>3473442</vt:i4>
      </vt:variant>
      <vt:variant>
        <vt:i4>159</vt:i4>
      </vt:variant>
      <vt:variant>
        <vt:i4>0</vt:i4>
      </vt:variant>
      <vt:variant>
        <vt:i4>5</vt:i4>
      </vt:variant>
      <vt:variant>
        <vt:lpwstr>http://www.nevo.co.il/law/90721/12b3.c</vt:lpwstr>
      </vt:variant>
      <vt:variant>
        <vt:lpwstr/>
      </vt:variant>
      <vt:variant>
        <vt:i4>7864430</vt:i4>
      </vt:variant>
      <vt:variant>
        <vt:i4>156</vt:i4>
      </vt:variant>
      <vt:variant>
        <vt:i4>0</vt:i4>
      </vt:variant>
      <vt:variant>
        <vt:i4>5</vt:i4>
      </vt:variant>
      <vt:variant>
        <vt:lpwstr>http://www.nevo.co.il/law/90721</vt:lpwstr>
      </vt:variant>
      <vt:variant>
        <vt:lpwstr/>
      </vt:variant>
      <vt:variant>
        <vt:i4>3145841</vt:i4>
      </vt:variant>
      <vt:variant>
        <vt:i4>153</vt:i4>
      </vt:variant>
      <vt:variant>
        <vt:i4>0</vt:i4>
      </vt:variant>
      <vt:variant>
        <vt:i4>5</vt:i4>
      </vt:variant>
      <vt:variant>
        <vt:lpwstr>http://www.nevo.co.il/case/31973397</vt:lpwstr>
      </vt:variant>
      <vt:variant>
        <vt:lpwstr/>
      </vt:variant>
      <vt:variant>
        <vt:i4>3211389</vt:i4>
      </vt:variant>
      <vt:variant>
        <vt:i4>150</vt:i4>
      </vt:variant>
      <vt:variant>
        <vt:i4>0</vt:i4>
      </vt:variant>
      <vt:variant>
        <vt:i4>5</vt:i4>
      </vt:variant>
      <vt:variant>
        <vt:lpwstr>http://www.nevo.co.il/case/32736832</vt:lpwstr>
      </vt:variant>
      <vt:variant>
        <vt:lpwstr/>
      </vt:variant>
      <vt:variant>
        <vt:i4>3670134</vt:i4>
      </vt:variant>
      <vt:variant>
        <vt:i4>147</vt:i4>
      </vt:variant>
      <vt:variant>
        <vt:i4>0</vt:i4>
      </vt:variant>
      <vt:variant>
        <vt:i4>5</vt:i4>
      </vt:variant>
      <vt:variant>
        <vt:lpwstr>http://www.nevo.co.il/case/30359710</vt:lpwstr>
      </vt:variant>
      <vt:variant>
        <vt:lpwstr/>
      </vt:variant>
      <vt:variant>
        <vt:i4>3604600</vt:i4>
      </vt:variant>
      <vt:variant>
        <vt:i4>144</vt:i4>
      </vt:variant>
      <vt:variant>
        <vt:i4>0</vt:i4>
      </vt:variant>
      <vt:variant>
        <vt:i4>5</vt:i4>
      </vt:variant>
      <vt:variant>
        <vt:lpwstr>http://www.nevo.co.il/case/30151947</vt:lpwstr>
      </vt:variant>
      <vt:variant>
        <vt:lpwstr/>
      </vt:variant>
      <vt:variant>
        <vt:i4>3211383</vt:i4>
      </vt:variant>
      <vt:variant>
        <vt:i4>141</vt:i4>
      </vt:variant>
      <vt:variant>
        <vt:i4>0</vt:i4>
      </vt:variant>
      <vt:variant>
        <vt:i4>5</vt:i4>
      </vt:variant>
      <vt:variant>
        <vt:lpwstr>http://www.nevo.co.il/case/30150632</vt:lpwstr>
      </vt:variant>
      <vt:variant>
        <vt:lpwstr/>
      </vt:variant>
      <vt:variant>
        <vt:i4>3932275</vt:i4>
      </vt:variant>
      <vt:variant>
        <vt:i4>138</vt:i4>
      </vt:variant>
      <vt:variant>
        <vt:i4>0</vt:i4>
      </vt:variant>
      <vt:variant>
        <vt:i4>5</vt:i4>
      </vt:variant>
      <vt:variant>
        <vt:lpwstr>http://www.nevo.co.il/case/26538238</vt:lpwstr>
      </vt:variant>
      <vt:variant>
        <vt:lpwstr/>
      </vt:variant>
      <vt:variant>
        <vt:i4>3997818</vt:i4>
      </vt:variant>
      <vt:variant>
        <vt:i4>135</vt:i4>
      </vt:variant>
      <vt:variant>
        <vt:i4>0</vt:i4>
      </vt:variant>
      <vt:variant>
        <vt:i4>5</vt:i4>
      </vt:variant>
      <vt:variant>
        <vt:lpwstr>http://www.nevo.co.il/case/24881262</vt:lpwstr>
      </vt:variant>
      <vt:variant>
        <vt:lpwstr/>
      </vt:variant>
      <vt:variant>
        <vt:i4>3342452</vt:i4>
      </vt:variant>
      <vt:variant>
        <vt:i4>132</vt:i4>
      </vt:variant>
      <vt:variant>
        <vt:i4>0</vt:i4>
      </vt:variant>
      <vt:variant>
        <vt:i4>5</vt:i4>
      </vt:variant>
      <vt:variant>
        <vt:lpwstr>http://www.nevo.co.il/case/30121207</vt:lpwstr>
      </vt:variant>
      <vt:variant>
        <vt:lpwstr/>
      </vt:variant>
      <vt:variant>
        <vt:i4>3276927</vt:i4>
      </vt:variant>
      <vt:variant>
        <vt:i4>129</vt:i4>
      </vt:variant>
      <vt:variant>
        <vt:i4>0</vt:i4>
      </vt:variant>
      <vt:variant>
        <vt:i4>5</vt:i4>
      </vt:variant>
      <vt:variant>
        <vt:lpwstr>http://www.nevo.co.il/case/30184349</vt:lpwstr>
      </vt:variant>
      <vt:variant>
        <vt:lpwstr/>
      </vt:variant>
      <vt:variant>
        <vt:i4>3211383</vt:i4>
      </vt:variant>
      <vt:variant>
        <vt:i4>126</vt:i4>
      </vt:variant>
      <vt:variant>
        <vt:i4>0</vt:i4>
      </vt:variant>
      <vt:variant>
        <vt:i4>5</vt:i4>
      </vt:variant>
      <vt:variant>
        <vt:lpwstr>http://www.nevo.co.il/case/30733062</vt:lpwstr>
      </vt:variant>
      <vt:variant>
        <vt:lpwstr/>
      </vt:variant>
      <vt:variant>
        <vt:i4>3145848</vt:i4>
      </vt:variant>
      <vt:variant>
        <vt:i4>123</vt:i4>
      </vt:variant>
      <vt:variant>
        <vt:i4>0</vt:i4>
      </vt:variant>
      <vt:variant>
        <vt:i4>5</vt:i4>
      </vt:variant>
      <vt:variant>
        <vt:lpwstr>http://www.nevo.co.il/case/29342135</vt:lpwstr>
      </vt:variant>
      <vt:variant>
        <vt:lpwstr/>
      </vt:variant>
      <vt:variant>
        <vt:i4>3276914</vt:i4>
      </vt:variant>
      <vt:variant>
        <vt:i4>120</vt:i4>
      </vt:variant>
      <vt:variant>
        <vt:i4>0</vt:i4>
      </vt:variant>
      <vt:variant>
        <vt:i4>5</vt:i4>
      </vt:variant>
      <vt:variant>
        <vt:lpwstr>http://www.nevo.co.il/case/30334560</vt:lpwstr>
      </vt:variant>
      <vt:variant>
        <vt:lpwstr/>
      </vt:variant>
      <vt:variant>
        <vt:i4>3342457</vt:i4>
      </vt:variant>
      <vt:variant>
        <vt:i4>117</vt:i4>
      </vt:variant>
      <vt:variant>
        <vt:i4>0</vt:i4>
      </vt:variant>
      <vt:variant>
        <vt:i4>5</vt:i4>
      </vt:variant>
      <vt:variant>
        <vt:lpwstr>http://www.nevo.co.il/case/30542970</vt:lpwstr>
      </vt:variant>
      <vt:variant>
        <vt:lpwstr/>
      </vt:variant>
      <vt:variant>
        <vt:i4>3276916</vt:i4>
      </vt:variant>
      <vt:variant>
        <vt:i4>114</vt:i4>
      </vt:variant>
      <vt:variant>
        <vt:i4>0</vt:i4>
      </vt:variant>
      <vt:variant>
        <vt:i4>5</vt:i4>
      </vt:variant>
      <vt:variant>
        <vt:lpwstr>http://www.nevo.co.il/case/30793957</vt:lpwstr>
      </vt:variant>
      <vt:variant>
        <vt:lpwstr/>
      </vt:variant>
      <vt:variant>
        <vt:i4>3211376</vt:i4>
      </vt:variant>
      <vt:variant>
        <vt:i4>111</vt:i4>
      </vt:variant>
      <vt:variant>
        <vt:i4>0</vt:i4>
      </vt:variant>
      <vt:variant>
        <vt:i4>5</vt:i4>
      </vt:variant>
      <vt:variant>
        <vt:lpwstr>http://www.nevo.co.il/case/25554428</vt:lpwstr>
      </vt:variant>
      <vt:variant>
        <vt:lpwstr/>
      </vt:variant>
      <vt:variant>
        <vt:i4>393296</vt:i4>
      </vt:variant>
      <vt:variant>
        <vt:i4>108</vt:i4>
      </vt:variant>
      <vt:variant>
        <vt:i4>0</vt:i4>
      </vt:variant>
      <vt:variant>
        <vt:i4>5</vt:i4>
      </vt:variant>
      <vt:variant>
        <vt:lpwstr>http://www.nevo.co.il/law/70301/144g</vt:lpwstr>
      </vt:variant>
      <vt:variant>
        <vt:lpwstr/>
      </vt:variant>
      <vt:variant>
        <vt:i4>7995492</vt:i4>
      </vt:variant>
      <vt:variant>
        <vt:i4>105</vt:i4>
      </vt:variant>
      <vt:variant>
        <vt:i4>0</vt:i4>
      </vt:variant>
      <vt:variant>
        <vt:i4>5</vt:i4>
      </vt:variant>
      <vt:variant>
        <vt:lpwstr>http://www.nevo.co.il/law/70301</vt:lpwstr>
      </vt:variant>
      <vt:variant>
        <vt:lpwstr/>
      </vt:variant>
      <vt:variant>
        <vt:i4>6291558</vt:i4>
      </vt:variant>
      <vt:variant>
        <vt:i4>102</vt:i4>
      </vt:variant>
      <vt:variant>
        <vt:i4>0</vt:i4>
      </vt:variant>
      <vt:variant>
        <vt:i4>5</vt:i4>
      </vt:variant>
      <vt:variant>
        <vt:lpwstr>http://www.nevo.co.il/law/70301/355</vt:lpwstr>
      </vt:variant>
      <vt:variant>
        <vt:lpwstr/>
      </vt:variant>
      <vt:variant>
        <vt:i4>3342462</vt:i4>
      </vt:variant>
      <vt:variant>
        <vt:i4>99</vt:i4>
      </vt:variant>
      <vt:variant>
        <vt:i4>0</vt:i4>
      </vt:variant>
      <vt:variant>
        <vt:i4>5</vt:i4>
      </vt:variant>
      <vt:variant>
        <vt:lpwstr>http://www.nevo.co.il/case/5981628</vt:lpwstr>
      </vt:variant>
      <vt:variant>
        <vt:lpwstr/>
      </vt:variant>
      <vt:variant>
        <vt:i4>4063347</vt:i4>
      </vt:variant>
      <vt:variant>
        <vt:i4>96</vt:i4>
      </vt:variant>
      <vt:variant>
        <vt:i4>0</vt:i4>
      </vt:variant>
      <vt:variant>
        <vt:i4>5</vt:i4>
      </vt:variant>
      <vt:variant>
        <vt:lpwstr>http://www.nevo.co.il/case/6032952</vt:lpwstr>
      </vt:variant>
      <vt:variant>
        <vt:lpwstr/>
      </vt:variant>
      <vt:variant>
        <vt:i4>8257646</vt:i4>
      </vt:variant>
      <vt:variant>
        <vt:i4>93</vt:i4>
      </vt:variant>
      <vt:variant>
        <vt:i4>0</vt:i4>
      </vt:variant>
      <vt:variant>
        <vt:i4>5</vt:i4>
      </vt:variant>
      <vt:variant>
        <vt:lpwstr>http://www.nevo.co.il/law/74903</vt:lpwstr>
      </vt:variant>
      <vt:variant>
        <vt:lpwstr/>
      </vt:variant>
      <vt:variant>
        <vt:i4>6881388</vt:i4>
      </vt:variant>
      <vt:variant>
        <vt:i4>90</vt:i4>
      </vt:variant>
      <vt:variant>
        <vt:i4>0</vt:i4>
      </vt:variant>
      <vt:variant>
        <vt:i4>5</vt:i4>
      </vt:variant>
      <vt:variant>
        <vt:lpwstr>http://www.nevo.co.il/law/74903/186</vt:lpwstr>
      </vt:variant>
      <vt:variant>
        <vt:lpwstr/>
      </vt:variant>
      <vt:variant>
        <vt:i4>327692</vt:i4>
      </vt:variant>
      <vt:variant>
        <vt:i4>87</vt:i4>
      </vt:variant>
      <vt:variant>
        <vt:i4>0</vt:i4>
      </vt:variant>
      <vt:variant>
        <vt:i4>5</vt:i4>
      </vt:variant>
      <vt:variant>
        <vt:lpwstr>http://www.nevo.co.il/law/90721/12b3.a.2</vt:lpwstr>
      </vt:variant>
      <vt:variant>
        <vt:lpwstr/>
      </vt:variant>
      <vt:variant>
        <vt:i4>7864430</vt:i4>
      </vt:variant>
      <vt:variant>
        <vt:i4>84</vt:i4>
      </vt:variant>
      <vt:variant>
        <vt:i4>0</vt:i4>
      </vt:variant>
      <vt:variant>
        <vt:i4>5</vt:i4>
      </vt:variant>
      <vt:variant>
        <vt:lpwstr>http://www.nevo.co.il/law/90721</vt:lpwstr>
      </vt:variant>
      <vt:variant>
        <vt:lpwstr/>
      </vt:variant>
      <vt:variant>
        <vt:i4>6619244</vt:i4>
      </vt:variant>
      <vt:variant>
        <vt:i4>81</vt:i4>
      </vt:variant>
      <vt:variant>
        <vt:i4>0</vt:i4>
      </vt:variant>
      <vt:variant>
        <vt:i4>5</vt:i4>
      </vt:variant>
      <vt:variant>
        <vt:lpwstr>http://www.nevo.co.il/law/90721/12a.c.1</vt:lpwstr>
      </vt:variant>
      <vt:variant>
        <vt:lpwstr/>
      </vt:variant>
      <vt:variant>
        <vt:i4>3342452</vt:i4>
      </vt:variant>
      <vt:variant>
        <vt:i4>78</vt:i4>
      </vt:variant>
      <vt:variant>
        <vt:i4>0</vt:i4>
      </vt:variant>
      <vt:variant>
        <vt:i4>5</vt:i4>
      </vt:variant>
      <vt:variant>
        <vt:lpwstr>http://www.nevo.co.il/case/27234477</vt:lpwstr>
      </vt:variant>
      <vt:variant>
        <vt:lpwstr/>
      </vt:variant>
      <vt:variant>
        <vt:i4>3407997</vt:i4>
      </vt:variant>
      <vt:variant>
        <vt:i4>75</vt:i4>
      </vt:variant>
      <vt:variant>
        <vt:i4>0</vt:i4>
      </vt:variant>
      <vt:variant>
        <vt:i4>5</vt:i4>
      </vt:variant>
      <vt:variant>
        <vt:lpwstr>http://www.nevo.co.il/case/29445473</vt:lpwstr>
      </vt:variant>
      <vt:variant>
        <vt:lpwstr/>
      </vt:variant>
      <vt:variant>
        <vt:i4>3276916</vt:i4>
      </vt:variant>
      <vt:variant>
        <vt:i4>72</vt:i4>
      </vt:variant>
      <vt:variant>
        <vt:i4>0</vt:i4>
      </vt:variant>
      <vt:variant>
        <vt:i4>5</vt:i4>
      </vt:variant>
      <vt:variant>
        <vt:lpwstr>http://www.nevo.co.il/case/23129184</vt:lpwstr>
      </vt:variant>
      <vt:variant>
        <vt:lpwstr/>
      </vt:variant>
      <vt:variant>
        <vt:i4>6619246</vt:i4>
      </vt:variant>
      <vt:variant>
        <vt:i4>69</vt:i4>
      </vt:variant>
      <vt:variant>
        <vt:i4>0</vt:i4>
      </vt:variant>
      <vt:variant>
        <vt:i4>5</vt:i4>
      </vt:variant>
      <vt:variant>
        <vt:lpwstr>http://www.nevo.co.il/law/90721/12e</vt:lpwstr>
      </vt:variant>
      <vt:variant>
        <vt:lpwstr/>
      </vt:variant>
      <vt:variant>
        <vt:i4>3276916</vt:i4>
      </vt:variant>
      <vt:variant>
        <vt:i4>66</vt:i4>
      </vt:variant>
      <vt:variant>
        <vt:i4>0</vt:i4>
      </vt:variant>
      <vt:variant>
        <vt:i4>5</vt:i4>
      </vt:variant>
      <vt:variant>
        <vt:lpwstr>http://www.nevo.co.il/case/30793957</vt:lpwstr>
      </vt:variant>
      <vt:variant>
        <vt:lpwstr/>
      </vt:variant>
      <vt:variant>
        <vt:i4>6619246</vt:i4>
      </vt:variant>
      <vt:variant>
        <vt:i4>63</vt:i4>
      </vt:variant>
      <vt:variant>
        <vt:i4>0</vt:i4>
      </vt:variant>
      <vt:variant>
        <vt:i4>5</vt:i4>
      </vt:variant>
      <vt:variant>
        <vt:lpwstr>http://www.nevo.co.il/law/90721/12e</vt:lpwstr>
      </vt:variant>
      <vt:variant>
        <vt:lpwstr/>
      </vt:variant>
      <vt:variant>
        <vt:i4>5636108</vt:i4>
      </vt:variant>
      <vt:variant>
        <vt:i4>60</vt:i4>
      </vt:variant>
      <vt:variant>
        <vt:i4>0</vt:i4>
      </vt:variant>
      <vt:variant>
        <vt:i4>5</vt:i4>
      </vt:variant>
      <vt:variant>
        <vt:lpwstr>http://www.nevo.co.il/law/90721/12b3</vt:lpwstr>
      </vt:variant>
      <vt:variant>
        <vt:lpwstr/>
      </vt:variant>
      <vt:variant>
        <vt:i4>5701644</vt:i4>
      </vt:variant>
      <vt:variant>
        <vt:i4>57</vt:i4>
      </vt:variant>
      <vt:variant>
        <vt:i4>0</vt:i4>
      </vt:variant>
      <vt:variant>
        <vt:i4>5</vt:i4>
      </vt:variant>
      <vt:variant>
        <vt:lpwstr>http://www.nevo.co.il/law/90721/12b2</vt:lpwstr>
      </vt:variant>
      <vt:variant>
        <vt:lpwstr/>
      </vt:variant>
      <vt:variant>
        <vt:i4>7864430</vt:i4>
      </vt:variant>
      <vt:variant>
        <vt:i4>54</vt:i4>
      </vt:variant>
      <vt:variant>
        <vt:i4>0</vt:i4>
      </vt:variant>
      <vt:variant>
        <vt:i4>5</vt:i4>
      </vt:variant>
      <vt:variant>
        <vt:lpwstr>http://www.nevo.co.il/law/90721</vt:lpwstr>
      </vt:variant>
      <vt:variant>
        <vt:lpwstr/>
      </vt:variant>
      <vt:variant>
        <vt:i4>3276916</vt:i4>
      </vt:variant>
      <vt:variant>
        <vt:i4>51</vt:i4>
      </vt:variant>
      <vt:variant>
        <vt:i4>0</vt:i4>
      </vt:variant>
      <vt:variant>
        <vt:i4>5</vt:i4>
      </vt:variant>
      <vt:variant>
        <vt:lpwstr>http://www.nevo.co.il/case/20003034</vt:lpwstr>
      </vt:variant>
      <vt:variant>
        <vt:lpwstr/>
      </vt:variant>
      <vt:variant>
        <vt:i4>3538978</vt:i4>
      </vt:variant>
      <vt:variant>
        <vt:i4>48</vt:i4>
      </vt:variant>
      <vt:variant>
        <vt:i4>0</vt:i4>
      </vt:variant>
      <vt:variant>
        <vt:i4>5</vt:i4>
      </vt:variant>
      <vt:variant>
        <vt:lpwstr>http://www.nevo.co.il/law/90721/12b2.a</vt:lpwstr>
      </vt:variant>
      <vt:variant>
        <vt:lpwstr/>
      </vt:variant>
      <vt:variant>
        <vt:i4>327692</vt:i4>
      </vt:variant>
      <vt:variant>
        <vt:i4>45</vt:i4>
      </vt:variant>
      <vt:variant>
        <vt:i4>0</vt:i4>
      </vt:variant>
      <vt:variant>
        <vt:i4>5</vt:i4>
      </vt:variant>
      <vt:variant>
        <vt:lpwstr>http://www.nevo.co.il/law/90721/12b3.a.2</vt:lpwstr>
      </vt:variant>
      <vt:variant>
        <vt:lpwstr/>
      </vt:variant>
      <vt:variant>
        <vt:i4>7864430</vt:i4>
      </vt:variant>
      <vt:variant>
        <vt:i4>42</vt:i4>
      </vt:variant>
      <vt:variant>
        <vt:i4>0</vt:i4>
      </vt:variant>
      <vt:variant>
        <vt:i4>5</vt:i4>
      </vt:variant>
      <vt:variant>
        <vt:lpwstr>http://www.nevo.co.il/law/90721</vt:lpwstr>
      </vt:variant>
      <vt:variant>
        <vt:lpwstr/>
      </vt:variant>
      <vt:variant>
        <vt:i4>6619244</vt:i4>
      </vt:variant>
      <vt:variant>
        <vt:i4>39</vt:i4>
      </vt:variant>
      <vt:variant>
        <vt:i4>0</vt:i4>
      </vt:variant>
      <vt:variant>
        <vt:i4>5</vt:i4>
      </vt:variant>
      <vt:variant>
        <vt:lpwstr>http://www.nevo.co.il/law/90721/12a.c.1</vt:lpwstr>
      </vt:variant>
      <vt:variant>
        <vt:lpwstr/>
      </vt:variant>
      <vt:variant>
        <vt:i4>6291558</vt:i4>
      </vt:variant>
      <vt:variant>
        <vt:i4>36</vt:i4>
      </vt:variant>
      <vt:variant>
        <vt:i4>0</vt:i4>
      </vt:variant>
      <vt:variant>
        <vt:i4>5</vt:i4>
      </vt:variant>
      <vt:variant>
        <vt:lpwstr>http://www.nevo.co.il/law/70301/355</vt:lpwstr>
      </vt:variant>
      <vt:variant>
        <vt:lpwstr/>
      </vt:variant>
      <vt:variant>
        <vt:i4>393296</vt:i4>
      </vt:variant>
      <vt:variant>
        <vt:i4>33</vt:i4>
      </vt:variant>
      <vt:variant>
        <vt:i4>0</vt:i4>
      </vt:variant>
      <vt:variant>
        <vt:i4>5</vt:i4>
      </vt:variant>
      <vt:variant>
        <vt:lpwstr>http://www.nevo.co.il/law/70301/144g</vt:lpwstr>
      </vt:variant>
      <vt:variant>
        <vt:lpwstr/>
      </vt:variant>
      <vt:variant>
        <vt:i4>7995492</vt:i4>
      </vt:variant>
      <vt:variant>
        <vt:i4>30</vt:i4>
      </vt:variant>
      <vt:variant>
        <vt:i4>0</vt:i4>
      </vt:variant>
      <vt:variant>
        <vt:i4>5</vt:i4>
      </vt:variant>
      <vt:variant>
        <vt:lpwstr>http://www.nevo.co.il/law/70301</vt:lpwstr>
      </vt:variant>
      <vt:variant>
        <vt:lpwstr/>
      </vt:variant>
      <vt:variant>
        <vt:i4>6881388</vt:i4>
      </vt:variant>
      <vt:variant>
        <vt:i4>27</vt:i4>
      </vt:variant>
      <vt:variant>
        <vt:i4>0</vt:i4>
      </vt:variant>
      <vt:variant>
        <vt:i4>5</vt:i4>
      </vt:variant>
      <vt:variant>
        <vt:lpwstr>http://www.nevo.co.il/law/74903/186</vt:lpwstr>
      </vt:variant>
      <vt:variant>
        <vt:lpwstr/>
      </vt:variant>
      <vt:variant>
        <vt:i4>8257646</vt:i4>
      </vt:variant>
      <vt:variant>
        <vt:i4>24</vt:i4>
      </vt:variant>
      <vt:variant>
        <vt:i4>0</vt:i4>
      </vt:variant>
      <vt:variant>
        <vt:i4>5</vt:i4>
      </vt:variant>
      <vt:variant>
        <vt:lpwstr>http://www.nevo.co.il/law/74903</vt:lpwstr>
      </vt:variant>
      <vt:variant>
        <vt:lpwstr/>
      </vt:variant>
      <vt:variant>
        <vt:i4>3473442</vt:i4>
      </vt:variant>
      <vt:variant>
        <vt:i4>21</vt:i4>
      </vt:variant>
      <vt:variant>
        <vt:i4>0</vt:i4>
      </vt:variant>
      <vt:variant>
        <vt:i4>5</vt:i4>
      </vt:variant>
      <vt:variant>
        <vt:lpwstr>http://www.nevo.co.il/law/90721/12b3.c</vt:lpwstr>
      </vt:variant>
      <vt:variant>
        <vt:lpwstr/>
      </vt:variant>
      <vt:variant>
        <vt:i4>327692</vt:i4>
      </vt:variant>
      <vt:variant>
        <vt:i4>18</vt:i4>
      </vt:variant>
      <vt:variant>
        <vt:i4>0</vt:i4>
      </vt:variant>
      <vt:variant>
        <vt:i4>5</vt:i4>
      </vt:variant>
      <vt:variant>
        <vt:lpwstr>http://www.nevo.co.il/law/90721/12b3.a.2</vt:lpwstr>
      </vt:variant>
      <vt:variant>
        <vt:lpwstr/>
      </vt:variant>
      <vt:variant>
        <vt:i4>5636108</vt:i4>
      </vt:variant>
      <vt:variant>
        <vt:i4>15</vt:i4>
      </vt:variant>
      <vt:variant>
        <vt:i4>0</vt:i4>
      </vt:variant>
      <vt:variant>
        <vt:i4>5</vt:i4>
      </vt:variant>
      <vt:variant>
        <vt:lpwstr>http://www.nevo.co.il/law/90721/12b3</vt:lpwstr>
      </vt:variant>
      <vt:variant>
        <vt:lpwstr/>
      </vt:variant>
      <vt:variant>
        <vt:i4>3538978</vt:i4>
      </vt:variant>
      <vt:variant>
        <vt:i4>12</vt:i4>
      </vt:variant>
      <vt:variant>
        <vt:i4>0</vt:i4>
      </vt:variant>
      <vt:variant>
        <vt:i4>5</vt:i4>
      </vt:variant>
      <vt:variant>
        <vt:lpwstr>http://www.nevo.co.il/law/90721/12b2.a</vt:lpwstr>
      </vt:variant>
      <vt:variant>
        <vt:lpwstr/>
      </vt:variant>
      <vt:variant>
        <vt:i4>5701644</vt:i4>
      </vt:variant>
      <vt:variant>
        <vt:i4>9</vt:i4>
      </vt:variant>
      <vt:variant>
        <vt:i4>0</vt:i4>
      </vt:variant>
      <vt:variant>
        <vt:i4>5</vt:i4>
      </vt:variant>
      <vt:variant>
        <vt:lpwstr>http://www.nevo.co.il/law/90721/12b2</vt:lpwstr>
      </vt:variant>
      <vt:variant>
        <vt:lpwstr/>
      </vt:variant>
      <vt:variant>
        <vt:i4>6619246</vt:i4>
      </vt:variant>
      <vt:variant>
        <vt:i4>6</vt:i4>
      </vt:variant>
      <vt:variant>
        <vt:i4>0</vt:i4>
      </vt:variant>
      <vt:variant>
        <vt:i4>5</vt:i4>
      </vt:variant>
      <vt:variant>
        <vt:lpwstr>http://www.nevo.co.il/law/90721/12e</vt:lpwstr>
      </vt:variant>
      <vt:variant>
        <vt:lpwstr/>
      </vt:variant>
      <vt:variant>
        <vt:i4>6619244</vt:i4>
      </vt:variant>
      <vt:variant>
        <vt:i4>3</vt:i4>
      </vt:variant>
      <vt:variant>
        <vt:i4>0</vt:i4>
      </vt:variant>
      <vt:variant>
        <vt:i4>5</vt:i4>
      </vt:variant>
      <vt:variant>
        <vt:lpwstr>http://www.nevo.co.il/law/90721/12a.c.1</vt:lpwstr>
      </vt:variant>
      <vt:variant>
        <vt:lpwstr/>
      </vt:variant>
      <vt:variant>
        <vt:i4>7864430</vt:i4>
      </vt:variant>
      <vt:variant>
        <vt:i4>0</vt:i4>
      </vt:variant>
      <vt:variant>
        <vt:i4>0</vt:i4>
      </vt:variant>
      <vt:variant>
        <vt:i4>5</vt:i4>
      </vt:variant>
      <vt:variant>
        <vt:lpwstr>http://www.nevo.co.il/law/90721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2025-02-28T15:36:00Z</dcterms:created>
  <dcterms:modified xsi:type="dcterms:W3CDTF">2025-02-28T15:36:00Z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45761</vt:lpwstr>
  </property>
  <property fmtid="{D5CDD505-2E9C-101B-9397-08002B2CF9AE}" pid="6" name="NEWPARTB">
    <vt:lpwstr>05</vt:lpwstr>
  </property>
  <property fmtid="{D5CDD505-2E9C-101B-9397-08002B2CF9AE}" pid="7" name="NEWPARTC">
    <vt:lpwstr>24</vt:lpwstr>
  </property>
  <property fmtid="{D5CDD505-2E9C-101B-9397-08002B2CF9AE}" pid="8" name="APPELLANT">
    <vt:lpwstr>מדינת ישראל</vt:lpwstr>
  </property>
  <property fmtid="{D5CDD505-2E9C-101B-9397-08002B2CF9AE}" pid="9" name="APPELLEE">
    <vt:lpwstr>אחמד יוספין</vt:lpwstr>
  </property>
  <property fmtid="{D5CDD505-2E9C-101B-9397-08002B2CF9AE}" pid="10" name="JUDGE">
    <vt:lpwstr>יוסי טורס</vt:lpwstr>
  </property>
  <property fmtid="{D5CDD505-2E9C-101B-9397-08002B2CF9AE}" pid="11" name="CITY">
    <vt:lpwstr>קריות</vt:lpwstr>
  </property>
  <property fmtid="{D5CDD505-2E9C-101B-9397-08002B2CF9AE}" pid="12" name="DATE">
    <vt:lpwstr>20250114</vt:lpwstr>
  </property>
  <property fmtid="{D5CDD505-2E9C-101B-9397-08002B2CF9AE}" pid="13" name="TYPE_N_DATE">
    <vt:lpwstr>38020250114</vt:lpwstr>
  </property>
  <property fmtid="{D5CDD505-2E9C-101B-9397-08002B2CF9AE}" pid="14" name="WORDNUMPAGES">
    <vt:lpwstr>9</vt:lpwstr>
  </property>
  <property fmtid="{D5CDD505-2E9C-101B-9397-08002B2CF9AE}" pid="15" name="TYPE_ABS_DATE">
    <vt:lpwstr>380120250114</vt:lpwstr>
  </property>
  <property fmtid="{D5CDD505-2E9C-101B-9397-08002B2CF9AE}" pid="16" name="ISABSTRACT">
    <vt:lpwstr>Y</vt:lpwstr>
  </property>
  <property fmtid="{D5CDD505-2E9C-101B-9397-08002B2CF9AE}" pid="17" name="CASESLISTTMP1">
    <vt:lpwstr>20003034;30793957:2;23129184;29445473;27234477;6032952;5981628;25554428;30542970;30334560;29342135;30733062;30184349;30121207;24881262;26538238;30150632;30151947;30359710;32736832;31973397</vt:lpwstr>
  </property>
  <property fmtid="{D5CDD505-2E9C-101B-9397-08002B2CF9AE}" pid="18" name="LAWLISTTMP1">
    <vt:lpwstr>90721/012a.c.1:2;12b3.a.2:2;12b2.a;12b2;12b3;012e:2;12b3.c</vt:lpwstr>
  </property>
  <property fmtid="{D5CDD505-2E9C-101B-9397-08002B2CF9AE}" pid="19" name="LAWLISTTMP2">
    <vt:lpwstr>74903/186</vt:lpwstr>
  </property>
  <property fmtid="{D5CDD505-2E9C-101B-9397-08002B2CF9AE}" pid="20" name="LAWLISTTMP3">
    <vt:lpwstr>70301/355;144g</vt:lpwstr>
  </property>
  <property fmtid="{D5CDD505-2E9C-101B-9397-08002B2CF9AE}" pid="21" name="NOSE1ID">
    <vt:lpwstr>77;77</vt:lpwstr>
  </property>
  <property fmtid="{D5CDD505-2E9C-101B-9397-08002B2CF9AE}" pid="22" name="NOSE2ID">
    <vt:lpwstr>1446;1446</vt:lpwstr>
  </property>
  <property fmtid="{D5CDD505-2E9C-101B-9397-08002B2CF9AE}" pid="23" name="NOSE3ID">
    <vt:lpwstr>18005;18006</vt:lpwstr>
  </property>
  <property fmtid="{D5CDD505-2E9C-101B-9397-08002B2CF9AE}" pid="24" name="NOSE11">
    <vt:lpwstr>עונשין</vt:lpwstr>
  </property>
  <property fmtid="{D5CDD505-2E9C-101B-9397-08002B2CF9AE}" pid="25" name="NOSE21">
    <vt:lpwstr>ענישה</vt:lpwstr>
  </property>
  <property fmtid="{D5CDD505-2E9C-101B-9397-08002B2CF9AE}" pid="26" name="NOSE31">
    <vt:lpwstr>מדיניות ענישה: הסעת תושב זר שלא כדין</vt:lpwstr>
  </property>
  <property fmtid="{D5CDD505-2E9C-101B-9397-08002B2CF9AE}" pid="27" name="NOSE12">
    <vt:lpwstr>עונשין</vt:lpwstr>
  </property>
  <property fmtid="{D5CDD505-2E9C-101B-9397-08002B2CF9AE}" pid="28" name="NOSE22">
    <vt:lpwstr>ענישה</vt:lpwstr>
  </property>
  <property fmtid="{D5CDD505-2E9C-101B-9397-08002B2CF9AE}" pid="29" name="NOSE32">
    <vt:lpwstr>מדיניות ענישה: העסקת תושב זר שלא כדין</vt:lpwstr>
  </property>
  <property fmtid="{D5CDD505-2E9C-101B-9397-08002B2CF9AE}" pid="30" name="NOSE13">
    <vt:lpwstr/>
  </property>
  <property fmtid="{D5CDD505-2E9C-101B-9397-08002B2CF9AE}" pid="31" name="NOSE23">
    <vt:lpwstr/>
  </property>
  <property fmtid="{D5CDD505-2E9C-101B-9397-08002B2CF9AE}" pid="32" name="NOSE33">
    <vt:lpwstr/>
  </property>
  <property fmtid="{D5CDD505-2E9C-101B-9397-08002B2CF9AE}" pid="33" name="NOSE14">
    <vt:lpwstr/>
  </property>
  <property fmtid="{D5CDD505-2E9C-101B-9397-08002B2CF9AE}" pid="34" name="NOSE24">
    <vt:lpwstr/>
  </property>
  <property fmtid="{D5CDD505-2E9C-101B-9397-08002B2CF9AE}" pid="35" name="NOSE34">
    <vt:lpwstr/>
  </property>
  <property fmtid="{D5CDD505-2E9C-101B-9397-08002B2CF9AE}" pid="36" name="NOSE15">
    <vt:lpwstr/>
  </property>
  <property fmtid="{D5CDD505-2E9C-101B-9397-08002B2CF9AE}" pid="37" name="NOSE25">
    <vt:lpwstr/>
  </property>
  <property fmtid="{D5CDD505-2E9C-101B-9397-08002B2CF9AE}" pid="38" name="NOSE35">
    <vt:lpwstr/>
  </property>
  <property fmtid="{D5CDD505-2E9C-101B-9397-08002B2CF9AE}" pid="39" name="NOSE16">
    <vt:lpwstr/>
  </property>
  <property fmtid="{D5CDD505-2E9C-101B-9397-08002B2CF9AE}" pid="40" name="NOSE26">
    <vt:lpwstr/>
  </property>
  <property fmtid="{D5CDD505-2E9C-101B-9397-08002B2CF9AE}" pid="41" name="NOSE36">
    <vt:lpwstr/>
  </property>
  <property fmtid="{D5CDD505-2E9C-101B-9397-08002B2CF9AE}" pid="42" name="NOSE17">
    <vt:lpwstr/>
  </property>
  <property fmtid="{D5CDD505-2E9C-101B-9397-08002B2CF9AE}" pid="43" name="NOSE27">
    <vt:lpwstr/>
  </property>
  <property fmtid="{D5CDD505-2E9C-101B-9397-08002B2CF9AE}" pid="44" name="NOSE37">
    <vt:lpwstr/>
  </property>
  <property fmtid="{D5CDD505-2E9C-101B-9397-08002B2CF9AE}" pid="45" name="NOSE18">
    <vt:lpwstr/>
  </property>
  <property fmtid="{D5CDD505-2E9C-101B-9397-08002B2CF9AE}" pid="46" name="NOSE28">
    <vt:lpwstr/>
  </property>
  <property fmtid="{D5CDD505-2E9C-101B-9397-08002B2CF9AE}" pid="47" name="NOSE38">
    <vt:lpwstr/>
  </property>
  <property fmtid="{D5CDD505-2E9C-101B-9397-08002B2CF9AE}" pid="48" name="NOSE19">
    <vt:lpwstr/>
  </property>
  <property fmtid="{D5CDD505-2E9C-101B-9397-08002B2CF9AE}" pid="49" name="NOSE29">
    <vt:lpwstr/>
  </property>
  <property fmtid="{D5CDD505-2E9C-101B-9397-08002B2CF9AE}" pid="50" name="NOSE39">
    <vt:lpwstr/>
  </property>
  <property fmtid="{D5CDD505-2E9C-101B-9397-08002B2CF9AE}" pid="51" name="NOSE110">
    <vt:lpwstr/>
  </property>
  <property fmtid="{D5CDD505-2E9C-101B-9397-08002B2CF9AE}" pid="52" name="NOSE210">
    <vt:lpwstr/>
  </property>
  <property fmtid="{D5CDD505-2E9C-101B-9397-08002B2CF9AE}" pid="53" name="NOSE310">
    <vt:lpwstr/>
  </property>
  <property fmtid="{D5CDD505-2E9C-101B-9397-08002B2CF9AE}" pid="54" name="PADIMAIL">
    <vt:lpwstr>YES</vt:lpwstr>
  </property>
  <property fmtid="{D5CDD505-2E9C-101B-9397-08002B2CF9AE}" pid="55" name="PADIDATE">
    <vt:lpwstr>20250121</vt:lpwstr>
  </property>
  <property fmtid="{D5CDD505-2E9C-101B-9397-08002B2CF9AE}" pid="56" name="METAKZER">
    <vt:lpwstr>שירי</vt:lpwstr>
  </property>
</Properties>
</file>