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14F3B" w:rsidRPr="0085738F" w14:paraId="75CD5707" w14:textId="77777777" w:rsidTr="00B67798">
        <w:trPr>
          <w:trHeight w:hRule="exact" w:val="418"/>
          <w:jc w:val="center"/>
        </w:trPr>
        <w:tc>
          <w:tcPr>
            <w:tcW w:w="8721" w:type="dxa"/>
            <w:gridSpan w:val="2"/>
          </w:tcPr>
          <w:p w14:paraId="1E60774C" w14:textId="77777777" w:rsidR="00914F3B" w:rsidRPr="0085738F" w:rsidRDefault="00914F3B" w:rsidP="00D71286">
            <w:pPr>
              <w:pStyle w:val="a3"/>
              <w:jc w:val="center"/>
              <w:rPr>
                <w:rFonts w:ascii="Tahoma" w:hAnsi="Tahoma" w:cs="Tahoma"/>
                <w:color w:val="000080"/>
                <w:rtl/>
              </w:rPr>
            </w:pPr>
            <w:bookmarkStart w:id="0" w:name="LastJudge"/>
            <w:r w:rsidRPr="0085738F">
              <w:rPr>
                <w:rFonts w:ascii="Tahoma" w:hAnsi="Tahoma" w:cs="Tahoma"/>
                <w:b/>
                <w:bCs/>
                <w:color w:val="000080"/>
                <w:rtl/>
              </w:rPr>
              <w:t>בית משפט השלום בירושלים</w:t>
            </w:r>
          </w:p>
        </w:tc>
      </w:tr>
      <w:tr w:rsidR="00914F3B" w:rsidRPr="0085738F" w14:paraId="7C32B302" w14:textId="77777777" w:rsidTr="00B67798">
        <w:trPr>
          <w:trHeight w:val="337"/>
          <w:jc w:val="center"/>
        </w:trPr>
        <w:tc>
          <w:tcPr>
            <w:tcW w:w="5058" w:type="dxa"/>
          </w:tcPr>
          <w:p w14:paraId="61909F20" w14:textId="77777777" w:rsidR="00914F3B" w:rsidRPr="0085738F" w:rsidRDefault="00914F3B" w:rsidP="00D71286">
            <w:pPr>
              <w:rPr>
                <w:rFonts w:cs="FrankRuehl"/>
                <w:sz w:val="28"/>
                <w:szCs w:val="28"/>
                <w:rtl/>
              </w:rPr>
            </w:pPr>
            <w:r w:rsidRPr="0085738F">
              <w:rPr>
                <w:rFonts w:cs="FrankRuehl"/>
                <w:sz w:val="28"/>
                <w:szCs w:val="28"/>
                <w:rtl/>
              </w:rPr>
              <w:t>ת"פ</w:t>
            </w:r>
            <w:r w:rsidRPr="0085738F">
              <w:rPr>
                <w:rFonts w:cs="FrankRuehl" w:hint="cs"/>
                <w:sz w:val="28"/>
                <w:szCs w:val="28"/>
                <w:rtl/>
              </w:rPr>
              <w:t xml:space="preserve"> </w:t>
            </w:r>
            <w:r w:rsidRPr="0085738F">
              <w:rPr>
                <w:rFonts w:cs="FrankRuehl"/>
                <w:sz w:val="28"/>
                <w:szCs w:val="28"/>
                <w:rtl/>
              </w:rPr>
              <w:t>65090-05-24</w:t>
            </w:r>
            <w:r w:rsidRPr="0085738F">
              <w:rPr>
                <w:rFonts w:cs="FrankRuehl" w:hint="cs"/>
                <w:sz w:val="28"/>
                <w:szCs w:val="28"/>
                <w:rtl/>
              </w:rPr>
              <w:t xml:space="preserve"> </w:t>
            </w:r>
            <w:r w:rsidRPr="0085738F">
              <w:rPr>
                <w:rFonts w:cs="FrankRuehl"/>
                <w:sz w:val="28"/>
                <w:szCs w:val="28"/>
                <w:rtl/>
              </w:rPr>
              <w:t>מדינת ישראל נ' טוויל(עציר)</w:t>
            </w:r>
          </w:p>
          <w:p w14:paraId="04358AEF" w14:textId="77777777" w:rsidR="00914F3B" w:rsidRPr="0085738F" w:rsidRDefault="00914F3B" w:rsidP="00D71286">
            <w:pPr>
              <w:pStyle w:val="a3"/>
              <w:rPr>
                <w:rFonts w:cs="FrankRuehl"/>
                <w:sz w:val="28"/>
                <w:szCs w:val="28"/>
                <w:rtl/>
              </w:rPr>
            </w:pPr>
          </w:p>
        </w:tc>
        <w:tc>
          <w:tcPr>
            <w:tcW w:w="3663" w:type="dxa"/>
          </w:tcPr>
          <w:p w14:paraId="151FB36A" w14:textId="77777777" w:rsidR="00914F3B" w:rsidRPr="0085738F" w:rsidRDefault="00914F3B" w:rsidP="00D71286">
            <w:pPr>
              <w:pStyle w:val="a3"/>
              <w:jc w:val="right"/>
              <w:rPr>
                <w:rFonts w:cs="FrankRuehl"/>
                <w:sz w:val="28"/>
                <w:szCs w:val="28"/>
                <w:rtl/>
              </w:rPr>
            </w:pPr>
          </w:p>
        </w:tc>
      </w:tr>
    </w:tbl>
    <w:p w14:paraId="400A5B32" w14:textId="77777777" w:rsidR="00914F3B" w:rsidRPr="0085738F" w:rsidRDefault="00914F3B" w:rsidP="00914F3B">
      <w:pPr>
        <w:pStyle w:val="a3"/>
        <w:rPr>
          <w:rtl/>
        </w:rPr>
      </w:pPr>
      <w:r w:rsidRPr="0085738F">
        <w:rPr>
          <w:rFonts w:hint="cs"/>
          <w:rtl/>
        </w:rPr>
        <w:t xml:space="preserve"> </w:t>
      </w:r>
    </w:p>
    <w:p w14:paraId="68597696" w14:textId="77777777" w:rsidR="00914F3B" w:rsidRPr="0085738F" w:rsidRDefault="00914F3B" w:rsidP="00914F3B">
      <w:pPr>
        <w:rPr>
          <w:rtl/>
        </w:rPr>
      </w:pPr>
    </w:p>
    <w:p w14:paraId="4B274823" w14:textId="77777777" w:rsidR="00914F3B" w:rsidRPr="0085738F" w:rsidRDefault="00914F3B" w:rsidP="00914F3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14F3B" w:rsidRPr="0085738F" w14:paraId="50A00778" w14:textId="77777777" w:rsidTr="00914F3B">
        <w:trPr>
          <w:trHeight w:val="295"/>
          <w:jc w:val="center"/>
        </w:trPr>
        <w:tc>
          <w:tcPr>
            <w:tcW w:w="923" w:type="dxa"/>
            <w:tcBorders>
              <w:top w:val="nil"/>
              <w:left w:val="nil"/>
              <w:bottom w:val="nil"/>
              <w:right w:val="nil"/>
            </w:tcBorders>
            <w:shd w:val="clear" w:color="auto" w:fill="auto"/>
          </w:tcPr>
          <w:p w14:paraId="3D0732EB" w14:textId="77777777" w:rsidR="00914F3B" w:rsidRPr="0085738F" w:rsidRDefault="00914F3B" w:rsidP="00914F3B">
            <w:pPr>
              <w:jc w:val="both"/>
              <w:rPr>
                <w:rFonts w:ascii="David" w:hAnsi="David"/>
                <w:sz w:val="26"/>
                <w:szCs w:val="26"/>
              </w:rPr>
            </w:pPr>
            <w:r w:rsidRPr="0085738F">
              <w:rPr>
                <w:rFonts w:ascii="David" w:hAnsi="David" w:hint="cs"/>
                <w:sz w:val="26"/>
                <w:szCs w:val="26"/>
                <w:rtl/>
              </w:rPr>
              <w:t>ל</w:t>
            </w:r>
            <w:r w:rsidRPr="0085738F">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83930CB" w14:textId="77777777" w:rsidR="00914F3B" w:rsidRPr="0085738F" w:rsidRDefault="00914F3B" w:rsidP="00D71286">
            <w:pPr>
              <w:rPr>
                <w:rFonts w:ascii="David" w:hAnsi="David"/>
                <w:b/>
                <w:bCs/>
                <w:sz w:val="26"/>
                <w:szCs w:val="26"/>
                <w:rtl/>
              </w:rPr>
            </w:pPr>
            <w:r w:rsidRPr="0085738F">
              <w:rPr>
                <w:rFonts w:ascii="David" w:hAnsi="David"/>
                <w:b/>
                <w:bCs/>
                <w:sz w:val="26"/>
                <w:szCs w:val="26"/>
                <w:rtl/>
              </w:rPr>
              <w:t xml:space="preserve">כבוד סגן </w:t>
            </w:r>
            <w:r w:rsidRPr="0085738F">
              <w:rPr>
                <w:rFonts w:ascii="David" w:hAnsi="David" w:hint="cs"/>
                <w:b/>
                <w:bCs/>
                <w:sz w:val="26"/>
                <w:szCs w:val="26"/>
                <w:rtl/>
              </w:rPr>
              <w:t>ה</w:t>
            </w:r>
            <w:r w:rsidRPr="0085738F">
              <w:rPr>
                <w:rFonts w:ascii="David" w:hAnsi="David"/>
                <w:b/>
                <w:bCs/>
                <w:sz w:val="26"/>
                <w:szCs w:val="26"/>
                <w:rtl/>
              </w:rPr>
              <w:t>נשיא  ירון מינטקביץ</w:t>
            </w:r>
          </w:p>
          <w:p w14:paraId="2511CA44" w14:textId="77777777" w:rsidR="00914F3B" w:rsidRPr="0085738F" w:rsidRDefault="00914F3B" w:rsidP="00D71286">
            <w:pPr>
              <w:rPr>
                <w:rFonts w:ascii="David" w:hAnsi="David"/>
                <w:sz w:val="26"/>
                <w:szCs w:val="26"/>
                <w:rtl/>
              </w:rPr>
            </w:pPr>
          </w:p>
          <w:p w14:paraId="36896979" w14:textId="77777777" w:rsidR="00914F3B" w:rsidRPr="0085738F" w:rsidRDefault="00914F3B" w:rsidP="00914F3B">
            <w:pPr>
              <w:jc w:val="both"/>
              <w:rPr>
                <w:rFonts w:ascii="David" w:hAnsi="David"/>
                <w:sz w:val="26"/>
                <w:szCs w:val="26"/>
              </w:rPr>
            </w:pPr>
          </w:p>
        </w:tc>
      </w:tr>
      <w:tr w:rsidR="00914F3B" w:rsidRPr="0085738F" w14:paraId="3EB247F6" w14:textId="77777777" w:rsidTr="00914F3B">
        <w:trPr>
          <w:trHeight w:val="355"/>
          <w:jc w:val="center"/>
        </w:trPr>
        <w:tc>
          <w:tcPr>
            <w:tcW w:w="923" w:type="dxa"/>
            <w:tcBorders>
              <w:top w:val="nil"/>
              <w:left w:val="nil"/>
              <w:bottom w:val="nil"/>
              <w:right w:val="nil"/>
            </w:tcBorders>
            <w:shd w:val="clear" w:color="auto" w:fill="auto"/>
          </w:tcPr>
          <w:p w14:paraId="264B6F7F" w14:textId="77777777" w:rsidR="00914F3B" w:rsidRPr="0085738F" w:rsidRDefault="00914F3B" w:rsidP="00914F3B">
            <w:pPr>
              <w:spacing w:after="120"/>
              <w:jc w:val="both"/>
              <w:rPr>
                <w:rFonts w:ascii="David" w:hAnsi="David"/>
                <w:sz w:val="26"/>
                <w:szCs w:val="26"/>
              </w:rPr>
            </w:pPr>
            <w:bookmarkStart w:id="1" w:name="FirstAppellant"/>
            <w:bookmarkStart w:id="2" w:name="FirstLawyer"/>
            <w:r w:rsidRPr="0085738F">
              <w:rPr>
                <w:rFonts w:ascii="David" w:hAnsi="David"/>
                <w:sz w:val="26"/>
                <w:szCs w:val="26"/>
                <w:rtl/>
              </w:rPr>
              <w:t>בעניין:</w:t>
            </w:r>
          </w:p>
        </w:tc>
        <w:tc>
          <w:tcPr>
            <w:tcW w:w="3219" w:type="dxa"/>
            <w:tcBorders>
              <w:top w:val="nil"/>
              <w:left w:val="nil"/>
              <w:bottom w:val="nil"/>
              <w:right w:val="nil"/>
            </w:tcBorders>
            <w:shd w:val="clear" w:color="auto" w:fill="auto"/>
          </w:tcPr>
          <w:p w14:paraId="37011A01" w14:textId="77777777" w:rsidR="00914F3B" w:rsidRPr="0085738F" w:rsidRDefault="00914F3B" w:rsidP="00914F3B">
            <w:pPr>
              <w:suppressLineNumbers/>
              <w:spacing w:after="120"/>
            </w:pPr>
            <w:r w:rsidRPr="0085738F">
              <w:rPr>
                <w:rFonts w:ascii="Arial" w:hAnsi="Arial" w:hint="cs"/>
                <w:b/>
                <w:bCs/>
                <w:sz w:val="26"/>
                <w:szCs w:val="26"/>
                <w:rtl/>
              </w:rPr>
              <w:t>ה</w:t>
            </w:r>
            <w:r w:rsidRPr="0085738F">
              <w:rPr>
                <w:rFonts w:ascii="Arial" w:hAnsi="Arial"/>
                <w:b/>
                <w:bCs/>
                <w:sz w:val="26"/>
                <w:szCs w:val="26"/>
                <w:rtl/>
              </w:rPr>
              <w:t>מאשימה</w:t>
            </w:r>
          </w:p>
          <w:p w14:paraId="404F5B0D" w14:textId="77777777" w:rsidR="00914F3B" w:rsidRPr="0085738F" w:rsidRDefault="00914F3B" w:rsidP="00914F3B">
            <w:pPr>
              <w:spacing w:after="120"/>
              <w:rPr>
                <w:rFonts w:ascii="David" w:hAnsi="David"/>
                <w:sz w:val="26"/>
                <w:szCs w:val="26"/>
              </w:rPr>
            </w:pPr>
          </w:p>
        </w:tc>
        <w:tc>
          <w:tcPr>
            <w:tcW w:w="4678" w:type="dxa"/>
            <w:tcBorders>
              <w:top w:val="nil"/>
              <w:left w:val="nil"/>
              <w:bottom w:val="nil"/>
              <w:right w:val="nil"/>
            </w:tcBorders>
            <w:shd w:val="clear" w:color="auto" w:fill="auto"/>
            <w:vAlign w:val="center"/>
          </w:tcPr>
          <w:p w14:paraId="3F64CE86" w14:textId="77777777" w:rsidR="00914F3B" w:rsidRPr="0085738F" w:rsidRDefault="00914F3B" w:rsidP="00914F3B">
            <w:pPr>
              <w:suppressLineNumbers/>
              <w:spacing w:after="120"/>
              <w:rPr>
                <w:rFonts w:ascii="Arial" w:hAnsi="Arial"/>
                <w:b/>
                <w:bCs/>
                <w:sz w:val="26"/>
                <w:szCs w:val="26"/>
                <w:rtl/>
              </w:rPr>
            </w:pPr>
            <w:r w:rsidRPr="0085738F">
              <w:rPr>
                <w:rFonts w:ascii="Arial" w:hAnsi="Arial"/>
                <w:b/>
                <w:bCs/>
                <w:sz w:val="26"/>
                <w:szCs w:val="26"/>
                <w:rtl/>
              </w:rPr>
              <w:t>מדינת ישראל</w:t>
            </w:r>
          </w:p>
          <w:p w14:paraId="1953CB7D" w14:textId="77777777" w:rsidR="00914F3B" w:rsidRPr="0085738F" w:rsidRDefault="00914F3B" w:rsidP="00914F3B">
            <w:pPr>
              <w:suppressLineNumbers/>
              <w:spacing w:after="120"/>
            </w:pPr>
            <w:r w:rsidRPr="0085738F">
              <w:rPr>
                <w:rFonts w:ascii="Arial" w:hAnsi="Arial"/>
                <w:b/>
                <w:bCs/>
                <w:sz w:val="26"/>
                <w:szCs w:val="26"/>
                <w:rtl/>
              </w:rPr>
              <w:t xml:space="preserve">ע"י </w:t>
            </w:r>
            <w:r w:rsidRPr="0085738F">
              <w:rPr>
                <w:rFonts w:ascii="Arial" w:hAnsi="Arial" w:hint="cs"/>
                <w:b/>
                <w:bCs/>
                <w:sz w:val="26"/>
                <w:szCs w:val="26"/>
                <w:rtl/>
              </w:rPr>
              <w:t>עו"ד אמיר קסנטיני</w:t>
            </w:r>
          </w:p>
        </w:tc>
      </w:tr>
      <w:bookmarkEnd w:id="1"/>
      <w:bookmarkEnd w:id="2"/>
      <w:tr w:rsidR="00914F3B" w:rsidRPr="0085738F" w14:paraId="0050179A" w14:textId="77777777" w:rsidTr="00914F3B">
        <w:trPr>
          <w:trHeight w:val="355"/>
          <w:jc w:val="center"/>
        </w:trPr>
        <w:tc>
          <w:tcPr>
            <w:tcW w:w="923" w:type="dxa"/>
            <w:tcBorders>
              <w:top w:val="nil"/>
              <w:left w:val="nil"/>
              <w:bottom w:val="nil"/>
              <w:right w:val="nil"/>
            </w:tcBorders>
            <w:shd w:val="clear" w:color="auto" w:fill="auto"/>
          </w:tcPr>
          <w:p w14:paraId="587F8221" w14:textId="77777777" w:rsidR="00914F3B" w:rsidRPr="0085738F" w:rsidRDefault="00914F3B" w:rsidP="00914F3B">
            <w:pPr>
              <w:spacing w:after="120"/>
              <w:jc w:val="both"/>
              <w:rPr>
                <w:rFonts w:ascii="David" w:hAnsi="David"/>
                <w:sz w:val="26"/>
                <w:szCs w:val="26"/>
                <w:rtl/>
              </w:rPr>
            </w:pPr>
          </w:p>
        </w:tc>
        <w:tc>
          <w:tcPr>
            <w:tcW w:w="7897" w:type="dxa"/>
            <w:gridSpan w:val="2"/>
            <w:tcBorders>
              <w:top w:val="nil"/>
              <w:left w:val="nil"/>
              <w:bottom w:val="nil"/>
              <w:right w:val="nil"/>
            </w:tcBorders>
            <w:shd w:val="clear" w:color="auto" w:fill="auto"/>
          </w:tcPr>
          <w:p w14:paraId="2EB01D0E" w14:textId="77777777" w:rsidR="00914F3B" w:rsidRPr="0085738F" w:rsidRDefault="00914F3B" w:rsidP="00914F3B">
            <w:pPr>
              <w:spacing w:after="120"/>
              <w:jc w:val="center"/>
              <w:rPr>
                <w:rFonts w:ascii="David" w:hAnsi="David"/>
                <w:b/>
                <w:bCs/>
                <w:sz w:val="26"/>
                <w:szCs w:val="26"/>
                <w:rtl/>
              </w:rPr>
            </w:pPr>
          </w:p>
          <w:p w14:paraId="35577F99" w14:textId="77777777" w:rsidR="00914F3B" w:rsidRPr="0085738F" w:rsidRDefault="00914F3B" w:rsidP="00914F3B">
            <w:pPr>
              <w:spacing w:after="120"/>
              <w:jc w:val="center"/>
              <w:rPr>
                <w:rFonts w:ascii="David" w:hAnsi="David"/>
                <w:b/>
                <w:bCs/>
                <w:sz w:val="26"/>
                <w:szCs w:val="26"/>
                <w:rtl/>
              </w:rPr>
            </w:pPr>
            <w:r w:rsidRPr="0085738F">
              <w:rPr>
                <w:rFonts w:ascii="David" w:hAnsi="David"/>
                <w:b/>
                <w:bCs/>
                <w:sz w:val="26"/>
                <w:szCs w:val="26"/>
                <w:rtl/>
              </w:rPr>
              <w:t>נגד</w:t>
            </w:r>
          </w:p>
          <w:p w14:paraId="78C6DE6E" w14:textId="77777777" w:rsidR="00914F3B" w:rsidRPr="0085738F" w:rsidRDefault="00914F3B" w:rsidP="00914F3B">
            <w:pPr>
              <w:spacing w:after="120"/>
              <w:jc w:val="both"/>
              <w:rPr>
                <w:rFonts w:ascii="David" w:hAnsi="David"/>
                <w:sz w:val="26"/>
                <w:szCs w:val="26"/>
              </w:rPr>
            </w:pPr>
          </w:p>
        </w:tc>
      </w:tr>
      <w:tr w:rsidR="00914F3B" w:rsidRPr="0085738F" w14:paraId="4BE90188" w14:textId="77777777" w:rsidTr="00914F3B">
        <w:trPr>
          <w:trHeight w:val="355"/>
          <w:jc w:val="center"/>
        </w:trPr>
        <w:tc>
          <w:tcPr>
            <w:tcW w:w="923" w:type="dxa"/>
            <w:tcBorders>
              <w:top w:val="nil"/>
              <w:left w:val="nil"/>
              <w:bottom w:val="nil"/>
              <w:right w:val="nil"/>
            </w:tcBorders>
            <w:shd w:val="clear" w:color="auto" w:fill="auto"/>
          </w:tcPr>
          <w:p w14:paraId="1BA62951" w14:textId="77777777" w:rsidR="00914F3B" w:rsidRPr="0085738F" w:rsidRDefault="00914F3B" w:rsidP="00914F3B">
            <w:pPr>
              <w:spacing w:after="120"/>
              <w:rPr>
                <w:rFonts w:ascii="David" w:hAnsi="David"/>
                <w:sz w:val="26"/>
                <w:szCs w:val="26"/>
                <w:rtl/>
              </w:rPr>
            </w:pPr>
          </w:p>
        </w:tc>
        <w:tc>
          <w:tcPr>
            <w:tcW w:w="3219" w:type="dxa"/>
            <w:tcBorders>
              <w:top w:val="nil"/>
              <w:left w:val="nil"/>
              <w:bottom w:val="nil"/>
              <w:right w:val="nil"/>
            </w:tcBorders>
            <w:shd w:val="clear" w:color="auto" w:fill="auto"/>
          </w:tcPr>
          <w:p w14:paraId="508BCF02" w14:textId="77777777" w:rsidR="00914F3B" w:rsidRPr="0085738F" w:rsidRDefault="00914F3B" w:rsidP="00914F3B">
            <w:pPr>
              <w:spacing w:after="120"/>
              <w:rPr>
                <w:rFonts w:ascii="Arial" w:hAnsi="Arial"/>
                <w:b/>
                <w:bCs/>
                <w:sz w:val="26"/>
                <w:szCs w:val="26"/>
                <w:rtl/>
              </w:rPr>
            </w:pPr>
            <w:r w:rsidRPr="0085738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E916C00" w14:textId="77777777" w:rsidR="00914F3B" w:rsidRPr="0085738F" w:rsidRDefault="00914F3B" w:rsidP="00914F3B">
            <w:pPr>
              <w:suppressLineNumbers/>
              <w:spacing w:after="120"/>
            </w:pPr>
            <w:r w:rsidRPr="0085738F">
              <w:rPr>
                <w:rFonts w:ascii="Arial" w:hAnsi="Arial"/>
                <w:b/>
                <w:bCs/>
                <w:sz w:val="26"/>
                <w:szCs w:val="26"/>
                <w:rtl/>
              </w:rPr>
              <w:t>נדים טוויל</w:t>
            </w:r>
            <w:r w:rsidRPr="0085738F">
              <w:rPr>
                <w:rFonts w:ascii="Arial" w:hAnsi="Arial"/>
                <w:b/>
                <w:bCs/>
                <w:sz w:val="26"/>
                <w:szCs w:val="26"/>
                <w:rtl/>
              </w:rPr>
              <w:br/>
            </w:r>
            <w:r w:rsidRPr="0085738F">
              <w:rPr>
                <w:rFonts w:ascii="Arial" w:hAnsi="Arial" w:hint="cs"/>
                <w:b/>
                <w:bCs/>
                <w:sz w:val="26"/>
                <w:szCs w:val="26"/>
                <w:rtl/>
              </w:rPr>
              <w:t>ע"י עו"ד עבאס עבסי</w:t>
            </w:r>
          </w:p>
        </w:tc>
      </w:tr>
    </w:tbl>
    <w:p w14:paraId="44ECADD3" w14:textId="77777777" w:rsidR="00B67798" w:rsidRPr="00B67798" w:rsidRDefault="00B67798" w:rsidP="00B67798">
      <w:pPr>
        <w:spacing w:before="120" w:after="120" w:line="240" w:lineRule="exact"/>
        <w:ind w:left="283" w:hanging="283"/>
        <w:jc w:val="both"/>
        <w:rPr>
          <w:rFonts w:ascii="FrankRuehl" w:hAnsi="FrankRuehl" w:cs="FrankRuehl"/>
          <w:rtl/>
        </w:rPr>
      </w:pPr>
      <w:bookmarkStart w:id="3" w:name="LawTable"/>
      <w:bookmarkEnd w:id="3"/>
    </w:p>
    <w:p w14:paraId="46D55550" w14:textId="77777777" w:rsidR="00B67798" w:rsidRPr="00B67798" w:rsidRDefault="00B67798" w:rsidP="00B67798">
      <w:pPr>
        <w:spacing w:before="120" w:after="120" w:line="240" w:lineRule="exact"/>
        <w:ind w:left="283" w:hanging="283"/>
        <w:jc w:val="both"/>
        <w:rPr>
          <w:rFonts w:ascii="FrankRuehl" w:hAnsi="FrankRuehl" w:cs="FrankRuehl"/>
          <w:rtl/>
        </w:rPr>
      </w:pPr>
      <w:r w:rsidRPr="00B67798">
        <w:rPr>
          <w:rFonts w:ascii="FrankRuehl" w:hAnsi="FrankRuehl" w:cs="FrankRuehl"/>
          <w:rtl/>
        </w:rPr>
        <w:t xml:space="preserve">חקיקה שאוזכרה: </w:t>
      </w:r>
    </w:p>
    <w:p w14:paraId="0136B9DB" w14:textId="77777777" w:rsidR="00B67798" w:rsidRPr="00B67798" w:rsidRDefault="00B67798" w:rsidP="00B67798">
      <w:pPr>
        <w:spacing w:before="120" w:after="120" w:line="240" w:lineRule="exact"/>
        <w:ind w:left="283" w:hanging="283"/>
        <w:jc w:val="both"/>
        <w:rPr>
          <w:rFonts w:ascii="FrankRuehl" w:hAnsi="FrankRuehl" w:cs="FrankRuehl"/>
          <w:color w:val="0000FF"/>
          <w:rtl/>
        </w:rPr>
      </w:pPr>
      <w:hyperlink r:id="rId7" w:history="1">
        <w:r w:rsidRPr="00B67798">
          <w:rPr>
            <w:rStyle w:val="Hyperlink"/>
            <w:rFonts w:ascii="FrankRuehl" w:hAnsi="FrankRuehl" w:cs="FrankRuehl"/>
            <w:u w:val="none"/>
            <w:rtl/>
          </w:rPr>
          <w:t>חוק העונשין, תשל"ז-1977</w:t>
        </w:r>
      </w:hyperlink>
    </w:p>
    <w:p w14:paraId="2B84A73B" w14:textId="77777777" w:rsidR="0085738F" w:rsidRPr="00B67798" w:rsidRDefault="0085738F" w:rsidP="00B67798">
      <w:pPr>
        <w:spacing w:before="120" w:after="120" w:line="240" w:lineRule="exact"/>
        <w:ind w:left="283" w:hanging="283"/>
        <w:jc w:val="both"/>
        <w:rPr>
          <w:rFonts w:ascii="FrankRuehl" w:hAnsi="FrankRuehl" w:cs="FrankRueh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14F3B" w14:paraId="686D7F07" w14:textId="77777777" w:rsidTr="00914F3B">
        <w:trPr>
          <w:trHeight w:val="355"/>
          <w:jc w:val="center"/>
        </w:trPr>
        <w:tc>
          <w:tcPr>
            <w:tcW w:w="8820" w:type="dxa"/>
            <w:tcBorders>
              <w:top w:val="nil"/>
              <w:left w:val="nil"/>
              <w:bottom w:val="nil"/>
              <w:right w:val="nil"/>
            </w:tcBorders>
            <w:shd w:val="clear" w:color="auto" w:fill="auto"/>
          </w:tcPr>
          <w:p w14:paraId="1B103D68" w14:textId="77777777" w:rsidR="0085738F" w:rsidRPr="0085738F" w:rsidRDefault="0085738F" w:rsidP="0085738F">
            <w:pPr>
              <w:spacing w:after="120" w:line="360" w:lineRule="auto"/>
              <w:jc w:val="center"/>
              <w:rPr>
                <w:rFonts w:ascii="David" w:hAnsi="David"/>
                <w:b/>
                <w:bCs/>
                <w:sz w:val="32"/>
                <w:szCs w:val="32"/>
                <w:u w:val="single"/>
                <w:rtl/>
              </w:rPr>
            </w:pPr>
            <w:bookmarkStart w:id="5" w:name="PsakDin" w:colFirst="0" w:colLast="0"/>
            <w:bookmarkEnd w:id="0"/>
            <w:r w:rsidRPr="0085738F">
              <w:rPr>
                <w:rFonts w:ascii="David" w:hAnsi="David"/>
                <w:b/>
                <w:bCs/>
                <w:sz w:val="32"/>
                <w:szCs w:val="32"/>
                <w:u w:val="single"/>
                <w:rtl/>
              </w:rPr>
              <w:t>גזר דין</w:t>
            </w:r>
          </w:p>
          <w:p w14:paraId="59107BE2" w14:textId="77777777" w:rsidR="00914F3B" w:rsidRPr="0085738F" w:rsidRDefault="00914F3B" w:rsidP="0085738F">
            <w:pPr>
              <w:spacing w:after="120" w:line="360" w:lineRule="auto"/>
              <w:jc w:val="center"/>
              <w:rPr>
                <w:rFonts w:ascii="David" w:hAnsi="David"/>
                <w:bCs/>
                <w:sz w:val="32"/>
                <w:szCs w:val="32"/>
                <w:u w:val="single"/>
                <w:rtl/>
              </w:rPr>
            </w:pPr>
          </w:p>
        </w:tc>
      </w:tr>
    </w:tbl>
    <w:bookmarkEnd w:id="5"/>
    <w:p w14:paraId="4BAF23AE" w14:textId="77777777" w:rsidR="00914F3B" w:rsidRPr="00D628C6" w:rsidRDefault="00914F3B" w:rsidP="00914F3B">
      <w:pPr>
        <w:spacing w:after="120" w:line="360" w:lineRule="auto"/>
        <w:ind w:right="567"/>
        <w:jc w:val="both"/>
        <w:rPr>
          <w:rFonts w:ascii="David" w:hAnsi="David"/>
          <w:b/>
          <w:bCs/>
        </w:rPr>
      </w:pPr>
      <w:r w:rsidRPr="00D628C6">
        <w:rPr>
          <w:rFonts w:ascii="David" w:hAnsi="David"/>
          <w:b/>
          <w:bCs/>
          <w:rtl/>
        </w:rPr>
        <w:t>גזר דין</w:t>
      </w:r>
    </w:p>
    <w:p w14:paraId="18F8B8E2" w14:textId="77777777" w:rsidR="00914F3B" w:rsidRPr="00D628C6" w:rsidRDefault="00914F3B" w:rsidP="00914F3B">
      <w:pPr>
        <w:spacing w:after="120" w:line="360" w:lineRule="auto"/>
        <w:ind w:right="567"/>
        <w:jc w:val="both"/>
        <w:rPr>
          <w:rFonts w:ascii="David" w:hAnsi="David"/>
          <w:b/>
          <w:bCs/>
          <w:rtl/>
        </w:rPr>
      </w:pPr>
      <w:r w:rsidRPr="00D628C6">
        <w:rPr>
          <w:rFonts w:ascii="David" w:hAnsi="David"/>
          <w:b/>
          <w:bCs/>
          <w:rtl/>
        </w:rPr>
        <w:t>רקע</w:t>
      </w:r>
    </w:p>
    <w:p w14:paraId="18D97472" w14:textId="77777777" w:rsidR="00914F3B" w:rsidRPr="00D628C6" w:rsidRDefault="00914F3B" w:rsidP="00914F3B">
      <w:pPr>
        <w:spacing w:after="120" w:line="360" w:lineRule="auto"/>
        <w:jc w:val="both"/>
        <w:rPr>
          <w:rFonts w:ascii="David" w:hAnsi="David"/>
          <w:rtl/>
        </w:rPr>
      </w:pPr>
      <w:bookmarkStart w:id="6" w:name="ABSTRACT_START"/>
      <w:bookmarkEnd w:id="6"/>
      <w:r w:rsidRPr="00D628C6">
        <w:rPr>
          <w:rFonts w:ascii="David" w:hAnsi="David"/>
          <w:rtl/>
        </w:rPr>
        <w:t xml:space="preserve">הנאשם הורשע, לאחר שמיעת הוכחות, בעבירות של החזקת נשק, תחמושת ואבזרי נשק. </w:t>
      </w:r>
      <w:bookmarkStart w:id="7" w:name="ABSTRACT_END"/>
      <w:bookmarkEnd w:id="7"/>
      <w:r w:rsidRPr="00D628C6">
        <w:rPr>
          <w:rFonts w:ascii="David" w:hAnsi="David"/>
          <w:rtl/>
        </w:rPr>
        <w:t xml:space="preserve">על פי עובדות הכרעת הדין, ביום 6.5.24 החזיק הנאשם בבית מגורים שבבעלותו, הנמצא בעיר חברון (להלן: </w:t>
      </w:r>
      <w:r w:rsidRPr="00D628C6">
        <w:rPr>
          <w:rFonts w:ascii="David" w:hAnsi="David"/>
          <w:b/>
          <w:bCs/>
          <w:rtl/>
        </w:rPr>
        <w:t>הבית</w:t>
      </w:r>
      <w:r w:rsidRPr="00D628C6">
        <w:rPr>
          <w:rFonts w:ascii="David" w:hAnsi="David"/>
          <w:rtl/>
        </w:rPr>
        <w:t>), כלי נשק ואבזרי נשק שונים, ללא היתר כדין:</w:t>
      </w:r>
    </w:p>
    <w:p w14:paraId="6954F1AF" w14:textId="77777777" w:rsidR="00914F3B" w:rsidRPr="00D628C6" w:rsidRDefault="00914F3B" w:rsidP="00914F3B">
      <w:pPr>
        <w:pStyle w:val="a9"/>
        <w:numPr>
          <w:ilvl w:val="0"/>
          <w:numId w:val="2"/>
        </w:numPr>
        <w:spacing w:after="120"/>
        <w:ind w:left="357" w:hanging="357"/>
        <w:rPr>
          <w:rtl/>
        </w:rPr>
      </w:pPr>
      <w:r w:rsidRPr="00D628C6">
        <w:rPr>
          <w:rtl/>
        </w:rPr>
        <w:t>אקדח מסוג גלוק.</w:t>
      </w:r>
    </w:p>
    <w:p w14:paraId="7AC8B038" w14:textId="77777777" w:rsidR="00914F3B" w:rsidRPr="00D628C6" w:rsidRDefault="00914F3B" w:rsidP="00914F3B">
      <w:pPr>
        <w:pStyle w:val="a9"/>
        <w:numPr>
          <w:ilvl w:val="0"/>
          <w:numId w:val="2"/>
        </w:numPr>
        <w:spacing w:after="120"/>
        <w:ind w:left="357" w:hanging="357"/>
        <w:rPr>
          <w:rtl/>
        </w:rPr>
      </w:pPr>
      <w:r w:rsidRPr="00D628C6">
        <w:rPr>
          <w:rtl/>
        </w:rPr>
        <w:t>שלושה רימוני יד, המשמשים לאימון הטלת רימון רסס.</w:t>
      </w:r>
    </w:p>
    <w:p w14:paraId="001D58E5" w14:textId="77777777" w:rsidR="00914F3B" w:rsidRPr="00D628C6" w:rsidRDefault="00914F3B" w:rsidP="00914F3B">
      <w:pPr>
        <w:pStyle w:val="a9"/>
        <w:numPr>
          <w:ilvl w:val="0"/>
          <w:numId w:val="2"/>
        </w:numPr>
        <w:spacing w:after="120"/>
        <w:ind w:left="357" w:hanging="357"/>
        <w:rPr>
          <w:rtl/>
        </w:rPr>
      </w:pPr>
      <w:r w:rsidRPr="00D628C6">
        <w:rPr>
          <w:rtl/>
        </w:rPr>
        <w:t>28 מחסניות לאקדח גלוק ועשרות כדורים.</w:t>
      </w:r>
    </w:p>
    <w:p w14:paraId="00E8091C" w14:textId="77777777" w:rsidR="00914F3B" w:rsidRPr="00D628C6" w:rsidRDefault="00914F3B" w:rsidP="00914F3B">
      <w:pPr>
        <w:pStyle w:val="a9"/>
        <w:numPr>
          <w:ilvl w:val="0"/>
          <w:numId w:val="2"/>
        </w:numPr>
        <w:spacing w:after="120"/>
        <w:ind w:left="357" w:hanging="357"/>
        <w:rPr>
          <w:rtl/>
        </w:rPr>
      </w:pPr>
      <w:r w:rsidRPr="00D628C6">
        <w:rPr>
          <w:rtl/>
        </w:rPr>
        <w:t>שני נרתיקים לאקדח ונרתיק אחד למחסניות.</w:t>
      </w:r>
    </w:p>
    <w:p w14:paraId="60B22853" w14:textId="77777777" w:rsidR="00914F3B" w:rsidRPr="00D628C6" w:rsidRDefault="00914F3B" w:rsidP="00914F3B">
      <w:pPr>
        <w:pStyle w:val="a9"/>
        <w:numPr>
          <w:ilvl w:val="0"/>
          <w:numId w:val="2"/>
        </w:numPr>
        <w:spacing w:after="120"/>
        <w:ind w:left="357" w:hanging="357"/>
        <w:rPr>
          <w:rtl/>
        </w:rPr>
      </w:pPr>
      <w:r w:rsidRPr="00D628C6">
        <w:rPr>
          <w:rtl/>
        </w:rPr>
        <w:t>מחסנית לרובה 16</w:t>
      </w:r>
      <w:r w:rsidRPr="00D628C6">
        <w:t>M</w:t>
      </w:r>
      <w:r w:rsidRPr="00D628C6">
        <w:rPr>
          <w:rtl/>
        </w:rPr>
        <w:t>.</w:t>
      </w:r>
    </w:p>
    <w:p w14:paraId="2DC1E65C" w14:textId="77777777" w:rsidR="00914F3B" w:rsidRPr="00D628C6" w:rsidRDefault="00914F3B" w:rsidP="00914F3B">
      <w:pPr>
        <w:spacing w:after="120" w:line="360" w:lineRule="auto"/>
        <w:jc w:val="both"/>
        <w:rPr>
          <w:rFonts w:ascii="David" w:hAnsi="David"/>
          <w:rtl/>
        </w:rPr>
      </w:pPr>
      <w:r>
        <w:rPr>
          <w:rFonts w:ascii="David" w:hAnsi="David" w:hint="cs"/>
          <w:rtl/>
        </w:rPr>
        <w:t>להשלמת התמונה</w:t>
      </w:r>
      <w:r w:rsidRPr="00D628C6">
        <w:rPr>
          <w:rFonts w:ascii="David" w:hAnsi="David"/>
          <w:rtl/>
        </w:rPr>
        <w:t xml:space="preserve"> אוסיף, כי יוחס לנאשם אישום נוסף, ממנו זוכה.</w:t>
      </w:r>
    </w:p>
    <w:p w14:paraId="02AF2D4B" w14:textId="77777777" w:rsidR="00914F3B" w:rsidRPr="00D628C6" w:rsidRDefault="00914F3B" w:rsidP="00914F3B">
      <w:pPr>
        <w:spacing w:after="120" w:line="360" w:lineRule="auto"/>
        <w:ind w:right="567"/>
        <w:jc w:val="both"/>
        <w:rPr>
          <w:rFonts w:ascii="David" w:hAnsi="David"/>
          <w:b/>
          <w:bCs/>
          <w:rtl/>
        </w:rPr>
      </w:pPr>
      <w:r w:rsidRPr="00D628C6">
        <w:rPr>
          <w:rFonts w:ascii="David" w:hAnsi="David"/>
          <w:b/>
          <w:bCs/>
          <w:rtl/>
        </w:rPr>
        <w:t>טענות הצדדים</w:t>
      </w:r>
    </w:p>
    <w:p w14:paraId="15694FDE" w14:textId="77777777" w:rsidR="00914F3B" w:rsidRPr="00D628C6" w:rsidRDefault="00914F3B" w:rsidP="00914F3B">
      <w:pPr>
        <w:spacing w:after="120" w:line="360" w:lineRule="auto"/>
        <w:jc w:val="both"/>
        <w:rPr>
          <w:rFonts w:ascii="David" w:hAnsi="David"/>
          <w:rtl/>
        </w:rPr>
      </w:pPr>
      <w:r w:rsidRPr="00D628C6">
        <w:rPr>
          <w:rFonts w:ascii="David" w:hAnsi="David"/>
          <w:rtl/>
        </w:rPr>
        <w:lastRenderedPageBreak/>
        <w:t>ב"כ המאשימה הפנה לחומרת העבירות בהן הורשע הנאשם, פגיעתן בערכים מוגנים, פוטנציאל הנזק שבהן והצורך להרתיע מפני ביצוען. לאור אלה טען</w:t>
      </w:r>
      <w:r>
        <w:rPr>
          <w:rFonts w:ascii="David" w:hAnsi="David" w:hint="cs"/>
          <w:rtl/>
        </w:rPr>
        <w:t>,</w:t>
      </w:r>
      <w:r w:rsidRPr="00D628C6">
        <w:rPr>
          <w:rFonts w:ascii="David" w:hAnsi="David"/>
          <w:rtl/>
        </w:rPr>
        <w:t xml:space="preserve"> כי מתחם העונש ההולם הוא מאסר שבין שלוש שנים לשש שנים. לאור נסיבות הענין, ובהן הרשעותיו הקודמות של הנאשם והעדר קבלת אחריות, ביקש ב"כ המאשימה להשית על הנאשם עונש בצידו הגבוה של המתחם.</w:t>
      </w:r>
    </w:p>
    <w:p w14:paraId="0429C548" w14:textId="77777777" w:rsidR="00914F3B" w:rsidRPr="00D628C6" w:rsidRDefault="00914F3B" w:rsidP="00914F3B">
      <w:pPr>
        <w:spacing w:after="120" w:line="360" w:lineRule="auto"/>
        <w:jc w:val="both"/>
        <w:rPr>
          <w:rFonts w:ascii="David" w:hAnsi="David"/>
          <w:rtl/>
        </w:rPr>
      </w:pPr>
      <w:r w:rsidRPr="00D628C6">
        <w:rPr>
          <w:rFonts w:ascii="David" w:hAnsi="David"/>
          <w:rtl/>
        </w:rPr>
        <w:t xml:space="preserve">ב"כ הנאשם </w:t>
      </w:r>
      <w:r>
        <w:rPr>
          <w:rFonts w:ascii="David" w:hAnsi="David" w:hint="cs"/>
          <w:rtl/>
        </w:rPr>
        <w:t>ביקש לנהוג בנאשם מידת הרחמים ו</w:t>
      </w:r>
      <w:r w:rsidRPr="00D628C6">
        <w:rPr>
          <w:rFonts w:ascii="David" w:hAnsi="David"/>
          <w:rtl/>
        </w:rPr>
        <w:t>טען, כי עמדתה של המאשימה מחמירה עם הנאשם יתר על המידה. בטיעונו הפנה לכך שהנאשם נשוי ואב לשני ילדים, שאחד מהם למרבה הצער נכה</w:t>
      </w:r>
      <w:r>
        <w:rPr>
          <w:rFonts w:ascii="David" w:hAnsi="David" w:hint="cs"/>
          <w:rtl/>
        </w:rPr>
        <w:t>, והגיש מסמכים לעניין זה</w:t>
      </w:r>
      <w:r w:rsidRPr="00D628C6">
        <w:rPr>
          <w:rFonts w:ascii="David" w:hAnsi="David"/>
          <w:rtl/>
        </w:rPr>
        <w:t>. עוד טען, כי אין לזקוף לחובת הנאשם את עמידתו על חפותו. בנוסף טען</w:t>
      </w:r>
      <w:r>
        <w:rPr>
          <w:rFonts w:ascii="David" w:hAnsi="David" w:hint="cs"/>
          <w:rtl/>
        </w:rPr>
        <w:t>,</w:t>
      </w:r>
      <w:r w:rsidRPr="00D628C6">
        <w:rPr>
          <w:rFonts w:ascii="David" w:hAnsi="David"/>
          <w:rtl/>
        </w:rPr>
        <w:t xml:space="preserve"> כי מעשיו של הנאשם לא הסבו </w:t>
      </w:r>
      <w:r>
        <w:rPr>
          <w:rFonts w:ascii="David" w:hAnsi="David" w:hint="cs"/>
          <w:rtl/>
        </w:rPr>
        <w:t xml:space="preserve">כל </w:t>
      </w:r>
      <w:r w:rsidRPr="00D628C6">
        <w:rPr>
          <w:rFonts w:ascii="David" w:hAnsi="David"/>
          <w:rtl/>
        </w:rPr>
        <w:t xml:space="preserve">נזק וכי יש לאזן את עונשו עם שיקולי </w:t>
      </w:r>
      <w:r>
        <w:rPr>
          <w:rFonts w:ascii="David" w:hAnsi="David" w:hint="cs"/>
          <w:rtl/>
        </w:rPr>
        <w:t>ה</w:t>
      </w:r>
      <w:r w:rsidRPr="00D628C6">
        <w:rPr>
          <w:rFonts w:ascii="David" w:hAnsi="David"/>
          <w:rtl/>
        </w:rPr>
        <w:t>שיקום.</w:t>
      </w:r>
    </w:p>
    <w:p w14:paraId="5182062A" w14:textId="77777777" w:rsidR="00914F3B" w:rsidRPr="00D628C6" w:rsidRDefault="00914F3B" w:rsidP="00914F3B">
      <w:pPr>
        <w:spacing w:after="120" w:line="360" w:lineRule="auto"/>
        <w:jc w:val="both"/>
        <w:rPr>
          <w:rFonts w:ascii="David" w:hAnsi="David"/>
          <w:rtl/>
        </w:rPr>
      </w:pPr>
      <w:r w:rsidRPr="00D628C6">
        <w:rPr>
          <w:rFonts w:ascii="David" w:hAnsi="David"/>
          <w:rtl/>
        </w:rPr>
        <w:t>הנאשם לא ביקש לומר דבר.</w:t>
      </w:r>
    </w:p>
    <w:p w14:paraId="04335D24" w14:textId="77777777" w:rsidR="00914F3B" w:rsidRPr="00D628C6" w:rsidRDefault="00914F3B" w:rsidP="00914F3B">
      <w:pPr>
        <w:spacing w:after="120" w:line="360" w:lineRule="auto"/>
        <w:jc w:val="both"/>
        <w:rPr>
          <w:rFonts w:ascii="David" w:hAnsi="David"/>
          <w:rtl/>
        </w:rPr>
      </w:pPr>
      <w:r w:rsidRPr="00D628C6">
        <w:rPr>
          <w:rFonts w:ascii="David" w:hAnsi="David"/>
          <w:rtl/>
        </w:rPr>
        <w:t>ב"כ שני הצדדים הגישו פסיקה לתמיכה בעמדותיהם.</w:t>
      </w:r>
      <w:r>
        <w:rPr>
          <w:rFonts w:ascii="David" w:hAnsi="David" w:hint="cs"/>
          <w:rtl/>
        </w:rPr>
        <w:t xml:space="preserve"> עם זאת אציין, כי חלק מהפסיקה שהוגש הוא מהעת שקדמה לתיקון 140 ל</w:t>
      </w:r>
      <w:hyperlink r:id="rId8" w:history="1">
        <w:r w:rsidR="0085738F" w:rsidRPr="0085738F">
          <w:rPr>
            <w:rFonts w:ascii="David" w:hAnsi="David"/>
            <w:color w:val="0000FF"/>
            <w:u w:val="single"/>
            <w:rtl/>
          </w:rPr>
          <w:t>חוק העונשין</w:t>
        </w:r>
      </w:hyperlink>
      <w:r>
        <w:rPr>
          <w:rFonts w:ascii="David" w:hAnsi="David" w:hint="cs"/>
          <w:rtl/>
        </w:rPr>
        <w:t xml:space="preserve"> (אליו אתייחס בהמשך) ועל כן משקלה מועט.</w:t>
      </w:r>
    </w:p>
    <w:p w14:paraId="4188E66D" w14:textId="77777777" w:rsidR="00914F3B" w:rsidRPr="00D628C6" w:rsidRDefault="00914F3B" w:rsidP="00914F3B">
      <w:pPr>
        <w:spacing w:after="120" w:line="360" w:lineRule="auto"/>
        <w:jc w:val="both"/>
        <w:rPr>
          <w:rFonts w:ascii="David" w:hAnsi="David"/>
          <w:b/>
          <w:bCs/>
          <w:rtl/>
        </w:rPr>
      </w:pPr>
      <w:r w:rsidRPr="00D628C6">
        <w:rPr>
          <w:rFonts w:ascii="David" w:hAnsi="David"/>
          <w:b/>
          <w:bCs/>
          <w:rtl/>
        </w:rPr>
        <w:t>מתחם העונש ההולם</w:t>
      </w:r>
    </w:p>
    <w:p w14:paraId="3BFCADDA" w14:textId="77777777" w:rsidR="00914F3B" w:rsidRPr="00D628C6" w:rsidRDefault="00914F3B" w:rsidP="00914F3B">
      <w:pPr>
        <w:spacing w:after="120" w:line="360" w:lineRule="auto"/>
        <w:jc w:val="both"/>
        <w:rPr>
          <w:rFonts w:ascii="David" w:hAnsi="David"/>
          <w:rtl/>
        </w:rPr>
      </w:pPr>
      <w:r w:rsidRPr="00D628C6">
        <w:rPr>
          <w:rFonts w:ascii="David" w:hAnsi="David"/>
          <w:rtl/>
        </w:rPr>
        <w:t>הנאשם החזיק בביתו אקדח מסוג גלוק, תחמושת רבה ו-28 מחסניות תואמות לאקדח, מחסנית לרובה 16</w:t>
      </w:r>
      <w:r w:rsidRPr="007D1229">
        <w:rPr>
          <w:rFonts w:ascii="David" w:hAnsi="David"/>
          <w:sz w:val="20"/>
          <w:szCs w:val="20"/>
        </w:rPr>
        <w:t>M</w:t>
      </w:r>
      <w:r>
        <w:rPr>
          <w:rFonts w:ascii="David" w:hAnsi="David"/>
          <w:rtl/>
        </w:rPr>
        <w:t>, וכן שלושה רימונ</w:t>
      </w:r>
      <w:r>
        <w:rPr>
          <w:rFonts w:ascii="David" w:hAnsi="David" w:hint="cs"/>
          <w:rtl/>
        </w:rPr>
        <w:t>י אימונים, אשר גם אם אינם קטלניים, יכולים לגרום נזק</w:t>
      </w:r>
      <w:r>
        <w:rPr>
          <w:rFonts w:ascii="David" w:hAnsi="David"/>
          <w:rtl/>
        </w:rPr>
        <w:t>.</w:t>
      </w:r>
    </w:p>
    <w:p w14:paraId="67A65E42" w14:textId="77777777" w:rsidR="00914F3B" w:rsidRPr="00D628C6" w:rsidRDefault="00914F3B" w:rsidP="00914F3B">
      <w:pPr>
        <w:spacing w:after="120" w:line="360" w:lineRule="auto"/>
        <w:jc w:val="both"/>
        <w:rPr>
          <w:rFonts w:ascii="David" w:hAnsi="David"/>
          <w:rtl/>
        </w:rPr>
      </w:pPr>
      <w:r>
        <w:rPr>
          <w:rFonts w:ascii="David" w:hAnsi="David" w:hint="cs"/>
          <w:rtl/>
        </w:rPr>
        <w:t>עבירה זו</w:t>
      </w:r>
      <w:r w:rsidRPr="00D628C6">
        <w:rPr>
          <w:rFonts w:ascii="David" w:hAnsi="David"/>
          <w:rtl/>
        </w:rPr>
        <w:t xml:space="preserve"> מקימה פוטנציאל ממשי לפגיעה בערך המוגן החשוב מכל, שמירה על חיי אדם, שהרי החזקת נשק שלא כדין מקפלת בתוכה סיכון ממשי כי יעשה בו שימוש לביצוע עבירות פליליות, ובכך יביא לקיפוח נפש – וכמעט מדי יום אנו מקבלים לכך המחשה חיה, בין אם במסגרת אירוע בטחוני בין אם במסגרת אירוע פלילי.</w:t>
      </w:r>
    </w:p>
    <w:p w14:paraId="747AF08D" w14:textId="77777777" w:rsidR="00914F3B" w:rsidRPr="00D628C6" w:rsidRDefault="00914F3B" w:rsidP="00914F3B">
      <w:pPr>
        <w:spacing w:after="120" w:line="360" w:lineRule="auto"/>
        <w:jc w:val="both"/>
        <w:rPr>
          <w:rFonts w:ascii="David" w:hAnsi="David"/>
          <w:rtl/>
        </w:rPr>
      </w:pPr>
      <w:r w:rsidRPr="00D628C6">
        <w:rPr>
          <w:rFonts w:ascii="David" w:hAnsi="David"/>
          <w:rtl/>
        </w:rPr>
        <w:t xml:space="preserve">באופן עקיף, </w:t>
      </w:r>
      <w:r>
        <w:rPr>
          <w:rFonts w:ascii="David" w:hAnsi="David" w:hint="cs"/>
          <w:rtl/>
        </w:rPr>
        <w:t>המעשה גם מהווה</w:t>
      </w:r>
      <w:r w:rsidRPr="00D628C6">
        <w:rPr>
          <w:rFonts w:ascii="David" w:hAnsi="David"/>
          <w:rtl/>
        </w:rPr>
        <w:t xml:space="preserve"> קריאת תיגר על שלטון החוק, שהרי המדינה היא הריבון והיא שרשאית לקבוע מי ישא נשק ולאיזו מטרה - כעולה ממיקום העבירה בפרק ח' ל</w:t>
      </w:r>
      <w:hyperlink r:id="rId9" w:history="1">
        <w:r w:rsidR="0085738F" w:rsidRPr="0085738F">
          <w:rPr>
            <w:rFonts w:ascii="David" w:hAnsi="David"/>
            <w:color w:val="0000FF"/>
            <w:u w:val="single"/>
            <w:rtl/>
          </w:rPr>
          <w:t>חוק העונשין</w:t>
        </w:r>
      </w:hyperlink>
      <w:r w:rsidRPr="00D628C6">
        <w:rPr>
          <w:rFonts w:ascii="David" w:hAnsi="David"/>
          <w:rtl/>
        </w:rPr>
        <w:t>, הדן בעבירות שעניינן  "פגיעה בסדרי המשטר והחברה".</w:t>
      </w:r>
    </w:p>
    <w:p w14:paraId="2B6B449D" w14:textId="77777777" w:rsidR="00914F3B" w:rsidRPr="00D628C6" w:rsidRDefault="00914F3B" w:rsidP="00914F3B">
      <w:pPr>
        <w:spacing w:after="120" w:line="360" w:lineRule="auto"/>
        <w:jc w:val="both"/>
        <w:rPr>
          <w:rFonts w:ascii="David" w:hAnsi="David"/>
          <w:rtl/>
        </w:rPr>
      </w:pPr>
      <w:r w:rsidRPr="00D628C6">
        <w:rPr>
          <w:rFonts w:ascii="David" w:hAnsi="David"/>
          <w:rtl/>
        </w:rPr>
        <w:t>בית המשפט העליון עמד בשורה ארוכה של פסקי דין על חומרתן הרבה של עבירות הנשק והסכנה הטמונה בהן ועל הצורך להחמיר עם מבצעיהן. כמו כן, לאור ריבוי מקרים בהם שימוש בנשק לא חוקי הביא לאבדן חיי אדם, ישנה בשנים האחרונות מגמת החמרה ניכרת בענישה בעבירות אלו, המתבטאת גם בתיקון 140 ל</w:t>
      </w:r>
      <w:hyperlink r:id="rId10" w:history="1">
        <w:r w:rsidR="0085738F" w:rsidRPr="0085738F">
          <w:rPr>
            <w:rFonts w:ascii="David" w:hAnsi="David"/>
            <w:color w:val="0000FF"/>
            <w:u w:val="single"/>
            <w:rtl/>
          </w:rPr>
          <w:t>חוק העונשין</w:t>
        </w:r>
      </w:hyperlink>
      <w:r w:rsidRPr="00D628C6">
        <w:rPr>
          <w:rFonts w:ascii="David" w:hAnsi="David"/>
          <w:rtl/>
        </w:rPr>
        <w:t xml:space="preserve"> אשר קבע בצד עבירות נשק</w:t>
      </w:r>
      <w:r w:rsidRPr="00EC47F9">
        <w:rPr>
          <w:rFonts w:ascii="David" w:hAnsi="David"/>
          <w:rtl/>
        </w:rPr>
        <w:t xml:space="preserve"> </w:t>
      </w:r>
      <w:r w:rsidRPr="00D628C6">
        <w:rPr>
          <w:rFonts w:ascii="David" w:hAnsi="David"/>
          <w:rtl/>
        </w:rPr>
        <w:t xml:space="preserve">עונש מזערי, אליו אתייחס בהמשך. </w:t>
      </w:r>
    </w:p>
    <w:p w14:paraId="4D340A62" w14:textId="77777777" w:rsidR="00914F3B" w:rsidRPr="00D628C6" w:rsidRDefault="00914F3B" w:rsidP="00914F3B">
      <w:pPr>
        <w:pStyle w:val="Ruller4"/>
        <w:numPr>
          <w:ilvl w:val="0"/>
          <w:numId w:val="0"/>
        </w:numPr>
        <w:tabs>
          <w:tab w:val="left" w:pos="720"/>
        </w:tabs>
        <w:spacing w:after="120"/>
        <w:rPr>
          <w:rFonts w:ascii="David" w:hAnsi="David" w:cs="David"/>
          <w:sz w:val="24"/>
          <w:szCs w:val="24"/>
          <w:rtl/>
        </w:rPr>
      </w:pPr>
      <w:r w:rsidRPr="00D628C6">
        <w:rPr>
          <w:rFonts w:ascii="David" w:hAnsi="David" w:cs="David"/>
          <w:sz w:val="24"/>
          <w:szCs w:val="24"/>
          <w:rtl/>
        </w:rPr>
        <w:t>ר' למש</w:t>
      </w:r>
      <w:r>
        <w:rPr>
          <w:rFonts w:ascii="David" w:hAnsi="David" w:cs="David"/>
          <w:sz w:val="24"/>
          <w:szCs w:val="24"/>
          <w:rtl/>
        </w:rPr>
        <w:t xml:space="preserve">ל </w:t>
      </w:r>
      <w:hyperlink r:id="rId11" w:history="1">
        <w:r w:rsidR="0085738F" w:rsidRPr="0085738F">
          <w:rPr>
            <w:rFonts w:ascii="David" w:hAnsi="David" w:cs="David"/>
            <w:color w:val="0000FF"/>
            <w:sz w:val="24"/>
            <w:szCs w:val="24"/>
            <w:u w:val="single"/>
            <w:rtl/>
          </w:rPr>
          <w:t>ע"פ 309/22</w:t>
        </w:r>
      </w:hyperlink>
      <w:r>
        <w:rPr>
          <w:rFonts w:ascii="David" w:hAnsi="David" w:cs="David"/>
          <w:sz w:val="24"/>
          <w:szCs w:val="24"/>
          <w:rtl/>
        </w:rPr>
        <w:t>, ביאדסה</w:t>
      </w:r>
      <w:r>
        <w:rPr>
          <w:rFonts w:ascii="David" w:hAnsi="David" w:cs="David" w:hint="cs"/>
          <w:sz w:val="24"/>
          <w:szCs w:val="24"/>
          <w:rtl/>
        </w:rPr>
        <w:t xml:space="preserve"> </w:t>
      </w:r>
      <w:r w:rsidRPr="00D628C6">
        <w:rPr>
          <w:rFonts w:ascii="David" w:hAnsi="David" w:cs="David"/>
          <w:sz w:val="24"/>
          <w:szCs w:val="24"/>
          <w:rtl/>
        </w:rPr>
        <w:t>(פסקאות 6-7 לפסק הדין):</w:t>
      </w:r>
    </w:p>
    <w:p w14:paraId="607F3927" w14:textId="77777777" w:rsidR="00914F3B" w:rsidRPr="00D628C6" w:rsidRDefault="00914F3B" w:rsidP="00914F3B">
      <w:pPr>
        <w:pStyle w:val="Ruller4"/>
        <w:numPr>
          <w:ilvl w:val="0"/>
          <w:numId w:val="0"/>
        </w:numPr>
        <w:tabs>
          <w:tab w:val="left" w:pos="720"/>
        </w:tabs>
        <w:spacing w:after="120"/>
        <w:ind w:left="567" w:right="567"/>
        <w:rPr>
          <w:rFonts w:ascii="David" w:hAnsi="David" w:cs="David"/>
          <w:b/>
          <w:bCs/>
          <w:sz w:val="24"/>
          <w:szCs w:val="24"/>
          <w:rtl/>
        </w:rPr>
      </w:pPr>
      <w:r w:rsidRPr="00D628C6">
        <w:rPr>
          <w:rFonts w:ascii="David" w:hAnsi="David" w:cs="David"/>
          <w:b/>
          <w:bCs/>
          <w:sz w:val="24"/>
          <w:szCs w:val="24"/>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12" w:history="1">
        <w:r w:rsidR="0085738F" w:rsidRPr="0085738F">
          <w:rPr>
            <w:rFonts w:ascii="David" w:hAnsi="David" w:cs="David"/>
            <w:b/>
            <w:bCs/>
            <w:color w:val="0000FF"/>
            <w:sz w:val="24"/>
            <w:szCs w:val="24"/>
            <w:u w:val="single"/>
            <w:rtl/>
          </w:rPr>
          <w:t>ע"פ 1695/22</w:t>
        </w:r>
      </w:hyperlink>
      <w:r w:rsidRPr="00D628C6">
        <w:rPr>
          <w:rFonts w:ascii="David" w:hAnsi="David" w:cs="David"/>
          <w:b/>
          <w:bCs/>
          <w:sz w:val="24"/>
          <w:szCs w:val="24"/>
          <w:rtl/>
        </w:rPr>
        <w:t xml:space="preserve"> </w:t>
      </w:r>
      <w:r w:rsidRPr="00D628C6">
        <w:rPr>
          <w:rFonts w:ascii="David" w:hAnsi="David" w:cs="David"/>
          <w:b/>
          <w:bCs/>
          <w:spacing w:val="0"/>
          <w:sz w:val="24"/>
          <w:szCs w:val="24"/>
          <w:rtl/>
        </w:rPr>
        <w:t>מדינת ישראל נ' גנאים</w:t>
      </w:r>
      <w:r w:rsidRPr="00D628C6">
        <w:rPr>
          <w:rFonts w:ascii="David" w:hAnsi="David" w:cs="David"/>
          <w:b/>
          <w:bCs/>
          <w:sz w:val="24"/>
          <w:szCs w:val="24"/>
          <w:rtl/>
        </w:rPr>
        <w:t xml:space="preserve">, פסקה 11 </w:t>
      </w:r>
      <w:r w:rsidRPr="00D628C6">
        <w:rPr>
          <w:rFonts w:ascii="David" w:hAnsi="David" w:cs="David"/>
          <w:b/>
          <w:bCs/>
          <w:spacing w:val="0"/>
          <w:sz w:val="24"/>
          <w:szCs w:val="24"/>
          <w:rtl/>
        </w:rPr>
        <w:t xml:space="preserve">[פורסם בנבו] </w:t>
      </w:r>
      <w:r w:rsidRPr="00D628C6">
        <w:rPr>
          <w:rFonts w:ascii="David" w:hAnsi="David" w:cs="David"/>
          <w:b/>
          <w:bCs/>
          <w:sz w:val="24"/>
          <w:szCs w:val="24"/>
          <w:rtl/>
        </w:rPr>
        <w:t xml:space="preserve">(29.3.2022) (להלן: עניין </w:t>
      </w:r>
      <w:r w:rsidRPr="00D628C6">
        <w:rPr>
          <w:rFonts w:ascii="David" w:hAnsi="David" w:cs="David"/>
          <w:b/>
          <w:bCs/>
          <w:spacing w:val="0"/>
          <w:sz w:val="24"/>
          <w:szCs w:val="24"/>
          <w:rtl/>
        </w:rPr>
        <w:t>גנאים</w:t>
      </w:r>
      <w:r w:rsidRPr="00D628C6">
        <w:rPr>
          <w:rFonts w:ascii="David" w:hAnsi="David" w:cs="David"/>
          <w:b/>
          <w:bCs/>
          <w:sz w:val="24"/>
          <w:szCs w:val="24"/>
          <w:rtl/>
        </w:rPr>
        <w:t xml:space="preserve">); </w:t>
      </w:r>
      <w:hyperlink r:id="rId13" w:history="1">
        <w:r w:rsidR="0085738F" w:rsidRPr="0085738F">
          <w:rPr>
            <w:rFonts w:ascii="David" w:hAnsi="David" w:cs="David"/>
            <w:b/>
            <w:bCs/>
            <w:color w:val="0000FF"/>
            <w:sz w:val="24"/>
            <w:szCs w:val="24"/>
            <w:u w:val="single"/>
            <w:rtl/>
          </w:rPr>
          <w:t>ע"פ 5522/20</w:t>
        </w:r>
      </w:hyperlink>
      <w:r w:rsidRPr="00D628C6">
        <w:rPr>
          <w:rFonts w:ascii="David" w:hAnsi="David" w:cs="David"/>
          <w:b/>
          <w:bCs/>
          <w:sz w:val="24"/>
          <w:szCs w:val="24"/>
          <w:rtl/>
        </w:rPr>
        <w:t xml:space="preserve"> </w:t>
      </w:r>
      <w:r w:rsidRPr="00D628C6">
        <w:rPr>
          <w:rFonts w:ascii="David" w:hAnsi="David" w:cs="David"/>
          <w:b/>
          <w:bCs/>
          <w:spacing w:val="0"/>
          <w:sz w:val="24"/>
          <w:szCs w:val="24"/>
          <w:rtl/>
        </w:rPr>
        <w:t>חלייחל נ' מדינת ישראל</w:t>
      </w:r>
      <w:r w:rsidRPr="00D628C6">
        <w:rPr>
          <w:rFonts w:ascii="David" w:hAnsi="David" w:cs="David"/>
          <w:b/>
          <w:bCs/>
          <w:sz w:val="24"/>
          <w:szCs w:val="24"/>
          <w:rtl/>
        </w:rPr>
        <w:t xml:space="preserve">, פסקה 7 </w:t>
      </w:r>
      <w:r w:rsidRPr="00D628C6">
        <w:rPr>
          <w:rFonts w:ascii="David" w:hAnsi="David" w:cs="David"/>
          <w:b/>
          <w:bCs/>
          <w:spacing w:val="0"/>
          <w:sz w:val="24"/>
          <w:szCs w:val="24"/>
          <w:rtl/>
        </w:rPr>
        <w:t xml:space="preserve">[פורסם בנבו] </w:t>
      </w:r>
      <w:r w:rsidRPr="00D628C6">
        <w:rPr>
          <w:rFonts w:ascii="David" w:hAnsi="David" w:cs="David"/>
          <w:b/>
          <w:bCs/>
          <w:sz w:val="24"/>
          <w:szCs w:val="24"/>
          <w:rtl/>
        </w:rPr>
        <w:t xml:space="preserve">(24.2.2021) (להלן: </w:t>
      </w:r>
      <w:r w:rsidRPr="00D628C6">
        <w:rPr>
          <w:rFonts w:ascii="David" w:hAnsi="David" w:cs="David"/>
          <w:b/>
          <w:bCs/>
          <w:sz w:val="24"/>
          <w:szCs w:val="24"/>
          <w:rtl/>
        </w:rPr>
        <w:lastRenderedPageBreak/>
        <w:t xml:space="preserve">עניין </w:t>
      </w:r>
      <w:r w:rsidRPr="00D628C6">
        <w:rPr>
          <w:rFonts w:ascii="David" w:hAnsi="David" w:cs="David"/>
          <w:b/>
          <w:bCs/>
          <w:spacing w:val="0"/>
          <w:sz w:val="24"/>
          <w:szCs w:val="24"/>
          <w:rtl/>
        </w:rPr>
        <w:t>חלייחל</w:t>
      </w:r>
      <w:r w:rsidRPr="00D628C6">
        <w:rPr>
          <w:rFonts w:ascii="David" w:hAnsi="David" w:cs="David"/>
          <w:b/>
          <w:bCs/>
          <w:sz w:val="24"/>
          <w:szCs w:val="24"/>
          <w:rtl/>
        </w:rPr>
        <w:t xml:space="preserve">); </w:t>
      </w:r>
      <w:hyperlink r:id="rId14" w:history="1">
        <w:r w:rsidR="0085738F" w:rsidRPr="0085738F">
          <w:rPr>
            <w:rFonts w:ascii="David" w:hAnsi="David" w:cs="David"/>
            <w:b/>
            <w:bCs/>
            <w:color w:val="0000FF"/>
            <w:sz w:val="24"/>
            <w:szCs w:val="24"/>
            <w:u w:val="single"/>
            <w:rtl/>
          </w:rPr>
          <w:t>ע"פ 4406/19</w:t>
        </w:r>
      </w:hyperlink>
      <w:r w:rsidRPr="00D628C6">
        <w:rPr>
          <w:rFonts w:ascii="David" w:hAnsi="David" w:cs="David"/>
          <w:b/>
          <w:bCs/>
          <w:sz w:val="24"/>
          <w:szCs w:val="24"/>
          <w:rtl/>
        </w:rPr>
        <w:t xml:space="preserve"> </w:t>
      </w:r>
      <w:r w:rsidRPr="00D628C6">
        <w:rPr>
          <w:rFonts w:ascii="David" w:hAnsi="David" w:cs="David"/>
          <w:b/>
          <w:bCs/>
          <w:spacing w:val="0"/>
          <w:sz w:val="24"/>
          <w:szCs w:val="24"/>
          <w:rtl/>
        </w:rPr>
        <w:t>סובח נ' מדינת ישראל</w:t>
      </w:r>
      <w:r w:rsidRPr="00D628C6">
        <w:rPr>
          <w:rFonts w:ascii="David" w:hAnsi="David" w:cs="David"/>
          <w:b/>
          <w:bCs/>
          <w:sz w:val="24"/>
          <w:szCs w:val="24"/>
          <w:rtl/>
        </w:rPr>
        <w:t xml:space="preserve">, פסקה 17 </w:t>
      </w:r>
      <w:r w:rsidRPr="00D628C6">
        <w:rPr>
          <w:rFonts w:ascii="David" w:hAnsi="David" w:cs="David"/>
          <w:b/>
          <w:bCs/>
          <w:spacing w:val="0"/>
          <w:sz w:val="24"/>
          <w:szCs w:val="24"/>
          <w:rtl/>
        </w:rPr>
        <w:t xml:space="preserve">[פורסם בנבו] </w:t>
      </w:r>
      <w:r w:rsidRPr="00D628C6">
        <w:rPr>
          <w:rFonts w:ascii="David" w:hAnsi="David" w:cs="David"/>
          <w:b/>
          <w:bCs/>
          <w:sz w:val="24"/>
          <w:szCs w:val="24"/>
          <w:rtl/>
        </w:rPr>
        <w:t xml:space="preserve">(5.11.2019) (להלן: עניין </w:t>
      </w:r>
      <w:r w:rsidRPr="00D628C6">
        <w:rPr>
          <w:rFonts w:ascii="David" w:hAnsi="David" w:cs="David"/>
          <w:b/>
          <w:bCs/>
          <w:spacing w:val="0"/>
          <w:sz w:val="24"/>
          <w:szCs w:val="24"/>
          <w:rtl/>
        </w:rPr>
        <w:t>סובח</w:t>
      </w:r>
      <w:r w:rsidRPr="00D628C6">
        <w:rPr>
          <w:rFonts w:ascii="David" w:hAnsi="David" w:cs="David"/>
          <w:b/>
          <w:bCs/>
          <w:sz w:val="24"/>
          <w:szCs w:val="24"/>
          <w:rtl/>
        </w:rPr>
        <w:t>)). עבירות אלו חמורות במיוחד, בין היתר משום שהן עשויות לשמש בסיס לביצוע פעילות עבריינית או פעילות טרור (</w:t>
      </w:r>
      <w:hyperlink r:id="rId15" w:history="1">
        <w:r w:rsidR="0085738F" w:rsidRPr="0085738F">
          <w:rPr>
            <w:rFonts w:ascii="David" w:hAnsi="David" w:cs="David"/>
            <w:b/>
            <w:bCs/>
            <w:color w:val="0000FF"/>
            <w:sz w:val="24"/>
            <w:szCs w:val="24"/>
            <w:u w:val="single"/>
            <w:rtl/>
          </w:rPr>
          <w:t>ע"פ 8017/20</w:t>
        </w:r>
      </w:hyperlink>
      <w:r w:rsidRPr="00D628C6">
        <w:rPr>
          <w:rFonts w:ascii="David" w:hAnsi="David" w:cs="David"/>
          <w:b/>
          <w:bCs/>
          <w:sz w:val="24"/>
          <w:szCs w:val="24"/>
          <w:rtl/>
        </w:rPr>
        <w:t xml:space="preserve"> </w:t>
      </w:r>
      <w:r w:rsidRPr="00D628C6">
        <w:rPr>
          <w:rFonts w:ascii="David" w:hAnsi="David" w:cs="David"/>
          <w:b/>
          <w:bCs/>
          <w:spacing w:val="0"/>
          <w:sz w:val="24"/>
          <w:szCs w:val="24"/>
          <w:rtl/>
        </w:rPr>
        <w:t>מדינת ישראל נ' גריפאת</w:t>
      </w:r>
      <w:r w:rsidRPr="00D628C6">
        <w:rPr>
          <w:rFonts w:ascii="David" w:hAnsi="David" w:cs="David"/>
          <w:b/>
          <w:bCs/>
          <w:sz w:val="24"/>
          <w:szCs w:val="24"/>
          <w:rtl/>
        </w:rPr>
        <w:t xml:space="preserve">, פסקה 6 </w:t>
      </w:r>
      <w:r w:rsidRPr="00D628C6">
        <w:rPr>
          <w:rFonts w:ascii="David" w:hAnsi="David" w:cs="David"/>
          <w:b/>
          <w:bCs/>
          <w:spacing w:val="0"/>
          <w:sz w:val="24"/>
          <w:szCs w:val="24"/>
          <w:rtl/>
        </w:rPr>
        <w:t xml:space="preserve">[פורסם בנבו] </w:t>
      </w:r>
      <w:r w:rsidRPr="00D628C6">
        <w:rPr>
          <w:rFonts w:ascii="David" w:hAnsi="David" w:cs="David"/>
          <w:b/>
          <w:bCs/>
          <w:sz w:val="24"/>
          <w:szCs w:val="24"/>
          <w:rtl/>
        </w:rPr>
        <w:t xml:space="preserve">(22.12.2020); </w:t>
      </w:r>
      <w:hyperlink r:id="rId16" w:history="1">
        <w:r w:rsidR="0085738F" w:rsidRPr="0085738F">
          <w:rPr>
            <w:rFonts w:ascii="David" w:hAnsi="David" w:cs="David"/>
            <w:b/>
            <w:bCs/>
            <w:color w:val="0000FF"/>
            <w:sz w:val="24"/>
            <w:szCs w:val="24"/>
            <w:u w:val="single"/>
            <w:rtl/>
          </w:rPr>
          <w:t>ע"פ 135/17</w:t>
        </w:r>
      </w:hyperlink>
      <w:r w:rsidRPr="00D628C6">
        <w:rPr>
          <w:rFonts w:ascii="David" w:hAnsi="David" w:cs="David"/>
          <w:b/>
          <w:bCs/>
          <w:sz w:val="24"/>
          <w:szCs w:val="24"/>
          <w:rtl/>
        </w:rPr>
        <w:t xml:space="preserve"> </w:t>
      </w:r>
      <w:r w:rsidRPr="00D628C6">
        <w:rPr>
          <w:rFonts w:ascii="David" w:hAnsi="David" w:cs="David"/>
          <w:b/>
          <w:bCs/>
          <w:spacing w:val="0"/>
          <w:sz w:val="24"/>
          <w:szCs w:val="24"/>
          <w:rtl/>
        </w:rPr>
        <w:t>מדינת ישראל נ' בסל</w:t>
      </w:r>
      <w:r w:rsidRPr="00D628C6">
        <w:rPr>
          <w:rFonts w:ascii="David" w:hAnsi="David" w:cs="David"/>
          <w:b/>
          <w:bCs/>
          <w:sz w:val="24"/>
          <w:szCs w:val="24"/>
          <w:rtl/>
        </w:rPr>
        <w:t xml:space="preserve">, פסקה 10 </w:t>
      </w:r>
      <w:r w:rsidRPr="00D628C6">
        <w:rPr>
          <w:rFonts w:ascii="David" w:hAnsi="David" w:cs="David"/>
          <w:b/>
          <w:bCs/>
          <w:spacing w:val="0"/>
          <w:sz w:val="24"/>
          <w:szCs w:val="24"/>
          <w:rtl/>
        </w:rPr>
        <w:t xml:space="preserve">[פורסם בנבו] </w:t>
      </w:r>
      <w:r w:rsidRPr="00D628C6">
        <w:rPr>
          <w:rFonts w:ascii="David" w:hAnsi="David" w:cs="David"/>
          <w:b/>
          <w:bCs/>
          <w:sz w:val="24"/>
          <w:szCs w:val="24"/>
          <w:rtl/>
        </w:rPr>
        <w:t>(8.3.2017)). אך באחרונה עמד בית משפט זה על כך שעבירות אלו הן בבחינת "מכת מדינה" ועל הצורך בהחמרת הענישה בעניינן:</w:t>
      </w:r>
    </w:p>
    <w:p w14:paraId="0BC0680F" w14:textId="77777777" w:rsidR="00914F3B" w:rsidRPr="00D628C6" w:rsidRDefault="00914F3B" w:rsidP="00914F3B">
      <w:pPr>
        <w:pStyle w:val="Ruller50"/>
        <w:spacing w:after="120" w:line="360" w:lineRule="auto"/>
        <w:ind w:left="1134" w:right="1134"/>
        <w:rPr>
          <w:rFonts w:ascii="David" w:hAnsi="David" w:cs="David"/>
          <w:b/>
          <w:bCs/>
          <w:sz w:val="24"/>
          <w:szCs w:val="24"/>
          <w:rtl/>
        </w:rPr>
      </w:pPr>
      <w:r w:rsidRPr="00D628C6">
        <w:rPr>
          <w:rFonts w:ascii="David" w:hAnsi="David" w:cs="David"/>
          <w:b/>
          <w:bCs/>
          <w:sz w:val="24"/>
          <w:szCs w:val="24"/>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(עניין </w:t>
      </w:r>
      <w:r w:rsidRPr="00D628C6">
        <w:rPr>
          <w:rFonts w:ascii="David" w:hAnsi="David" w:cs="David"/>
          <w:b/>
          <w:bCs/>
          <w:spacing w:val="0"/>
          <w:sz w:val="24"/>
          <w:szCs w:val="24"/>
          <w:rtl/>
        </w:rPr>
        <w:t>קדורה</w:t>
      </w:r>
      <w:r w:rsidRPr="00D628C6">
        <w:rPr>
          <w:rFonts w:ascii="David" w:hAnsi="David" w:cs="David"/>
          <w:b/>
          <w:bCs/>
          <w:sz w:val="24"/>
          <w:szCs w:val="24"/>
          <w:rtl/>
        </w:rPr>
        <w:t>, פסקה 6).</w:t>
      </w:r>
    </w:p>
    <w:p w14:paraId="6F64C796" w14:textId="77777777" w:rsidR="00914F3B" w:rsidRPr="00D628C6" w:rsidRDefault="00914F3B" w:rsidP="00914F3B">
      <w:pPr>
        <w:pStyle w:val="Ruller4"/>
        <w:numPr>
          <w:ilvl w:val="0"/>
          <w:numId w:val="0"/>
        </w:numPr>
        <w:tabs>
          <w:tab w:val="left" w:pos="720"/>
        </w:tabs>
        <w:spacing w:after="120"/>
        <w:ind w:left="567" w:right="567"/>
        <w:rPr>
          <w:rFonts w:ascii="David" w:hAnsi="David" w:cs="David"/>
          <w:b/>
          <w:bCs/>
          <w:sz w:val="24"/>
          <w:szCs w:val="24"/>
        </w:rPr>
      </w:pPr>
      <w:r w:rsidRPr="00D628C6">
        <w:rPr>
          <w:rFonts w:ascii="David" w:hAnsi="David" w:cs="David"/>
          <w:b/>
          <w:bCs/>
          <w:sz w:val="24"/>
          <w:szCs w:val="24"/>
          <w:rtl/>
        </w:rPr>
        <w:t>בהקשר זה אוסיף כי 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w:t>
      </w:r>
      <w:r w:rsidRPr="0085738F">
        <w:rPr>
          <w:rFonts w:ascii="David" w:hAnsi="David" w:cs="David"/>
          <w:b/>
          <w:bCs/>
          <w:color w:val="000000"/>
          <w:sz w:val="24"/>
          <w:szCs w:val="24"/>
          <w:rtl/>
        </w:rPr>
        <w:t>סעיף 144(ז)</w:t>
      </w:r>
      <w:r w:rsidRPr="00D628C6">
        <w:rPr>
          <w:rFonts w:ascii="David" w:hAnsi="David" w:cs="David"/>
          <w:b/>
          <w:bCs/>
          <w:sz w:val="24"/>
          <w:szCs w:val="24"/>
          <w:rtl/>
        </w:rPr>
        <w:t xml:space="preserve"> ל</w:t>
      </w:r>
      <w:hyperlink r:id="rId17" w:history="1">
        <w:r w:rsidR="0085738F" w:rsidRPr="0085738F">
          <w:rPr>
            <w:rFonts w:ascii="David" w:hAnsi="David" w:cs="David"/>
            <w:b/>
            <w:bCs/>
            <w:color w:val="0000FF"/>
            <w:sz w:val="24"/>
            <w:szCs w:val="24"/>
            <w:u w:val="single"/>
            <w:rtl/>
          </w:rPr>
          <w:t>חוק העונשין</w:t>
        </w:r>
      </w:hyperlink>
      <w:r w:rsidRPr="00D628C6">
        <w:rPr>
          <w:rFonts w:ascii="David" w:hAnsi="David" w:cs="David"/>
          <w:b/>
          <w:bCs/>
          <w:sz w:val="24"/>
          <w:szCs w:val="24"/>
          <w:rtl/>
        </w:rPr>
        <w:t xml:space="preserve">; חוק העונשין (תיקון מס' 140 – הוראת שעה), התשפ"ב-2021; עניין </w:t>
      </w:r>
      <w:r w:rsidRPr="00D628C6">
        <w:rPr>
          <w:rFonts w:ascii="David" w:hAnsi="David" w:cs="David"/>
          <w:b/>
          <w:bCs/>
          <w:spacing w:val="0"/>
          <w:sz w:val="24"/>
          <w:szCs w:val="24"/>
          <w:rtl/>
        </w:rPr>
        <w:t>קדורה</w:t>
      </w:r>
      <w:r w:rsidRPr="00D628C6">
        <w:rPr>
          <w:rFonts w:ascii="David" w:hAnsi="David" w:cs="David"/>
          <w:b/>
          <w:bCs/>
          <w:sz w:val="24"/>
          <w:szCs w:val="24"/>
          <w:rtl/>
        </w:rPr>
        <w:t xml:space="preserve">, פסקה 6; </w:t>
      </w:r>
      <w:hyperlink r:id="rId18" w:history="1">
        <w:r w:rsidR="0085738F" w:rsidRPr="0085738F">
          <w:rPr>
            <w:rFonts w:ascii="David" w:hAnsi="David" w:cs="David"/>
            <w:b/>
            <w:bCs/>
            <w:color w:val="0000FF"/>
            <w:sz w:val="24"/>
            <w:szCs w:val="24"/>
            <w:u w:val="single"/>
            <w:rtl/>
          </w:rPr>
          <w:t>ע"פ 4456/21</w:t>
        </w:r>
      </w:hyperlink>
      <w:r w:rsidRPr="00D628C6">
        <w:rPr>
          <w:rFonts w:ascii="David" w:hAnsi="David" w:cs="David"/>
          <w:b/>
          <w:bCs/>
          <w:sz w:val="24"/>
          <w:szCs w:val="24"/>
          <w:rtl/>
        </w:rPr>
        <w:t xml:space="preserve"> </w:t>
      </w:r>
      <w:r w:rsidRPr="00D628C6">
        <w:rPr>
          <w:rFonts w:ascii="David" w:hAnsi="David" w:cs="David"/>
          <w:b/>
          <w:bCs/>
          <w:spacing w:val="0"/>
          <w:sz w:val="24"/>
          <w:szCs w:val="24"/>
          <w:rtl/>
        </w:rPr>
        <w:t>מדינת ישראל נ' אבו עבסה</w:t>
      </w:r>
      <w:r w:rsidRPr="00D628C6">
        <w:rPr>
          <w:rFonts w:ascii="David" w:hAnsi="David" w:cs="David"/>
          <w:b/>
          <w:bCs/>
          <w:sz w:val="24"/>
          <w:szCs w:val="24"/>
          <w:rtl/>
        </w:rPr>
        <w:t xml:space="preserve">, פסקה 15 </w:t>
      </w:r>
      <w:r w:rsidRPr="00D628C6">
        <w:rPr>
          <w:rFonts w:ascii="David" w:hAnsi="David" w:cs="David"/>
          <w:b/>
          <w:bCs/>
          <w:spacing w:val="0"/>
          <w:sz w:val="24"/>
          <w:szCs w:val="24"/>
          <w:rtl/>
        </w:rPr>
        <w:t xml:space="preserve">[פורסם בנבו] </w:t>
      </w:r>
      <w:r w:rsidRPr="00D628C6">
        <w:rPr>
          <w:rFonts w:ascii="David" w:hAnsi="David" w:cs="David"/>
          <w:b/>
          <w:bCs/>
          <w:sz w:val="24"/>
          <w:szCs w:val="24"/>
          <w:rtl/>
        </w:rPr>
        <w:t xml:space="preserve">(23.1.2022)). הגם שתיקון זה אינו חל בעניינו של המשיב – שהמעשים שבהם הורשע בוצעו עובר לחקיקתו – הוא משקף את רצון המחוקק בהחמרת הענישה בעבירות נשק. </w:t>
      </w:r>
    </w:p>
    <w:p w14:paraId="0849B1EB" w14:textId="77777777" w:rsidR="00914F3B" w:rsidRPr="00D628C6" w:rsidRDefault="00914F3B" w:rsidP="00914F3B">
      <w:pPr>
        <w:spacing w:after="120" w:line="360" w:lineRule="auto"/>
        <w:jc w:val="both"/>
        <w:rPr>
          <w:rFonts w:ascii="David" w:hAnsi="David"/>
        </w:rPr>
      </w:pPr>
      <w:r w:rsidRPr="00D628C6">
        <w:rPr>
          <w:rFonts w:ascii="David" w:hAnsi="David"/>
          <w:rtl/>
        </w:rPr>
        <w:t xml:space="preserve">ר' גם </w:t>
      </w:r>
      <w:hyperlink r:id="rId19" w:history="1">
        <w:r w:rsidR="0085738F" w:rsidRPr="0085738F">
          <w:rPr>
            <w:rFonts w:ascii="David" w:hAnsi="David"/>
            <w:color w:val="0000FF"/>
            <w:u w:val="single"/>
            <w:rtl/>
          </w:rPr>
          <w:t>ע"פ 147/21</w:t>
        </w:r>
      </w:hyperlink>
      <w:r w:rsidRPr="00D628C6">
        <w:rPr>
          <w:rFonts w:ascii="David" w:hAnsi="David"/>
          <w:rtl/>
        </w:rPr>
        <w:t xml:space="preserve">, מדינת ישראל נ' ביטון, שם </w:t>
      </w:r>
      <w:r w:rsidRPr="00D628C6">
        <w:rPr>
          <w:rFonts w:ascii="David" w:hAnsi="David"/>
          <w:u w:val="single"/>
          <w:rtl/>
        </w:rPr>
        <w:t>הוכפל</w:t>
      </w:r>
      <w:r w:rsidRPr="00D628C6">
        <w:rPr>
          <w:rFonts w:ascii="David" w:hAnsi="David"/>
          <w:rtl/>
        </w:rPr>
        <w:t xml:space="preserve"> ענשו של נאשם שרכש אקדח ולבנת חבלה, משנה וחצי לשלוש שנים, ונפסק:</w:t>
      </w:r>
    </w:p>
    <w:p w14:paraId="0E3B318E" w14:textId="77777777" w:rsidR="00914F3B" w:rsidRPr="00D628C6" w:rsidRDefault="00914F3B" w:rsidP="00914F3B">
      <w:pPr>
        <w:spacing w:after="120" w:line="360" w:lineRule="auto"/>
        <w:ind w:left="567" w:right="567"/>
        <w:jc w:val="both"/>
        <w:rPr>
          <w:rFonts w:ascii="David" w:hAnsi="David"/>
          <w:b/>
          <w:bCs/>
        </w:rPr>
      </w:pPr>
      <w:r w:rsidRPr="00D628C6">
        <w:rPr>
          <w:rFonts w:ascii="David"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w:t>
      </w:r>
      <w:hyperlink w:history="1">
        <w:r w:rsidRPr="0085738F">
          <w:rPr>
            <w:rFonts w:ascii="David" w:hAnsi="David"/>
            <w:b/>
            <w:bCs/>
            <w:color w:val="000000"/>
            <w:rtl/>
          </w:rPr>
          <w:t>פלר יסודות בדיני עונשין</w:t>
        </w:r>
      </w:hyperlink>
      <w:r w:rsidRPr="00D628C6">
        <w:rPr>
          <w:rFonts w:ascii="David"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w:t>
      </w:r>
      <w:hyperlink w:history="1">
        <w:r w:rsidRPr="0085738F">
          <w:rPr>
            <w:rFonts w:ascii="David" w:hAnsi="David"/>
            <w:b/>
            <w:bCs/>
            <w:color w:val="000000"/>
            <w:rtl/>
          </w:rPr>
          <w:t>בסעיף 144(א)</w:t>
        </w:r>
      </w:hyperlink>
      <w:r w:rsidRPr="00D628C6">
        <w:rPr>
          <w:rFonts w:ascii="David" w:hAnsi="David"/>
          <w:b/>
          <w:bCs/>
          <w:rtl/>
        </w:rPr>
        <w:t xml:space="preserve"> ל</w:t>
      </w:r>
      <w:hyperlink w:history="1">
        <w:r w:rsidRPr="0085738F">
          <w:rPr>
            <w:rFonts w:ascii="David" w:hAnsi="David"/>
            <w:b/>
            <w:bCs/>
            <w:color w:val="000000"/>
            <w:rtl/>
          </w:rPr>
          <w:t>חוק העונשין</w:t>
        </w:r>
      </w:hyperlink>
      <w:r w:rsidRPr="00D628C6">
        <w:rPr>
          <w:rFonts w:ascii="David"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w:history="1">
        <w:r w:rsidRPr="0085738F">
          <w:rPr>
            <w:rFonts w:ascii="David" w:hAnsi="David"/>
            <w:b/>
            <w:bCs/>
            <w:color w:val="000000"/>
            <w:rtl/>
          </w:rPr>
          <w:t>ע"פ 4406/19</w:t>
        </w:r>
      </w:hyperlink>
      <w:r w:rsidRPr="00D628C6">
        <w:rPr>
          <w:rFonts w:ascii="David" w:hAnsi="David"/>
          <w:b/>
          <w:bCs/>
          <w:rtl/>
        </w:rPr>
        <w:t xml:space="preserve"> מדינת ישראל נ' סובח [פורסם בנבו] (5.11.2019) (להלן: עניין סובח)). </w:t>
      </w:r>
    </w:p>
    <w:p w14:paraId="0FE8DC5F" w14:textId="77777777" w:rsidR="00914F3B" w:rsidRPr="00D628C6" w:rsidRDefault="00914F3B" w:rsidP="00914F3B">
      <w:pPr>
        <w:spacing w:after="120" w:line="360" w:lineRule="auto"/>
        <w:ind w:left="567" w:right="567"/>
        <w:jc w:val="both"/>
        <w:rPr>
          <w:rFonts w:ascii="David" w:hAnsi="David"/>
          <w:b/>
          <w:bCs/>
          <w:rtl/>
        </w:rPr>
      </w:pPr>
      <w:r w:rsidRPr="00D628C6">
        <w:rPr>
          <w:rFonts w:ascii="David" w:hAnsi="David"/>
          <w:b/>
          <w:bCs/>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(ראו פסקה 16 לפסק דיני ב</w:t>
      </w:r>
      <w:hyperlink w:history="1">
        <w:r w:rsidRPr="0085738F">
          <w:rPr>
            <w:rFonts w:ascii="David" w:hAnsi="David"/>
            <w:b/>
            <w:bCs/>
            <w:color w:val="000000"/>
            <w:rtl/>
          </w:rPr>
          <w:t>ע"פ 3124/18</w:t>
        </w:r>
      </w:hyperlink>
      <w:r w:rsidRPr="00D628C6">
        <w:rPr>
          <w:rFonts w:ascii="David" w:hAnsi="David"/>
          <w:b/>
          <w:bCs/>
          <w:rtl/>
        </w:rPr>
        <w:t xml:space="preserve"> פלוני נ' מדינת ישראל [פורסם בנבו] (14.8.2019), והאסמכתאות שם (להלן: עניין פלוני)).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w:history="1">
        <w:r w:rsidRPr="0085738F">
          <w:rPr>
            <w:rFonts w:ascii="David" w:hAnsi="David"/>
            <w:b/>
            <w:bCs/>
            <w:color w:val="000000"/>
            <w:rtl/>
          </w:rPr>
          <w:t>חוק העונשין</w:t>
        </w:r>
      </w:hyperlink>
      <w:r w:rsidRPr="00D628C6">
        <w:rPr>
          <w:rFonts w:ascii="David" w:hAnsi="David"/>
          <w:b/>
          <w:bCs/>
          <w:rtl/>
        </w:rPr>
        <w:t xml:space="preserve"> (ראו: </w:t>
      </w:r>
      <w:hyperlink w:history="1">
        <w:r w:rsidRPr="0085738F">
          <w:rPr>
            <w:rFonts w:ascii="David" w:hAnsi="David"/>
            <w:b/>
            <w:bCs/>
            <w:color w:val="000000"/>
            <w:rtl/>
          </w:rPr>
          <w:t>ע"פ 8641/12 סעד נ' מדינת ישראל, פ"ד סו</w:t>
        </w:r>
      </w:hyperlink>
      <w:r w:rsidRPr="00D628C6">
        <w:rPr>
          <w:rFonts w:ascii="David" w:hAnsi="David"/>
          <w:b/>
          <w:bCs/>
          <w:rtl/>
        </w:rPr>
        <w:t xml:space="preserve">(2) 772 (2013)). </w:t>
      </w:r>
    </w:p>
    <w:p w14:paraId="735ADC6F" w14:textId="77777777" w:rsidR="00914F3B" w:rsidRPr="00D628C6" w:rsidRDefault="00914F3B" w:rsidP="00914F3B">
      <w:pPr>
        <w:spacing w:after="120" w:line="360" w:lineRule="auto"/>
        <w:jc w:val="both"/>
        <w:rPr>
          <w:rFonts w:ascii="David" w:hAnsi="David"/>
          <w:rtl/>
        </w:rPr>
      </w:pPr>
      <w:r w:rsidRPr="00D628C6">
        <w:rPr>
          <w:rFonts w:ascii="David" w:hAnsi="David"/>
          <w:rtl/>
        </w:rPr>
        <w:t>נתון משמעותי נוסף אותו אביא בחשבון הוא תיקון 140 ל</w:t>
      </w:r>
      <w:hyperlink r:id="rId20" w:history="1">
        <w:r w:rsidR="0085738F" w:rsidRPr="0085738F">
          <w:rPr>
            <w:rFonts w:ascii="David" w:hAnsi="David"/>
            <w:color w:val="0000FF"/>
            <w:u w:val="single"/>
            <w:rtl/>
          </w:rPr>
          <w:t>חוק העונשין</w:t>
        </w:r>
      </w:hyperlink>
      <w:r w:rsidRPr="00D628C6">
        <w:rPr>
          <w:rFonts w:ascii="David" w:hAnsi="David"/>
          <w:rtl/>
        </w:rPr>
        <w:t>, הקובע כי בצד עבירת החזקת נשק עונש מזערי של 21 חודשי מאסר (רבע העונש המירבי). ר' למשל</w:t>
      </w:r>
      <w:r>
        <w:rPr>
          <w:rFonts w:ascii="David" w:hAnsi="David" w:hint="cs"/>
          <w:rtl/>
        </w:rPr>
        <w:t xml:space="preserve"> פסק דינו של בית המשפט המחוזי בירושלים</w:t>
      </w:r>
      <w:r w:rsidRPr="00D628C6">
        <w:rPr>
          <w:rFonts w:ascii="David" w:hAnsi="David"/>
          <w:rtl/>
        </w:rPr>
        <w:t xml:space="preserve"> </w:t>
      </w:r>
      <w:r>
        <w:rPr>
          <w:rFonts w:ascii="David" w:hAnsi="David" w:hint="cs"/>
          <w:rtl/>
        </w:rPr>
        <w:t>ב</w:t>
      </w:r>
      <w:r w:rsidRPr="00D628C6">
        <w:rPr>
          <w:rFonts w:ascii="David" w:hAnsi="David"/>
          <w:rtl/>
        </w:rPr>
        <w:t xml:space="preserve">עפ"ג 9683-09-22, </w:t>
      </w:r>
      <w:r>
        <w:rPr>
          <w:rFonts w:ascii="David" w:hAnsi="David" w:hint="cs"/>
          <w:rtl/>
        </w:rPr>
        <w:t xml:space="preserve">אדיב, </w:t>
      </w:r>
      <w:r w:rsidRPr="00D628C6">
        <w:rPr>
          <w:rFonts w:ascii="David" w:hAnsi="David"/>
          <w:rtl/>
        </w:rPr>
        <w:t>שם נדון ערעורו של נאשם אשר הורשע בהחזקת אק</w:t>
      </w:r>
      <w:r>
        <w:rPr>
          <w:rFonts w:ascii="David" w:hAnsi="David"/>
          <w:rtl/>
        </w:rPr>
        <w:t>דח אחד, ואושר מתחם עונש הולם ש</w:t>
      </w:r>
      <w:r>
        <w:rPr>
          <w:rFonts w:ascii="David" w:hAnsi="David" w:hint="cs"/>
          <w:rtl/>
        </w:rPr>
        <w:t xml:space="preserve">בין שנה וחצי לשלוש שנים מאסר </w:t>
      </w:r>
      <w:r w:rsidRPr="00D628C6">
        <w:rPr>
          <w:rFonts w:ascii="David" w:hAnsi="David"/>
          <w:rtl/>
        </w:rPr>
        <w:t>שנקבע בעניינו</w:t>
      </w:r>
      <w:r>
        <w:rPr>
          <w:rFonts w:ascii="David" w:hAnsi="David" w:hint="cs"/>
          <w:rtl/>
        </w:rPr>
        <w:t xml:space="preserve"> של אותו נאשם, ונקבע</w:t>
      </w:r>
      <w:r w:rsidRPr="00D628C6">
        <w:rPr>
          <w:rFonts w:ascii="David" w:hAnsi="David"/>
          <w:rtl/>
        </w:rPr>
        <w:t>:</w:t>
      </w:r>
    </w:p>
    <w:p w14:paraId="7FC789CD" w14:textId="77777777" w:rsidR="00914F3B" w:rsidRPr="00D628C6" w:rsidRDefault="00914F3B" w:rsidP="00914F3B">
      <w:pPr>
        <w:spacing w:after="120" w:line="360" w:lineRule="auto"/>
        <w:ind w:left="567" w:right="567"/>
        <w:jc w:val="both"/>
        <w:rPr>
          <w:rFonts w:ascii="David" w:hAnsi="David"/>
          <w:b/>
          <w:bCs/>
          <w:rtl/>
        </w:rPr>
      </w:pPr>
      <w:r w:rsidRPr="00D628C6">
        <w:rPr>
          <w:rFonts w:ascii="David" w:hAnsi="David"/>
          <w:b/>
          <w:bCs/>
          <w:rtl/>
        </w:rPr>
        <w:t>8.</w:t>
      </w:r>
      <w:r w:rsidRPr="00D628C6">
        <w:rPr>
          <w:rFonts w:ascii="David" w:hAnsi="David"/>
          <w:b/>
          <w:bCs/>
          <w:rtl/>
        </w:rPr>
        <w:tab/>
        <w:t>בעבירות הנשק גלום סיכון רבתי לשלום הציבור, לביטחונו ולסדר החברתי. הפסיקה בעת האחרונה נוקטת מדיניות של החמרה ניכרת בענישה בגין עבירות אלה. נפסק כי הטלת ענישה הולמת ומרתיעה היא בעלת חשיבות של ממש ביחס לכל חוליות השרשרת העבריינית – החל מיצרני או מבריחי נשק בלתי חוקי, דרך הסוחרים בו, עובר לאלה אשר רק מחזיקים או נושאים אותו, ועד לאלה הנוטלים אותו לידם ועושים בו שימוש בלתי חוקי, וזאת ביחס לכל סוגי כלי הנשק. עיקר המשקל ניתן לשיקולי הרתעה, כאשר נפסק כי הם מחייבים נקיטת ענישה מחמירה ובלתי מתפשרת כלפי מעורבים בעבירות נשק אף אם הם נעדרי עבר פלילי – "בטיפולנו בעבירות מסוג זה ובמבצעיהן, להרתעת היחיד והרבים ולהרחקת עברייני הנשק מהחברה על-ידי השמתם בין כותלי הכלא לתקופות ממושכות יש מעמד בכורה. ... ככלל, יעדים עונשיים אלו מוחקים מניה וביה את בקשת העבריין לשיקום שמחוץ לכלא – זאת, גם כאשר מדובר בעבריין צעיר שהסתבך לראשונה בפלילים ובקשתו לשיקום כנה ואף זוכה לתמיכתו של שירות המבחן" (</w:t>
      </w:r>
      <w:hyperlink r:id="rId21" w:history="1">
        <w:r w:rsidR="0085738F" w:rsidRPr="0085738F">
          <w:rPr>
            <w:rFonts w:ascii="David" w:hAnsi="David"/>
            <w:b/>
            <w:bCs/>
            <w:color w:val="0000FF"/>
            <w:u w:val="single"/>
            <w:rtl/>
          </w:rPr>
          <w:t>ע"פ 4077/22</w:t>
        </w:r>
      </w:hyperlink>
      <w:r w:rsidRPr="00D628C6">
        <w:rPr>
          <w:rFonts w:ascii="David" w:hAnsi="David"/>
          <w:b/>
          <w:bCs/>
          <w:rtl/>
        </w:rPr>
        <w:t xml:space="preserve"> פלוני נ' מדינת ישראל, פסקה 12 לפסק דינו של כבוד השופט א' שטיין (28.7.2022)). עוד נקבע כי הקלה בעונשו של עבריין נשק מכבידה על החברה ומעמידה אותה בסכנה (</w:t>
      </w:r>
      <w:hyperlink r:id="rId22" w:history="1">
        <w:r w:rsidR="0085738F" w:rsidRPr="0085738F">
          <w:rPr>
            <w:rFonts w:ascii="David" w:hAnsi="David"/>
            <w:b/>
            <w:bCs/>
            <w:color w:val="0000FF"/>
            <w:u w:val="single"/>
            <w:rtl/>
          </w:rPr>
          <w:t>ע"פ 5602/22</w:t>
        </w:r>
      </w:hyperlink>
      <w:r w:rsidRPr="00D628C6">
        <w:rPr>
          <w:rFonts w:ascii="David" w:hAnsi="David"/>
          <w:b/>
          <w:bCs/>
          <w:rtl/>
        </w:rPr>
        <w:t xml:space="preserve"> מדינת ישראל נ' פלוני, פסקה 15 לפסק דינו של כבוד השופט א' שטיין (14.9.2022)). </w:t>
      </w:r>
    </w:p>
    <w:p w14:paraId="24FE8ADD" w14:textId="77777777" w:rsidR="00914F3B" w:rsidRPr="00D628C6" w:rsidRDefault="00914F3B" w:rsidP="00914F3B">
      <w:pPr>
        <w:spacing w:after="120" w:line="360" w:lineRule="auto"/>
        <w:ind w:left="567" w:right="567"/>
        <w:jc w:val="both"/>
        <w:rPr>
          <w:rFonts w:ascii="David" w:hAnsi="David"/>
          <w:b/>
          <w:bCs/>
        </w:rPr>
      </w:pPr>
      <w:r w:rsidRPr="00D628C6">
        <w:rPr>
          <w:rFonts w:ascii="David" w:hAnsi="David"/>
          <w:b/>
          <w:bCs/>
          <w:rtl/>
        </w:rPr>
        <w:t>9.</w:t>
      </w:r>
      <w:r w:rsidRPr="00D628C6">
        <w:rPr>
          <w:rFonts w:ascii="David" w:hAnsi="David"/>
          <w:b/>
          <w:bCs/>
          <w:rtl/>
        </w:rPr>
        <w:tab/>
        <w:t>לאחרונה נתן המחוקק דעתו לצורך בהחמרת הענישה של אלה המורשעים בעבירות נשק, כאשר במסגרת תיקון מס' 140 עיגן באופן חריג עונשי מינימום בעבירות נשק, כך שהעונש שיושת בגינן יעמוד לכל הפחות על רבע העונש המרבי שנקבע לעבירה, אלא אם החליט בית המשפט מטעמים מיוחדים שיירשמו להקל בעונש (סעיף 144(ז) ל</w:t>
      </w:r>
      <w:hyperlink r:id="rId23" w:history="1">
        <w:r w:rsidR="0085738F" w:rsidRPr="0085738F">
          <w:rPr>
            <w:rFonts w:ascii="David" w:hAnsi="David"/>
            <w:b/>
            <w:bCs/>
            <w:color w:val="0000FF"/>
            <w:u w:val="single"/>
            <w:rtl/>
          </w:rPr>
          <w:t>חוק העונשין</w:t>
        </w:r>
      </w:hyperlink>
      <w:r w:rsidRPr="00D628C6">
        <w:rPr>
          <w:rFonts w:ascii="David" w:hAnsi="David"/>
          <w:b/>
          <w:bCs/>
          <w:rtl/>
        </w:rPr>
        <w:t xml:space="preserve">, התשל"ז-1977; וראו: דברי ההסבר להצעת חוק העונשין (תיקון מס' 142 – הוראת שעה)(עונש מזערי על החזקת נשק בלא רשות על פי דין), התשפ"א-2021, ה"ח 90). </w:t>
      </w:r>
    </w:p>
    <w:p w14:paraId="542210D5" w14:textId="77777777" w:rsidR="00914F3B" w:rsidRPr="00D628C6" w:rsidRDefault="00914F3B" w:rsidP="00914F3B">
      <w:pPr>
        <w:spacing w:after="120" w:line="360" w:lineRule="auto"/>
        <w:ind w:left="567" w:right="567"/>
        <w:jc w:val="both"/>
        <w:rPr>
          <w:rFonts w:ascii="David" w:hAnsi="David"/>
          <w:b/>
          <w:bCs/>
          <w:rtl/>
        </w:rPr>
      </w:pPr>
      <w:r w:rsidRPr="00D628C6">
        <w:rPr>
          <w:rFonts w:ascii="David" w:hAnsi="David"/>
          <w:b/>
          <w:bCs/>
          <w:rtl/>
        </w:rPr>
        <w:t xml:space="preserve">תיקון מס' 140 משקף את רצון המחוקק לפעול בצעד נוסף המכוון להחמרת הענישה, וזאת בנוסף למדיניות המחמירה שננקטה כאמור על-ידי בתי המשפט לאחרונה (ראו, למשל: </w:t>
      </w:r>
      <w:hyperlink r:id="rId24" w:history="1">
        <w:r w:rsidR="0085738F" w:rsidRPr="0085738F">
          <w:rPr>
            <w:rFonts w:ascii="David" w:hAnsi="David"/>
            <w:b/>
            <w:bCs/>
            <w:color w:val="0000FF"/>
            <w:u w:val="single"/>
            <w:rtl/>
          </w:rPr>
          <w:t>ע"פ 4103/22</w:t>
        </w:r>
      </w:hyperlink>
      <w:r w:rsidRPr="00D628C6">
        <w:rPr>
          <w:rFonts w:ascii="David" w:hAnsi="David"/>
          <w:b/>
          <w:bCs/>
          <w:rtl/>
        </w:rPr>
        <w:t xml:space="preserve"> מדינת ישראל נ' אמון, פסקה 9 לפסק דינו של כבוד המשנה לנשיאה ע' פוגלמן (6.11.2022); </w:t>
      </w:r>
      <w:hyperlink r:id="rId25" w:history="1">
        <w:r w:rsidR="0085738F" w:rsidRPr="0085738F">
          <w:rPr>
            <w:rFonts w:ascii="David" w:hAnsi="David"/>
            <w:b/>
            <w:bCs/>
            <w:color w:val="0000FF"/>
            <w:u w:val="single"/>
            <w:rtl/>
          </w:rPr>
          <w:t>ע"פ 309/22</w:t>
        </w:r>
      </w:hyperlink>
      <w:r w:rsidRPr="00D628C6">
        <w:rPr>
          <w:rFonts w:ascii="David" w:hAnsi="David"/>
          <w:b/>
          <w:bCs/>
          <w:rtl/>
        </w:rPr>
        <w:t xml:space="preserve"> מדינת ישראל נ' ביאדסה, פסקה 6 לפסק דינו של כבוד המשנה לנשיאה ע' פוגלמן (10.5.2022); ע"א 4456/21 מדינת ישראל נ' אבו עבסה, פסקה 15 לפסק דינו של כבוד השופט י' אלרון (23.1.2022)). </w:t>
      </w:r>
    </w:p>
    <w:p w14:paraId="39EC9F55" w14:textId="77777777" w:rsidR="00914F3B" w:rsidRPr="00D628C6" w:rsidRDefault="00914F3B" w:rsidP="00914F3B">
      <w:pPr>
        <w:spacing w:after="120" w:line="360" w:lineRule="auto"/>
        <w:ind w:left="567" w:right="567"/>
        <w:jc w:val="both"/>
        <w:rPr>
          <w:rFonts w:ascii="David" w:hAnsi="David"/>
          <w:b/>
          <w:bCs/>
          <w:rtl/>
        </w:rPr>
      </w:pPr>
      <w:r w:rsidRPr="00D628C6">
        <w:rPr>
          <w:rFonts w:ascii="David" w:hAnsi="David"/>
          <w:b/>
          <w:bCs/>
          <w:rtl/>
        </w:rPr>
        <w:t xml:space="preserve">10. </w:t>
      </w:r>
      <w:r w:rsidRPr="00D628C6">
        <w:rPr>
          <w:rFonts w:ascii="David" w:hAnsi="David"/>
          <w:b/>
          <w:bCs/>
          <w:rtl/>
        </w:rPr>
        <w:tab/>
        <w:t xml:space="preserve">במקרה שלפנינו עבירת החזקת הנשק שבה הורשע המערער בוצעה על ידו לאחר שנכנס לתוקפו תיקון מס' 140. במצב דברים זה סברנו כי לאור רף הענישה שנקבע בפסיקת בית המשפט העליון מן העת האחרונה ביחס לעבירה זו במקרים קרובים שלפני התיקון, אין מקום להתערבות ערכאת הערעור במתחם העונש ההולם שנקבע על-ידי בית משפט קמא העומד </w:t>
      </w:r>
      <w:hyperlink r:id="rId26" w:history="1">
        <w:r w:rsidR="0085738F" w:rsidRPr="0085738F">
          <w:rPr>
            <w:rFonts w:ascii="David" w:hAnsi="David"/>
            <w:b/>
            <w:bCs/>
            <w:color w:val="0000FF"/>
            <w:u w:val="single"/>
            <w:rtl/>
          </w:rPr>
          <w:t>על 36-18</w:t>
        </w:r>
      </w:hyperlink>
      <w:r w:rsidRPr="00D628C6">
        <w:rPr>
          <w:rFonts w:ascii="David" w:hAnsi="David"/>
          <w:b/>
          <w:bCs/>
          <w:rtl/>
        </w:rPr>
        <w:t xml:space="preserve"> חודשי מאסר בפועל ועונשים נלווים, מתחם העולה בקנה אחד עם פסיקת בית המשפט העליון (</w:t>
      </w:r>
      <w:hyperlink r:id="rId27" w:history="1">
        <w:r w:rsidR="0085738F" w:rsidRPr="0085738F">
          <w:rPr>
            <w:rFonts w:ascii="David" w:hAnsi="David"/>
            <w:b/>
            <w:bCs/>
            <w:color w:val="0000FF"/>
            <w:u w:val="single"/>
            <w:rtl/>
          </w:rPr>
          <w:t>ע"פ 2283/22</w:t>
        </w:r>
      </w:hyperlink>
      <w:r w:rsidRPr="00D628C6">
        <w:rPr>
          <w:rFonts w:ascii="David" w:hAnsi="David"/>
          <w:b/>
          <w:bCs/>
          <w:rtl/>
        </w:rPr>
        <w:t xml:space="preserve"> אל נבארי נ' מדינת ישראל (31.7.2022); </w:t>
      </w:r>
      <w:hyperlink r:id="rId28" w:history="1">
        <w:r w:rsidR="0085738F" w:rsidRPr="0085738F">
          <w:rPr>
            <w:rFonts w:ascii="David" w:hAnsi="David"/>
            <w:b/>
            <w:bCs/>
            <w:color w:val="0000FF"/>
            <w:u w:val="single"/>
            <w:rtl/>
          </w:rPr>
          <w:t>ע"פ 5813/21</w:t>
        </w:r>
      </w:hyperlink>
      <w:r w:rsidRPr="00D628C6">
        <w:rPr>
          <w:rFonts w:ascii="David" w:hAnsi="David"/>
          <w:b/>
          <w:bCs/>
          <w:rtl/>
        </w:rPr>
        <w:t xml:space="preserve"> ג'בארין נ' מדינת ישראל (31.5.2022); </w:t>
      </w:r>
      <w:hyperlink r:id="rId29" w:history="1">
        <w:r w:rsidR="0085738F" w:rsidRPr="0085738F">
          <w:rPr>
            <w:rFonts w:ascii="David" w:hAnsi="David"/>
            <w:b/>
            <w:bCs/>
            <w:color w:val="0000FF"/>
            <w:u w:val="single"/>
            <w:rtl/>
          </w:rPr>
          <w:t>ע"פ 2482/22</w:t>
        </w:r>
      </w:hyperlink>
      <w:r w:rsidRPr="00D628C6">
        <w:rPr>
          <w:rFonts w:ascii="David" w:hAnsi="David"/>
          <w:b/>
          <w:bCs/>
          <w:rtl/>
        </w:rPr>
        <w:t xml:space="preserve"> מדינת ישראל נ' קדורה (14.4.2022); </w:t>
      </w:r>
      <w:hyperlink r:id="rId30" w:history="1">
        <w:r w:rsidR="0085738F" w:rsidRPr="0085738F">
          <w:rPr>
            <w:rFonts w:ascii="David" w:hAnsi="David"/>
            <w:b/>
            <w:bCs/>
            <w:color w:val="0000FF"/>
            <w:u w:val="single"/>
            <w:rtl/>
          </w:rPr>
          <w:t>ע"פ 4332/21</w:t>
        </w:r>
      </w:hyperlink>
      <w:r w:rsidRPr="00D628C6">
        <w:rPr>
          <w:rFonts w:ascii="David" w:hAnsi="David"/>
          <w:b/>
          <w:bCs/>
          <w:rtl/>
        </w:rPr>
        <w:t xml:space="preserve"> עאסלה נ' מדינת ישראל (20.2.2022); </w:t>
      </w:r>
      <w:hyperlink r:id="rId31" w:history="1">
        <w:r w:rsidR="0085738F" w:rsidRPr="0085738F">
          <w:rPr>
            <w:rFonts w:ascii="David" w:hAnsi="David"/>
            <w:b/>
            <w:bCs/>
            <w:color w:val="0000FF"/>
            <w:u w:val="single"/>
            <w:rtl/>
          </w:rPr>
          <w:t>ע"פ 8320/21</w:t>
        </w:r>
      </w:hyperlink>
      <w:r w:rsidRPr="00D628C6">
        <w:rPr>
          <w:rFonts w:ascii="David" w:hAnsi="David"/>
          <w:b/>
          <w:bCs/>
          <w:rtl/>
        </w:rPr>
        <w:t xml:space="preserve"> מדינת ישראל נ' בסילה (28.12.2021); </w:t>
      </w:r>
      <w:hyperlink r:id="rId32" w:history="1">
        <w:r w:rsidR="0085738F" w:rsidRPr="0085738F">
          <w:rPr>
            <w:rFonts w:ascii="David" w:hAnsi="David"/>
            <w:b/>
            <w:bCs/>
            <w:color w:val="0000FF"/>
            <w:u w:val="single"/>
            <w:rtl/>
          </w:rPr>
          <w:t>ע"פ 2141/21</w:t>
        </w:r>
      </w:hyperlink>
      <w:r w:rsidRPr="00D628C6">
        <w:rPr>
          <w:rFonts w:ascii="David" w:hAnsi="David"/>
          <w:b/>
          <w:bCs/>
          <w:rtl/>
        </w:rPr>
        <w:t xml:space="preserve"> חניני נ' מדינת ישראל (27.5.2021)).</w:t>
      </w:r>
    </w:p>
    <w:p w14:paraId="45A9658E" w14:textId="77777777" w:rsidR="00914F3B" w:rsidRPr="00D628C6" w:rsidRDefault="00914F3B" w:rsidP="00914F3B">
      <w:pPr>
        <w:spacing w:after="120" w:line="360" w:lineRule="auto"/>
        <w:jc w:val="both"/>
        <w:rPr>
          <w:rFonts w:ascii="David" w:hAnsi="David"/>
          <w:rtl/>
        </w:rPr>
      </w:pPr>
      <w:r w:rsidRPr="00D628C6">
        <w:rPr>
          <w:rFonts w:ascii="David" w:hAnsi="David"/>
          <w:rtl/>
        </w:rPr>
        <w:t xml:space="preserve">בקביעת מתחם העונש אביא בחשבון את חומרת מעשיו של הנאשם, המתבטאת, </w:t>
      </w:r>
      <w:r>
        <w:rPr>
          <w:rFonts w:ascii="David" w:hAnsi="David" w:hint="cs"/>
          <w:rtl/>
        </w:rPr>
        <w:t>בצד החזקת האקדח</w:t>
      </w:r>
      <w:r w:rsidRPr="00D628C6">
        <w:rPr>
          <w:rFonts w:ascii="David" w:hAnsi="David"/>
          <w:rtl/>
        </w:rPr>
        <w:t>, בכמות התחמושת והמחסניות אותן החזיק הנאשם, המקשה לקבל את ההנחה כי מדובר בהחזקה "לשימוש עצמי בלבד", פוטנציאל הנזק הטמון במעשים, הצורך החיוני להרתיע מפני ביצוע עבירות דומות, רמת הענישה הנוהגת והעונש המזערי שבצידה של העבירה.</w:t>
      </w:r>
    </w:p>
    <w:p w14:paraId="0EA9E516" w14:textId="77777777" w:rsidR="00914F3B" w:rsidRPr="00D628C6" w:rsidRDefault="00914F3B" w:rsidP="00914F3B">
      <w:pPr>
        <w:spacing w:after="120" w:line="360" w:lineRule="auto"/>
        <w:jc w:val="both"/>
        <w:rPr>
          <w:rFonts w:ascii="David" w:hAnsi="David"/>
          <w:rtl/>
        </w:rPr>
      </w:pPr>
      <w:r w:rsidRPr="00D628C6">
        <w:rPr>
          <w:rFonts w:ascii="David" w:hAnsi="David"/>
          <w:rtl/>
        </w:rPr>
        <w:t>בשים לב לכל אלה, מתחם העונש ההולם את מעשיו של הנאשם הוא מאסר בפועל לתקופה שבין שנתיים ועד ארבע שנים ועונשים נלווים</w:t>
      </w:r>
      <w:r>
        <w:rPr>
          <w:rFonts w:ascii="David" w:hAnsi="David" w:hint="cs"/>
          <w:rtl/>
        </w:rPr>
        <w:t xml:space="preserve"> (בין היתר, בשים לב למתחם אשר אושר בעפ"ג </w:t>
      </w:r>
      <w:r w:rsidRPr="00D628C6">
        <w:rPr>
          <w:rFonts w:ascii="David" w:hAnsi="David"/>
          <w:rtl/>
        </w:rPr>
        <w:t xml:space="preserve"> 9683-09-22, </w:t>
      </w:r>
      <w:r>
        <w:rPr>
          <w:rFonts w:ascii="David" w:hAnsi="David" w:hint="cs"/>
          <w:rtl/>
        </w:rPr>
        <w:t>אדיב, הנ"ל)</w:t>
      </w:r>
      <w:r w:rsidRPr="00D628C6">
        <w:rPr>
          <w:rFonts w:ascii="David" w:hAnsi="David"/>
          <w:rtl/>
        </w:rPr>
        <w:t>.</w:t>
      </w:r>
    </w:p>
    <w:p w14:paraId="26C63112" w14:textId="77777777" w:rsidR="00914F3B" w:rsidRPr="00D628C6" w:rsidRDefault="00914F3B" w:rsidP="00914F3B">
      <w:pPr>
        <w:spacing w:after="120" w:line="360" w:lineRule="auto"/>
        <w:jc w:val="both"/>
        <w:rPr>
          <w:rFonts w:ascii="David" w:hAnsi="David"/>
          <w:b/>
          <w:bCs/>
          <w:rtl/>
        </w:rPr>
      </w:pPr>
      <w:r w:rsidRPr="00D628C6">
        <w:rPr>
          <w:rFonts w:ascii="David" w:hAnsi="David"/>
          <w:b/>
          <w:bCs/>
          <w:rtl/>
        </w:rPr>
        <w:t>נסיבות שאינן קשורות לעבירות</w:t>
      </w:r>
    </w:p>
    <w:p w14:paraId="1C553C3C" w14:textId="77777777" w:rsidR="00914F3B" w:rsidRDefault="00914F3B" w:rsidP="00914F3B">
      <w:pPr>
        <w:spacing w:after="120" w:line="360" w:lineRule="auto"/>
        <w:jc w:val="both"/>
        <w:rPr>
          <w:rFonts w:ascii="David" w:hAnsi="David"/>
          <w:rtl/>
        </w:rPr>
      </w:pPr>
      <w:r w:rsidRPr="00D628C6">
        <w:rPr>
          <w:rFonts w:ascii="David" w:hAnsi="David"/>
          <w:rtl/>
        </w:rPr>
        <w:t>הנאשם יליד שנת 1986, ומטיעוני ב"כ כוחו עולה כי הוא נשוי ואב לילדים, אשר למרבה הצער אחד מהם סובל מנכות</w:t>
      </w:r>
      <w:r>
        <w:rPr>
          <w:rFonts w:ascii="David" w:hAnsi="David" w:hint="cs"/>
          <w:rtl/>
        </w:rPr>
        <w:t xml:space="preserve"> (הוצגו לעניין זה מסמכים מהביטוח הלאומי)</w:t>
      </w:r>
      <w:r w:rsidRPr="00D628C6">
        <w:rPr>
          <w:rFonts w:ascii="David" w:hAnsi="David"/>
          <w:rtl/>
        </w:rPr>
        <w:t>.</w:t>
      </w:r>
    </w:p>
    <w:p w14:paraId="0CF48239" w14:textId="77777777" w:rsidR="00914F3B" w:rsidRPr="00D628C6" w:rsidRDefault="00914F3B" w:rsidP="00914F3B">
      <w:pPr>
        <w:spacing w:after="120" w:line="360" w:lineRule="auto"/>
        <w:jc w:val="both"/>
        <w:rPr>
          <w:rFonts w:ascii="David" w:hAnsi="David"/>
          <w:rtl/>
        </w:rPr>
      </w:pPr>
      <w:r w:rsidRPr="00D628C6">
        <w:rPr>
          <w:rFonts w:ascii="David" w:hAnsi="David"/>
          <w:rtl/>
        </w:rPr>
        <w:t>לחובת הנאשם מסר הרשעות קודמות:</w:t>
      </w:r>
    </w:p>
    <w:p w14:paraId="1B346F92" w14:textId="77777777" w:rsidR="00914F3B" w:rsidRPr="00D628C6" w:rsidRDefault="00914F3B" w:rsidP="00914F3B">
      <w:pPr>
        <w:spacing w:after="120" w:line="360" w:lineRule="auto"/>
        <w:jc w:val="both"/>
        <w:rPr>
          <w:rFonts w:ascii="David" w:hAnsi="David"/>
          <w:rtl/>
        </w:rPr>
      </w:pPr>
      <w:r w:rsidRPr="00D628C6">
        <w:rPr>
          <w:rFonts w:ascii="David" w:hAnsi="David"/>
          <w:rtl/>
        </w:rPr>
        <w:t>בשנת 2005 הורשע בהחזקת סכין ונדון למאסר מותנה.</w:t>
      </w:r>
    </w:p>
    <w:p w14:paraId="45A8E39E" w14:textId="77777777" w:rsidR="00914F3B" w:rsidRPr="00D628C6" w:rsidRDefault="00914F3B" w:rsidP="00914F3B">
      <w:pPr>
        <w:spacing w:after="120" w:line="360" w:lineRule="auto"/>
        <w:jc w:val="both"/>
        <w:rPr>
          <w:rFonts w:ascii="David" w:hAnsi="David"/>
          <w:rtl/>
        </w:rPr>
      </w:pPr>
      <w:r w:rsidRPr="00D628C6">
        <w:rPr>
          <w:rFonts w:ascii="David" w:hAnsi="David"/>
          <w:rtl/>
        </w:rPr>
        <w:t>בשנת 2007 הורשע בהחזקת נשק והחזקת סכין ונדון לששה חודשי מאסר בעבודות שירות ועונשים נלווים.</w:t>
      </w:r>
    </w:p>
    <w:p w14:paraId="7B310B59" w14:textId="77777777" w:rsidR="00914F3B" w:rsidRPr="00D628C6" w:rsidRDefault="00914F3B" w:rsidP="00914F3B">
      <w:pPr>
        <w:spacing w:after="120" w:line="360" w:lineRule="auto"/>
        <w:jc w:val="both"/>
        <w:rPr>
          <w:rFonts w:ascii="David" w:hAnsi="David"/>
          <w:rtl/>
        </w:rPr>
      </w:pPr>
      <w:r w:rsidRPr="00D628C6">
        <w:rPr>
          <w:rFonts w:ascii="David" w:hAnsi="David"/>
          <w:rtl/>
        </w:rPr>
        <w:t>בשנת 2009 הורשע בעבירות של הכנת עבירה בחומרים מסוכנים והחזקת סכין ונדון לשבעה חודשי מאסר בפועל ועונשים נלווים.</w:t>
      </w:r>
    </w:p>
    <w:p w14:paraId="238D4534" w14:textId="77777777" w:rsidR="00914F3B" w:rsidRPr="00D628C6" w:rsidRDefault="00914F3B" w:rsidP="00914F3B">
      <w:pPr>
        <w:spacing w:after="120" w:line="360" w:lineRule="auto"/>
        <w:jc w:val="both"/>
        <w:rPr>
          <w:rFonts w:ascii="David" w:hAnsi="David"/>
          <w:rtl/>
        </w:rPr>
      </w:pPr>
      <w:r w:rsidRPr="00D628C6">
        <w:rPr>
          <w:rFonts w:ascii="David" w:hAnsi="David"/>
          <w:rtl/>
        </w:rPr>
        <w:t>בשנת 2009 הורשע הנאשם בהליך נוסף בעבירות של ניסיון לסחר בנשק וקשר לפשע, ונדון לשנה מאסר ועונשים נלווים.</w:t>
      </w:r>
    </w:p>
    <w:p w14:paraId="7DA496B5" w14:textId="77777777" w:rsidR="00914F3B" w:rsidRPr="00D628C6" w:rsidRDefault="00914F3B" w:rsidP="00914F3B">
      <w:pPr>
        <w:spacing w:after="120" w:line="360" w:lineRule="auto"/>
        <w:jc w:val="both"/>
        <w:rPr>
          <w:rFonts w:ascii="David" w:hAnsi="David"/>
          <w:rtl/>
        </w:rPr>
      </w:pPr>
      <w:r w:rsidRPr="00D628C6">
        <w:rPr>
          <w:rFonts w:ascii="David" w:hAnsi="David"/>
          <w:rtl/>
        </w:rPr>
        <w:t>בשנת 2019 הורשע הנאשם בגניבה ונדון למאסר מותנה.</w:t>
      </w:r>
    </w:p>
    <w:p w14:paraId="2E368E26" w14:textId="77777777" w:rsidR="00914F3B" w:rsidRPr="00D628C6" w:rsidRDefault="00914F3B" w:rsidP="00914F3B">
      <w:pPr>
        <w:spacing w:after="120" w:line="360" w:lineRule="auto"/>
        <w:jc w:val="both"/>
        <w:rPr>
          <w:rFonts w:ascii="David" w:hAnsi="David"/>
          <w:b/>
          <w:bCs/>
          <w:rtl/>
        </w:rPr>
      </w:pPr>
      <w:r w:rsidRPr="00D628C6">
        <w:rPr>
          <w:rFonts w:ascii="David" w:hAnsi="David"/>
          <w:b/>
          <w:bCs/>
          <w:rtl/>
        </w:rPr>
        <w:t>דיון והכרעה</w:t>
      </w:r>
    </w:p>
    <w:p w14:paraId="7DF80CF6" w14:textId="77777777" w:rsidR="00914F3B" w:rsidRPr="00D628C6" w:rsidRDefault="00914F3B" w:rsidP="00914F3B">
      <w:pPr>
        <w:spacing w:after="120" w:line="360" w:lineRule="auto"/>
        <w:jc w:val="both"/>
        <w:rPr>
          <w:rFonts w:ascii="David" w:hAnsi="David"/>
          <w:rtl/>
        </w:rPr>
      </w:pPr>
      <w:r w:rsidRPr="00D628C6">
        <w:rPr>
          <w:rFonts w:ascii="David" w:hAnsi="David"/>
          <w:rtl/>
        </w:rPr>
        <w:t>מכלול שיקולי הענישה פועל לחובת הנאשם:</w:t>
      </w:r>
    </w:p>
    <w:p w14:paraId="30162C4F" w14:textId="77777777" w:rsidR="00914F3B" w:rsidRPr="00D628C6" w:rsidRDefault="00914F3B" w:rsidP="00914F3B">
      <w:pPr>
        <w:spacing w:after="120" w:line="360" w:lineRule="auto"/>
        <w:jc w:val="both"/>
        <w:rPr>
          <w:rFonts w:ascii="David" w:hAnsi="David"/>
          <w:rtl/>
        </w:rPr>
      </w:pPr>
      <w:r w:rsidRPr="00D628C6">
        <w:rPr>
          <w:rFonts w:ascii="David" w:hAnsi="David"/>
          <w:rtl/>
        </w:rPr>
        <w:t>מדובר במי שלחובתו מספר הרשעות קודמות, בעבירות ממין העניין, ובכלל זה ניסיון סחר בנשק והחזקת נשק, בגינן נדון ל</w:t>
      </w:r>
      <w:r>
        <w:rPr>
          <w:rFonts w:ascii="David" w:hAnsi="David" w:hint="cs"/>
          <w:rtl/>
        </w:rPr>
        <w:t xml:space="preserve">מספר </w:t>
      </w:r>
      <w:r w:rsidRPr="00D628C6">
        <w:rPr>
          <w:rFonts w:ascii="David" w:hAnsi="David"/>
          <w:rtl/>
        </w:rPr>
        <w:t>מאסרים, אשר לא הביאו להרתעתו.</w:t>
      </w:r>
    </w:p>
    <w:p w14:paraId="5DAE9EC0" w14:textId="77777777" w:rsidR="00914F3B" w:rsidRDefault="00914F3B" w:rsidP="00914F3B">
      <w:pPr>
        <w:spacing w:after="120" w:line="360" w:lineRule="auto"/>
        <w:jc w:val="both"/>
        <w:rPr>
          <w:rFonts w:ascii="David" w:hAnsi="David"/>
          <w:rtl/>
        </w:rPr>
      </w:pPr>
      <w:r w:rsidRPr="00D628C6">
        <w:rPr>
          <w:rFonts w:ascii="David" w:hAnsi="David"/>
          <w:rtl/>
        </w:rPr>
        <w:t xml:space="preserve">מעבר לכך, הנאשם לא קיבל אחריות למעשיו, </w:t>
      </w:r>
      <w:r>
        <w:rPr>
          <w:rFonts w:ascii="David" w:hAnsi="David" w:hint="cs"/>
          <w:rtl/>
        </w:rPr>
        <w:t>ו</w:t>
      </w:r>
      <w:r w:rsidRPr="00D628C6">
        <w:rPr>
          <w:rFonts w:ascii="David" w:hAnsi="David"/>
          <w:rtl/>
        </w:rPr>
        <w:t xml:space="preserve">כאשר העיד ניכר </w:t>
      </w:r>
      <w:r>
        <w:rPr>
          <w:rFonts w:ascii="David" w:hAnsi="David" w:hint="cs"/>
          <w:rtl/>
        </w:rPr>
        <w:t>בו</w:t>
      </w:r>
      <w:r w:rsidRPr="00D628C6">
        <w:rPr>
          <w:rFonts w:ascii="David" w:hAnsi="David"/>
          <w:rtl/>
        </w:rPr>
        <w:t>, כי אינו מודע כלל לחומרת מעשיו ופוטנציאל הנזק הטמון בהם, וכי הוא חדור תחושת קרבנות, כאילו נעשה לו עוול בעצם מעצרו והאשמתו בעבירות בהן הורשע. אדגיש, כי לא אחמיר עם הנאשם בשל עצם כפירתו, שהרי זו זכות השמורה לכל נאשם. עם זאת, נאשם אשר מקבל אחריות למעשיו, ומבין את הפסול שבהם, זכאי להקלה, ממנה לא יהנה הנאשם.</w:t>
      </w:r>
    </w:p>
    <w:p w14:paraId="0F0D139B" w14:textId="77777777" w:rsidR="00914F3B" w:rsidRPr="00D628C6" w:rsidRDefault="00914F3B" w:rsidP="00914F3B">
      <w:pPr>
        <w:spacing w:after="120" w:line="360" w:lineRule="auto"/>
        <w:jc w:val="both"/>
        <w:rPr>
          <w:rFonts w:ascii="David" w:hAnsi="David"/>
          <w:rtl/>
        </w:rPr>
      </w:pPr>
      <w:r>
        <w:rPr>
          <w:rFonts w:ascii="David" w:hAnsi="David" w:hint="cs"/>
          <w:rtl/>
        </w:rPr>
        <w:t>בצד זאת אציין, כי ההליך נוהל באופן ממוקד וענייני, ועיקר חומר הראיות הוגש בהסכמה.</w:t>
      </w:r>
    </w:p>
    <w:p w14:paraId="03B5CB59" w14:textId="77777777" w:rsidR="00914F3B" w:rsidRDefault="00914F3B" w:rsidP="00914F3B">
      <w:pPr>
        <w:spacing w:after="120" w:line="360" w:lineRule="auto"/>
        <w:jc w:val="both"/>
        <w:rPr>
          <w:rFonts w:ascii="David" w:hAnsi="David"/>
          <w:rtl/>
        </w:rPr>
      </w:pPr>
      <w:r w:rsidRPr="00D628C6">
        <w:rPr>
          <w:rFonts w:ascii="David" w:hAnsi="David"/>
          <w:rtl/>
        </w:rPr>
        <w:t>מנגד, הבאתי בחשבון, לחובת המאשימה, כי חרף העובדה שניתן צו חיפוש על פיו היה צריך לבצע את החיפוש בנוכחות שני עדים, החיפוש בוצע ללא עדים. כפי שפרטתי בהכרעת הדין, משקלו של פגם זה אינו גבוה, שכן מהראיות עלה שהחיפוש בוצע באמצעות כלב, שנוכחות של אנשים נוספים מ</w:t>
      </w:r>
      <w:r>
        <w:rPr>
          <w:rFonts w:ascii="David" w:hAnsi="David"/>
          <w:rtl/>
        </w:rPr>
        <w:t>לבד הכלבנית הפריעה לו</w:t>
      </w:r>
      <w:r>
        <w:rPr>
          <w:rFonts w:ascii="David" w:hAnsi="David" w:hint="cs"/>
          <w:rtl/>
        </w:rPr>
        <w:t xml:space="preserve"> -</w:t>
      </w:r>
      <w:r>
        <w:rPr>
          <w:rFonts w:ascii="David" w:hAnsi="David"/>
          <w:rtl/>
        </w:rPr>
        <w:t xml:space="preserve"> אך עדיין</w:t>
      </w:r>
      <w:r>
        <w:rPr>
          <w:rFonts w:ascii="David" w:hAnsi="David" w:hint="cs"/>
          <w:rtl/>
        </w:rPr>
        <w:t xml:space="preserve">, ניתן </w:t>
      </w:r>
      <w:r w:rsidRPr="00D628C6">
        <w:rPr>
          <w:rFonts w:ascii="David" w:hAnsi="David"/>
          <w:rtl/>
        </w:rPr>
        <w:t xml:space="preserve">לצפות </w:t>
      </w:r>
      <w:r>
        <w:rPr>
          <w:rFonts w:ascii="David" w:hAnsi="David" w:hint="cs"/>
          <w:rtl/>
        </w:rPr>
        <w:t>כי המשטרה תפעל</w:t>
      </w:r>
      <w:r w:rsidRPr="00D628C6">
        <w:rPr>
          <w:rFonts w:ascii="David" w:hAnsi="David"/>
          <w:rtl/>
        </w:rPr>
        <w:t xml:space="preserve"> על פי צו שיפוטי</w:t>
      </w:r>
      <w:r>
        <w:rPr>
          <w:rFonts w:ascii="David" w:hAnsi="David" w:hint="cs"/>
          <w:rtl/>
        </w:rPr>
        <w:t>, שניתן לבקשתה</w:t>
      </w:r>
      <w:r w:rsidRPr="00D628C6">
        <w:rPr>
          <w:rFonts w:ascii="David" w:hAnsi="David"/>
          <w:rtl/>
        </w:rPr>
        <w:t>.</w:t>
      </w:r>
    </w:p>
    <w:p w14:paraId="7046C4FC" w14:textId="77777777" w:rsidR="00914F3B" w:rsidRPr="00D628C6" w:rsidRDefault="00914F3B" w:rsidP="00914F3B">
      <w:pPr>
        <w:spacing w:after="120" w:line="360" w:lineRule="auto"/>
        <w:jc w:val="both"/>
        <w:rPr>
          <w:rFonts w:ascii="David" w:hAnsi="David"/>
          <w:rtl/>
        </w:rPr>
      </w:pPr>
      <w:r>
        <w:rPr>
          <w:rFonts w:ascii="David" w:hAnsi="David" w:hint="cs"/>
          <w:rtl/>
        </w:rPr>
        <w:t>לאור זאת, אשית על הנאשם עונש במרכזו של המתחם אותו קבעתי.</w:t>
      </w:r>
    </w:p>
    <w:p w14:paraId="65FFE577" w14:textId="77777777" w:rsidR="00914F3B" w:rsidRPr="00D628C6" w:rsidRDefault="00914F3B" w:rsidP="00914F3B">
      <w:pPr>
        <w:spacing w:after="120" w:line="360" w:lineRule="auto"/>
        <w:jc w:val="both"/>
        <w:rPr>
          <w:rFonts w:ascii="David" w:hAnsi="David"/>
          <w:b/>
          <w:bCs/>
          <w:rtl/>
        </w:rPr>
      </w:pPr>
      <w:r w:rsidRPr="00D628C6">
        <w:rPr>
          <w:rFonts w:ascii="David" w:hAnsi="David"/>
          <w:b/>
          <w:bCs/>
          <w:rtl/>
        </w:rPr>
        <w:t>לפיכך גוזר על הנאשם את העונשים הבאים:</w:t>
      </w:r>
    </w:p>
    <w:p w14:paraId="2512F20E" w14:textId="77777777" w:rsidR="00914F3B" w:rsidRPr="00D628C6" w:rsidRDefault="00914F3B" w:rsidP="00914F3B">
      <w:pPr>
        <w:numPr>
          <w:ilvl w:val="0"/>
          <w:numId w:val="3"/>
        </w:numPr>
        <w:spacing w:after="120" w:line="360" w:lineRule="auto"/>
        <w:ind w:left="360" w:right="0"/>
        <w:jc w:val="both"/>
        <w:rPr>
          <w:rFonts w:ascii="David" w:hAnsi="David"/>
          <w:rtl/>
        </w:rPr>
      </w:pPr>
      <w:r w:rsidRPr="00D628C6">
        <w:rPr>
          <w:rFonts w:ascii="David" w:hAnsi="David"/>
          <w:rtl/>
        </w:rPr>
        <w:t xml:space="preserve">שלוש שנים מאסר בפועל, אשר ימנה מיום מעצרו של הנאשם, </w:t>
      </w:r>
      <w:r>
        <w:rPr>
          <w:rFonts w:ascii="David" w:hAnsi="David" w:hint="cs"/>
          <w:rtl/>
        </w:rPr>
        <w:t>6.5.24, גם אם</w:t>
      </w:r>
      <w:r>
        <w:rPr>
          <w:rFonts w:ascii="David" w:hAnsi="David"/>
          <w:rtl/>
        </w:rPr>
        <w:t xml:space="preserve"> רישומי שב"ס</w:t>
      </w:r>
      <w:r>
        <w:rPr>
          <w:rFonts w:ascii="David" w:hAnsi="David" w:hint="cs"/>
          <w:rtl/>
        </w:rPr>
        <w:t xml:space="preserve"> יראו אחרת.</w:t>
      </w:r>
    </w:p>
    <w:p w14:paraId="62DCC52C" w14:textId="77777777" w:rsidR="00914F3B" w:rsidRPr="00D628C6" w:rsidRDefault="00914F3B" w:rsidP="00914F3B">
      <w:pPr>
        <w:numPr>
          <w:ilvl w:val="0"/>
          <w:numId w:val="3"/>
        </w:numPr>
        <w:spacing w:after="120" w:line="360" w:lineRule="auto"/>
        <w:ind w:left="360" w:right="0"/>
        <w:jc w:val="both"/>
        <w:rPr>
          <w:rFonts w:ascii="David" w:hAnsi="David"/>
        </w:rPr>
      </w:pPr>
      <w:r w:rsidRPr="00D628C6">
        <w:rPr>
          <w:rFonts w:ascii="David" w:hAnsi="David"/>
          <w:rtl/>
        </w:rPr>
        <w:t>שמונה חודשי מאסר בו לא יישא, אלא אם יעבור תוך שלוש שנים מיום שחרורו מהמאסר עבירת נשק שהיא פשע.</w:t>
      </w:r>
    </w:p>
    <w:p w14:paraId="4A850AC4" w14:textId="77777777" w:rsidR="00914F3B" w:rsidRPr="00D628C6" w:rsidRDefault="00914F3B" w:rsidP="00914F3B">
      <w:pPr>
        <w:numPr>
          <w:ilvl w:val="0"/>
          <w:numId w:val="3"/>
        </w:numPr>
        <w:spacing w:after="120" w:line="360" w:lineRule="auto"/>
        <w:ind w:left="360" w:right="0"/>
        <w:jc w:val="both"/>
        <w:rPr>
          <w:rFonts w:ascii="David" w:hAnsi="David"/>
        </w:rPr>
      </w:pPr>
      <w:r w:rsidRPr="00D628C6">
        <w:rPr>
          <w:rFonts w:ascii="David" w:hAnsi="David"/>
          <w:rtl/>
        </w:rPr>
        <w:t>ארבעה חודשי מאסר בו לא יישא, אלא אם יעבור תוך שלוש שנים מיום שחרורו מהמאסר עבירת נשק שהיא עוון.</w:t>
      </w:r>
    </w:p>
    <w:p w14:paraId="6CFADC9D" w14:textId="77777777" w:rsidR="00914F3B" w:rsidRPr="00D628C6" w:rsidRDefault="00914F3B" w:rsidP="00914F3B">
      <w:pPr>
        <w:spacing w:after="120" w:line="360" w:lineRule="auto"/>
        <w:jc w:val="both"/>
        <w:rPr>
          <w:rFonts w:ascii="David" w:hAnsi="David"/>
        </w:rPr>
      </w:pPr>
      <w:r w:rsidRPr="00D628C6">
        <w:rPr>
          <w:rFonts w:ascii="David" w:hAnsi="David"/>
          <w:rtl/>
        </w:rPr>
        <w:t>המוצגים יחולטו והמאשימה רשאית להשמידם, על פי החלטת פרקליט המחוז, לאחר שפסק הדין יעשה חלוט.</w:t>
      </w:r>
    </w:p>
    <w:p w14:paraId="6EEE63F3" w14:textId="77777777" w:rsidR="00914F3B" w:rsidRPr="0085738F" w:rsidRDefault="0085738F" w:rsidP="00914F3B">
      <w:pPr>
        <w:spacing w:after="120" w:line="360" w:lineRule="auto"/>
        <w:jc w:val="both"/>
        <w:rPr>
          <w:rFonts w:ascii="David" w:hAnsi="David"/>
          <w:color w:val="FFFFFF"/>
          <w:sz w:val="2"/>
          <w:szCs w:val="2"/>
          <w:rtl/>
        </w:rPr>
      </w:pPr>
      <w:r w:rsidRPr="0085738F">
        <w:rPr>
          <w:rFonts w:ascii="David" w:hAnsi="David"/>
          <w:color w:val="FFFFFF"/>
          <w:sz w:val="2"/>
          <w:szCs w:val="2"/>
          <w:rtl/>
        </w:rPr>
        <w:t>5129371</w:t>
      </w:r>
    </w:p>
    <w:p w14:paraId="4A7D574A" w14:textId="77777777" w:rsidR="00914F3B" w:rsidRPr="00D628C6" w:rsidRDefault="0085738F" w:rsidP="00914F3B">
      <w:pPr>
        <w:spacing w:after="120" w:line="360" w:lineRule="auto"/>
        <w:ind w:left="720" w:hanging="720"/>
        <w:jc w:val="both"/>
        <w:rPr>
          <w:rFonts w:ascii="David" w:hAnsi="David"/>
          <w:b/>
          <w:bCs/>
          <w:rtl/>
        </w:rPr>
      </w:pPr>
      <w:r w:rsidRPr="0085738F">
        <w:rPr>
          <w:rFonts w:ascii="David" w:hAnsi="David"/>
          <w:b/>
          <w:bCs/>
          <w:color w:val="FFFFFF"/>
          <w:sz w:val="2"/>
          <w:szCs w:val="2"/>
          <w:rtl/>
        </w:rPr>
        <w:t>54678313</w:t>
      </w:r>
      <w:r w:rsidR="00914F3B" w:rsidRPr="00D628C6">
        <w:rPr>
          <w:rFonts w:ascii="David" w:hAnsi="David"/>
          <w:b/>
          <w:bCs/>
          <w:rtl/>
        </w:rPr>
        <w:t>זכות ערעור לבית המשפט המחוזי בירושלים תוך 45 יום.</w:t>
      </w:r>
    </w:p>
    <w:p w14:paraId="458A8F05" w14:textId="77777777" w:rsidR="00914F3B" w:rsidRPr="000F2247" w:rsidRDefault="00914F3B" w:rsidP="00914F3B">
      <w:pPr>
        <w:spacing w:after="120" w:line="360" w:lineRule="auto"/>
        <w:rPr>
          <w:rFonts w:ascii="Arial" w:hAnsi="Arial"/>
          <w:b/>
          <w:bCs/>
          <w:sz w:val="26"/>
          <w:szCs w:val="26"/>
          <w:rtl/>
        </w:rPr>
      </w:pPr>
    </w:p>
    <w:p w14:paraId="6F9D8430" w14:textId="77777777" w:rsidR="00914F3B" w:rsidRPr="000F2247" w:rsidRDefault="0085738F" w:rsidP="00914F3B">
      <w:pPr>
        <w:spacing w:line="360" w:lineRule="auto"/>
        <w:jc w:val="both"/>
        <w:rPr>
          <w:rFonts w:ascii="Arial" w:hAnsi="Arial"/>
          <w:b/>
          <w:bCs/>
          <w:sz w:val="26"/>
          <w:szCs w:val="26"/>
          <w:rtl/>
        </w:rPr>
      </w:pPr>
      <w:bookmarkStart w:id="8" w:name="Nitan"/>
      <w:r>
        <w:rPr>
          <w:rFonts w:ascii="Arial" w:hAnsi="Arial"/>
          <w:b/>
          <w:bCs/>
          <w:rtl/>
        </w:rPr>
        <w:t xml:space="preserve">ניתן היום,  ט' ניסן תשפ"ה, 07 אפריל 2025, בנוכחות הצדדים. </w:t>
      </w:r>
      <w:bookmarkEnd w:id="8"/>
      <w:r w:rsidR="00914F3B">
        <w:rPr>
          <w:rFonts w:ascii="Arial" w:hAnsi="Arial"/>
          <w:b/>
          <w:bCs/>
          <w:sz w:val="26"/>
          <w:szCs w:val="26"/>
          <w:rtl/>
        </w:rPr>
        <w:tab/>
      </w:r>
      <w:r w:rsidR="00914F3B">
        <w:rPr>
          <w:rFonts w:ascii="Arial" w:hAnsi="Arial"/>
          <w:b/>
          <w:bCs/>
          <w:sz w:val="26"/>
          <w:szCs w:val="26"/>
          <w:rtl/>
        </w:rPr>
        <w:tab/>
      </w:r>
      <w:r w:rsidR="00914F3B">
        <w:rPr>
          <w:rFonts w:ascii="Arial" w:hAnsi="Arial"/>
          <w:b/>
          <w:bCs/>
          <w:sz w:val="26"/>
          <w:szCs w:val="26"/>
          <w:rtl/>
        </w:rPr>
        <w:tab/>
      </w:r>
      <w:r w:rsidR="00914F3B">
        <w:rPr>
          <w:rFonts w:ascii="Arial" w:hAnsi="Arial"/>
          <w:b/>
          <w:bCs/>
          <w:sz w:val="26"/>
          <w:szCs w:val="26"/>
          <w:rtl/>
        </w:rPr>
        <w:tab/>
      </w:r>
      <w:r w:rsidR="00914F3B">
        <w:rPr>
          <w:rFonts w:ascii="Arial" w:hAnsi="Arial"/>
          <w:b/>
          <w:bCs/>
          <w:sz w:val="26"/>
          <w:szCs w:val="26"/>
          <w:rtl/>
        </w:rPr>
        <w:tab/>
      </w:r>
      <w:r w:rsidR="00914F3B">
        <w:rPr>
          <w:rFonts w:ascii="Arial" w:hAnsi="Arial"/>
          <w:b/>
          <w:bCs/>
          <w:sz w:val="26"/>
          <w:szCs w:val="26"/>
          <w:rtl/>
        </w:rPr>
        <w:tab/>
      </w:r>
      <w:r w:rsidR="00914F3B">
        <w:rPr>
          <w:rFonts w:ascii="Arial" w:hAnsi="Arial"/>
          <w:b/>
          <w:bCs/>
          <w:sz w:val="26"/>
          <w:szCs w:val="26"/>
          <w:rtl/>
        </w:rPr>
        <w:tab/>
      </w:r>
      <w:r w:rsidR="00914F3B">
        <w:rPr>
          <w:rFonts w:ascii="Arial" w:hAnsi="Arial" w:hint="cs"/>
          <w:b/>
          <w:bCs/>
          <w:sz w:val="26"/>
          <w:szCs w:val="26"/>
          <w:rtl/>
        </w:rPr>
        <w:t xml:space="preserve">         </w:t>
      </w:r>
    </w:p>
    <w:p w14:paraId="08E50952" w14:textId="77777777" w:rsidR="00914F3B" w:rsidRPr="000F2247" w:rsidRDefault="00914F3B" w:rsidP="0085738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5A34736" w14:textId="77777777" w:rsidR="00914F3B" w:rsidRPr="000F2247" w:rsidRDefault="00914F3B" w:rsidP="00914F3B">
      <w:pPr>
        <w:jc w:val="center"/>
        <w:rPr>
          <w:rFonts w:ascii="Arial" w:hAnsi="Arial"/>
          <w:b/>
          <w:bCs/>
          <w:sz w:val="26"/>
          <w:szCs w:val="26"/>
          <w:rtl/>
        </w:rPr>
      </w:pPr>
    </w:p>
    <w:p w14:paraId="73EFB3D6" w14:textId="77777777" w:rsidR="00D6483E" w:rsidRPr="0085738F" w:rsidRDefault="00D6483E" w:rsidP="0085738F">
      <w:pPr>
        <w:keepNext/>
        <w:rPr>
          <w:rFonts w:ascii="David" w:hAnsi="David"/>
          <w:color w:val="000000"/>
          <w:sz w:val="22"/>
          <w:szCs w:val="22"/>
          <w:rtl/>
        </w:rPr>
      </w:pPr>
    </w:p>
    <w:p w14:paraId="4DD3150C" w14:textId="77777777" w:rsidR="0085738F" w:rsidRPr="0085738F" w:rsidRDefault="0085738F" w:rsidP="0085738F">
      <w:pPr>
        <w:keepNext/>
        <w:rPr>
          <w:rFonts w:ascii="David" w:hAnsi="David"/>
          <w:color w:val="000000"/>
          <w:sz w:val="22"/>
          <w:szCs w:val="22"/>
          <w:rtl/>
        </w:rPr>
      </w:pPr>
      <w:r w:rsidRPr="0085738F">
        <w:rPr>
          <w:rFonts w:ascii="David" w:hAnsi="David"/>
          <w:color w:val="000000"/>
          <w:sz w:val="22"/>
          <w:szCs w:val="22"/>
          <w:rtl/>
        </w:rPr>
        <w:t>ירון מינטקביץ 54678313</w:t>
      </w:r>
    </w:p>
    <w:p w14:paraId="35DB5463" w14:textId="77777777" w:rsidR="0085738F" w:rsidRDefault="0085738F" w:rsidP="0085738F">
      <w:r w:rsidRPr="0085738F">
        <w:rPr>
          <w:color w:val="000000"/>
          <w:rtl/>
        </w:rPr>
        <w:t>נוסח מסמך זה כפוף לשינויי ניסוח ועריכה</w:t>
      </w:r>
    </w:p>
    <w:p w14:paraId="3A412A70" w14:textId="77777777" w:rsidR="0085738F" w:rsidRDefault="0085738F" w:rsidP="0085738F">
      <w:pPr>
        <w:rPr>
          <w:rtl/>
        </w:rPr>
      </w:pPr>
    </w:p>
    <w:p w14:paraId="7105E7AC" w14:textId="77777777" w:rsidR="0085738F" w:rsidRDefault="0085738F" w:rsidP="0085738F">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0A959B49" w14:textId="77777777" w:rsidR="0085738F" w:rsidRPr="0085738F" w:rsidRDefault="0085738F" w:rsidP="0085738F">
      <w:pPr>
        <w:jc w:val="center"/>
        <w:rPr>
          <w:color w:val="0000FF"/>
          <w:u w:val="single"/>
        </w:rPr>
      </w:pPr>
    </w:p>
    <w:sectPr w:rsidR="0085738F" w:rsidRPr="0085738F" w:rsidSect="0085738F">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3F441" w14:textId="77777777" w:rsidR="00E8345E" w:rsidRDefault="00E8345E" w:rsidP="00496ED2">
      <w:r>
        <w:separator/>
      </w:r>
    </w:p>
  </w:endnote>
  <w:endnote w:type="continuationSeparator" w:id="0">
    <w:p w14:paraId="05D15E4E" w14:textId="77777777" w:rsidR="00E8345E" w:rsidRDefault="00E8345E" w:rsidP="00496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9214B" w14:textId="77777777" w:rsidR="0085738F" w:rsidRDefault="0085738F" w:rsidP="008573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3F1D60" w14:textId="77777777" w:rsidR="00D71286" w:rsidRPr="0085738F" w:rsidRDefault="0085738F" w:rsidP="008573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4DA97" w14:textId="77777777" w:rsidR="0085738F" w:rsidRDefault="0085738F" w:rsidP="008573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55D7">
      <w:rPr>
        <w:rFonts w:ascii="FrankRuehl" w:hAnsi="FrankRuehl" w:cs="FrankRuehl"/>
        <w:noProof/>
        <w:rtl/>
      </w:rPr>
      <w:t>1</w:t>
    </w:r>
    <w:r>
      <w:rPr>
        <w:rFonts w:ascii="FrankRuehl" w:hAnsi="FrankRuehl" w:cs="FrankRuehl"/>
        <w:rtl/>
      </w:rPr>
      <w:fldChar w:fldCharType="end"/>
    </w:r>
  </w:p>
  <w:p w14:paraId="2432A92D" w14:textId="77777777" w:rsidR="00D71286" w:rsidRPr="0085738F" w:rsidRDefault="0085738F" w:rsidP="008573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5C8F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E52C0" w14:textId="77777777" w:rsidR="00E8345E" w:rsidRDefault="00E8345E" w:rsidP="00496ED2">
      <w:r>
        <w:separator/>
      </w:r>
    </w:p>
  </w:footnote>
  <w:footnote w:type="continuationSeparator" w:id="0">
    <w:p w14:paraId="4F2CA40E" w14:textId="77777777" w:rsidR="00E8345E" w:rsidRDefault="00E8345E" w:rsidP="00496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2E798" w14:textId="77777777" w:rsidR="0085738F" w:rsidRPr="0085738F" w:rsidRDefault="0085738F" w:rsidP="008573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65090-05-24</w:t>
    </w:r>
    <w:r>
      <w:rPr>
        <w:rFonts w:ascii="David" w:hAnsi="David"/>
        <w:color w:val="000000"/>
        <w:sz w:val="22"/>
        <w:szCs w:val="22"/>
        <w:rtl/>
      </w:rPr>
      <w:tab/>
      <w:t xml:space="preserve"> מדינת ישראל נ' נדים טוויל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9F66E" w14:textId="77777777" w:rsidR="0085738F" w:rsidRPr="0085738F" w:rsidRDefault="0085738F" w:rsidP="008573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65090-05-24</w:t>
    </w:r>
    <w:r>
      <w:rPr>
        <w:rFonts w:ascii="David" w:hAnsi="David"/>
        <w:color w:val="000000"/>
        <w:sz w:val="22"/>
        <w:szCs w:val="22"/>
        <w:rtl/>
      </w:rPr>
      <w:tab/>
      <w:t xml:space="preserve"> מדינת ישראל נ' נדים טוויל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A89872BC"/>
    <w:lvl w:ilvl="0" w:tplc="A952305C">
      <w:start w:val="1"/>
      <w:numFmt w:val="decimal"/>
      <w:pStyle w:val="Ruller4"/>
      <w:lvlText w:val="%1."/>
      <w:lvlJc w:val="left"/>
      <w:pPr>
        <w:tabs>
          <w:tab w:val="num" w:pos="907"/>
        </w:tabs>
        <w:ind w:left="720" w:firstLine="0"/>
      </w:pPr>
      <w:rPr>
        <w:lang w:val="en-US"/>
      </w:rPr>
    </w:lvl>
    <w:lvl w:ilvl="1" w:tplc="8E3E714E">
      <w:start w:val="1"/>
      <w:numFmt w:val="lowerLetter"/>
      <w:lvlText w:val="%2."/>
      <w:lvlJc w:val="left"/>
      <w:pPr>
        <w:tabs>
          <w:tab w:val="num" w:pos="1440"/>
        </w:tabs>
        <w:ind w:left="1440" w:hanging="360"/>
      </w:pPr>
    </w:lvl>
    <w:lvl w:ilvl="2" w:tplc="16AE5FA8">
      <w:start w:val="1"/>
      <w:numFmt w:val="lowerRoman"/>
      <w:lvlText w:val="%3."/>
      <w:lvlJc w:val="right"/>
      <w:pPr>
        <w:tabs>
          <w:tab w:val="num" w:pos="2160"/>
        </w:tabs>
        <w:ind w:left="2160" w:hanging="180"/>
      </w:pPr>
    </w:lvl>
    <w:lvl w:ilvl="3" w:tplc="4DB80B4C">
      <w:start w:val="1"/>
      <w:numFmt w:val="decimal"/>
      <w:lvlText w:val="%4."/>
      <w:lvlJc w:val="left"/>
      <w:pPr>
        <w:tabs>
          <w:tab w:val="num" w:pos="2880"/>
        </w:tabs>
        <w:ind w:left="2880" w:hanging="360"/>
      </w:pPr>
    </w:lvl>
    <w:lvl w:ilvl="4" w:tplc="E4B8F5C6">
      <w:start w:val="1"/>
      <w:numFmt w:val="lowerLetter"/>
      <w:lvlText w:val="%5."/>
      <w:lvlJc w:val="left"/>
      <w:pPr>
        <w:tabs>
          <w:tab w:val="num" w:pos="3600"/>
        </w:tabs>
        <w:ind w:left="3600" w:hanging="360"/>
      </w:pPr>
    </w:lvl>
    <w:lvl w:ilvl="5" w:tplc="3BBAA556">
      <w:start w:val="1"/>
      <w:numFmt w:val="lowerRoman"/>
      <w:lvlText w:val="%6."/>
      <w:lvlJc w:val="right"/>
      <w:pPr>
        <w:tabs>
          <w:tab w:val="num" w:pos="4320"/>
        </w:tabs>
        <w:ind w:left="4320" w:hanging="180"/>
      </w:pPr>
    </w:lvl>
    <w:lvl w:ilvl="6" w:tplc="62D4F3EC">
      <w:start w:val="1"/>
      <w:numFmt w:val="decimal"/>
      <w:lvlText w:val="%7."/>
      <w:lvlJc w:val="left"/>
      <w:pPr>
        <w:tabs>
          <w:tab w:val="num" w:pos="5040"/>
        </w:tabs>
        <w:ind w:left="5040" w:hanging="360"/>
      </w:pPr>
    </w:lvl>
    <w:lvl w:ilvl="7" w:tplc="4C8AC194">
      <w:start w:val="1"/>
      <w:numFmt w:val="lowerLetter"/>
      <w:lvlText w:val="%8."/>
      <w:lvlJc w:val="left"/>
      <w:pPr>
        <w:tabs>
          <w:tab w:val="num" w:pos="5760"/>
        </w:tabs>
        <w:ind w:left="5760" w:hanging="360"/>
      </w:pPr>
    </w:lvl>
    <w:lvl w:ilvl="8" w:tplc="EAE28982">
      <w:start w:val="1"/>
      <w:numFmt w:val="lowerRoman"/>
      <w:lvlText w:val="%9."/>
      <w:lvlJc w:val="right"/>
      <w:pPr>
        <w:tabs>
          <w:tab w:val="num" w:pos="6480"/>
        </w:tabs>
        <w:ind w:left="6480" w:hanging="180"/>
      </w:pPr>
    </w:lvl>
  </w:abstractNum>
  <w:abstractNum w:abstractNumId="1" w15:restartNumberingAfterBreak="0">
    <w:nsid w:val="12D821E0"/>
    <w:multiLevelType w:val="hybridMultilevel"/>
    <w:tmpl w:val="7B40DBD0"/>
    <w:lvl w:ilvl="0" w:tplc="04090013">
      <w:start w:val="1"/>
      <w:numFmt w:val="hebrew1"/>
      <w:lvlText w:val="%1."/>
      <w:lvlJc w:val="center"/>
      <w:pPr>
        <w:ind w:left="720" w:right="360" w:hanging="360"/>
      </w:pPr>
    </w:lvl>
    <w:lvl w:ilvl="1" w:tplc="04090019">
      <w:start w:val="1"/>
      <w:numFmt w:val="lowerLetter"/>
      <w:lvlText w:val="%2."/>
      <w:lvlJc w:val="left"/>
      <w:pPr>
        <w:ind w:left="1440" w:right="1080" w:hanging="360"/>
      </w:pPr>
    </w:lvl>
    <w:lvl w:ilvl="2" w:tplc="0409001B">
      <w:start w:val="1"/>
      <w:numFmt w:val="lowerRoman"/>
      <w:lvlText w:val="%3."/>
      <w:lvlJc w:val="right"/>
      <w:pPr>
        <w:ind w:left="2160" w:right="1800" w:hanging="180"/>
      </w:pPr>
    </w:lvl>
    <w:lvl w:ilvl="3" w:tplc="0409000F">
      <w:start w:val="1"/>
      <w:numFmt w:val="decimal"/>
      <w:lvlText w:val="%4."/>
      <w:lvlJc w:val="left"/>
      <w:pPr>
        <w:ind w:left="2880" w:right="2520" w:hanging="360"/>
      </w:pPr>
    </w:lvl>
    <w:lvl w:ilvl="4" w:tplc="04090019">
      <w:start w:val="1"/>
      <w:numFmt w:val="lowerLetter"/>
      <w:lvlText w:val="%5."/>
      <w:lvlJc w:val="left"/>
      <w:pPr>
        <w:ind w:left="3600" w:right="3240" w:hanging="360"/>
      </w:pPr>
    </w:lvl>
    <w:lvl w:ilvl="5" w:tplc="0409001B">
      <w:start w:val="1"/>
      <w:numFmt w:val="lowerRoman"/>
      <w:lvlText w:val="%6."/>
      <w:lvlJc w:val="right"/>
      <w:pPr>
        <w:ind w:left="4320" w:right="3960" w:hanging="180"/>
      </w:pPr>
    </w:lvl>
    <w:lvl w:ilvl="6" w:tplc="0409000F">
      <w:start w:val="1"/>
      <w:numFmt w:val="decimal"/>
      <w:lvlText w:val="%7."/>
      <w:lvlJc w:val="left"/>
      <w:pPr>
        <w:ind w:left="5040" w:right="4680" w:hanging="360"/>
      </w:pPr>
    </w:lvl>
    <w:lvl w:ilvl="7" w:tplc="04090019">
      <w:start w:val="1"/>
      <w:numFmt w:val="lowerLetter"/>
      <w:lvlText w:val="%8."/>
      <w:lvlJc w:val="left"/>
      <w:pPr>
        <w:ind w:left="5760" w:right="5400" w:hanging="360"/>
      </w:pPr>
    </w:lvl>
    <w:lvl w:ilvl="8" w:tplc="0409001B">
      <w:start w:val="1"/>
      <w:numFmt w:val="lowerRoman"/>
      <w:lvlText w:val="%9."/>
      <w:lvlJc w:val="right"/>
      <w:pPr>
        <w:ind w:left="6480" w:right="6120" w:hanging="180"/>
      </w:pPr>
    </w:lvl>
  </w:abstractNum>
  <w:abstractNum w:abstractNumId="2" w15:restartNumberingAfterBreak="0">
    <w:nsid w:val="26CF1EBC"/>
    <w:multiLevelType w:val="hybridMultilevel"/>
    <w:tmpl w:val="51EA047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26134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2850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784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4F3B"/>
    <w:rsid w:val="001B5A3B"/>
    <w:rsid w:val="00496ED2"/>
    <w:rsid w:val="0085738F"/>
    <w:rsid w:val="00914F3B"/>
    <w:rsid w:val="009B500A"/>
    <w:rsid w:val="009E55D7"/>
    <w:rsid w:val="00B67798"/>
    <w:rsid w:val="00C333A7"/>
    <w:rsid w:val="00D6483E"/>
    <w:rsid w:val="00D71286"/>
    <w:rsid w:val="00E834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4E4530"/>
  <w15:chartTrackingRefBased/>
  <w15:docId w15:val="{80893765-0535-48F4-928A-DDF2D56A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F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4F3B"/>
    <w:pPr>
      <w:tabs>
        <w:tab w:val="center" w:pos="4153"/>
        <w:tab w:val="right" w:pos="8306"/>
      </w:tabs>
    </w:pPr>
  </w:style>
  <w:style w:type="character" w:customStyle="1" w:styleId="a4">
    <w:name w:val="כותרת עליונה תו"/>
    <w:link w:val="a3"/>
    <w:rsid w:val="00914F3B"/>
    <w:rPr>
      <w:rFonts w:ascii="Times New Roman" w:eastAsia="Times New Roman" w:hAnsi="Times New Roman" w:cs="David"/>
      <w:sz w:val="24"/>
      <w:szCs w:val="24"/>
    </w:rPr>
  </w:style>
  <w:style w:type="paragraph" w:styleId="a5">
    <w:name w:val="footer"/>
    <w:basedOn w:val="a"/>
    <w:link w:val="a6"/>
    <w:rsid w:val="00914F3B"/>
    <w:pPr>
      <w:tabs>
        <w:tab w:val="center" w:pos="4153"/>
        <w:tab w:val="right" w:pos="8306"/>
      </w:tabs>
    </w:pPr>
  </w:style>
  <w:style w:type="character" w:customStyle="1" w:styleId="a6">
    <w:name w:val="כותרת תחתונה תו"/>
    <w:link w:val="a5"/>
    <w:rsid w:val="00914F3B"/>
    <w:rPr>
      <w:rFonts w:ascii="Times New Roman" w:eastAsia="Times New Roman" w:hAnsi="Times New Roman" w:cs="David"/>
      <w:sz w:val="24"/>
      <w:szCs w:val="24"/>
    </w:rPr>
  </w:style>
  <w:style w:type="table" w:styleId="a7">
    <w:name w:val="Table Grid"/>
    <w:basedOn w:val="a1"/>
    <w:rsid w:val="00914F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4F3B"/>
  </w:style>
  <w:style w:type="character" w:styleId="Hyperlink">
    <w:name w:val="Hyperlink"/>
    <w:rsid w:val="00914F3B"/>
    <w:rPr>
      <w:color w:val="0563C1"/>
      <w:u w:val="single"/>
    </w:rPr>
  </w:style>
  <w:style w:type="paragraph" w:styleId="a9">
    <w:name w:val="List Paragraph"/>
    <w:basedOn w:val="a"/>
    <w:qFormat/>
    <w:rsid w:val="00914F3B"/>
    <w:pPr>
      <w:spacing w:after="160" w:line="360" w:lineRule="auto"/>
      <w:ind w:left="720"/>
      <w:contextualSpacing/>
      <w:jc w:val="both"/>
    </w:pPr>
    <w:rPr>
      <w:rFonts w:ascii="David" w:eastAsia="Calibri" w:hAnsi="David"/>
    </w:rPr>
  </w:style>
  <w:style w:type="character" w:customStyle="1" w:styleId="Ruller40">
    <w:name w:val="Ruller 4 ממוספר תו"/>
    <w:link w:val="Ruller4"/>
    <w:locked/>
    <w:rsid w:val="00914F3B"/>
    <w:rPr>
      <w:rFonts w:ascii="Garamond" w:hAnsi="Garamond"/>
      <w:spacing w:val="10"/>
    </w:rPr>
  </w:style>
  <w:style w:type="paragraph" w:customStyle="1" w:styleId="Ruller4">
    <w:name w:val="Ruller 4 ממוספר"/>
    <w:basedOn w:val="a"/>
    <w:link w:val="Ruller40"/>
    <w:rsid w:val="00914F3B"/>
    <w:pPr>
      <w:numPr>
        <w:numId w:val="1"/>
      </w:numPr>
      <w:overflowPunct w:val="0"/>
      <w:autoSpaceDE w:val="0"/>
      <w:autoSpaceDN w:val="0"/>
      <w:spacing w:line="360" w:lineRule="auto"/>
      <w:ind w:left="0"/>
      <w:jc w:val="both"/>
    </w:pPr>
    <w:rPr>
      <w:rFonts w:ascii="Garamond" w:eastAsia="Calibri" w:hAnsi="Garamond" w:cs="Arial"/>
      <w:spacing w:val="10"/>
      <w:sz w:val="22"/>
      <w:szCs w:val="22"/>
    </w:rPr>
  </w:style>
  <w:style w:type="character" w:customStyle="1" w:styleId="Ruller5">
    <w:name w:val="Ruller5 תו"/>
    <w:link w:val="Ruller50"/>
    <w:locked/>
    <w:rsid w:val="00914F3B"/>
    <w:rPr>
      <w:rFonts w:ascii="Arial TUR" w:hAnsi="Arial TUR" w:cs="FrankRuehl"/>
      <w:spacing w:val="10"/>
      <w:szCs w:val="28"/>
    </w:rPr>
  </w:style>
  <w:style w:type="paragraph" w:customStyle="1" w:styleId="Ruller50">
    <w:name w:val="Ruller5"/>
    <w:basedOn w:val="a"/>
    <w:link w:val="Ruller5"/>
    <w:rsid w:val="00914F3B"/>
    <w:pPr>
      <w:overflowPunct w:val="0"/>
      <w:autoSpaceDE w:val="0"/>
      <w:autoSpaceDN w:val="0"/>
      <w:adjustRightInd w:val="0"/>
      <w:ind w:left="1642" w:right="1282"/>
      <w:jc w:val="both"/>
    </w:pPr>
    <w:rPr>
      <w:rFonts w:ascii="Arial TUR" w:eastAsia="Calibri"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905927" TargetMode="External"/><Relationship Id="rId18" Type="http://schemas.openxmlformats.org/officeDocument/2006/relationships/hyperlink" Target="http://www.nevo.co.il/case/27734980" TargetMode="External"/><Relationship Id="rId26" Type="http://schemas.openxmlformats.org/officeDocument/2006/relationships/hyperlink" Target="http://www.nevo.co.il/case/25384949" TargetMode="External"/><Relationship Id="rId39" Type="http://schemas.openxmlformats.org/officeDocument/2006/relationships/theme" Target="theme/theme1.xml"/><Relationship Id="rId21" Type="http://schemas.openxmlformats.org/officeDocument/2006/relationships/hyperlink" Target="http://www.nevo.co.il/case/28697227"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8384637"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243273"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2006503"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85138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8243273" TargetMode="External"/><Relationship Id="rId24" Type="http://schemas.openxmlformats.org/officeDocument/2006/relationships/hyperlink" Target="http://www.nevo.co.il/case/28697218" TargetMode="External"/><Relationship Id="rId32" Type="http://schemas.openxmlformats.org/officeDocument/2006/relationships/hyperlink" Target="http://www.nevo.co.il/case/2750272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171364"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894608"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7309272" TargetMode="External"/><Relationship Id="rId31" Type="http://schemas.openxmlformats.org/officeDocument/2006/relationships/hyperlink" Target="http://www.nevo.co.il/case/28152132"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8883087" TargetMode="External"/><Relationship Id="rId27" Type="http://schemas.openxmlformats.org/officeDocument/2006/relationships/hyperlink" Target="http://www.nevo.co.il/case/28452933" TargetMode="External"/><Relationship Id="rId30" Type="http://schemas.openxmlformats.org/officeDocument/2006/relationships/hyperlink" Target="http://www.nevo.co.il/case/27721185" TargetMode="External"/><Relationship Id="rId35" Type="http://schemas.openxmlformats.org/officeDocument/2006/relationships/header" Target="header2.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2319</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13891</CharactersWithSpaces>
  <SharedDoc>false</SharedDoc>
  <HLinks>
    <vt:vector size="162" baseType="variant">
      <vt:variant>
        <vt:i4>393283</vt:i4>
      </vt:variant>
      <vt:variant>
        <vt:i4>99</vt:i4>
      </vt:variant>
      <vt:variant>
        <vt:i4>0</vt:i4>
      </vt:variant>
      <vt:variant>
        <vt:i4>5</vt:i4>
      </vt:variant>
      <vt:variant>
        <vt:lpwstr>http://www.nevo.co.il/advertisements/nevo-100.doc</vt:lpwstr>
      </vt:variant>
      <vt:variant>
        <vt:lpwstr/>
      </vt:variant>
      <vt:variant>
        <vt:i4>3604596</vt:i4>
      </vt:variant>
      <vt:variant>
        <vt:i4>96</vt:i4>
      </vt:variant>
      <vt:variant>
        <vt:i4>0</vt:i4>
      </vt:variant>
      <vt:variant>
        <vt:i4>5</vt:i4>
      </vt:variant>
      <vt:variant>
        <vt:lpwstr>http://www.nevo.co.il/case/27502726</vt:lpwstr>
      </vt:variant>
      <vt:variant>
        <vt:lpwstr/>
      </vt:variant>
      <vt:variant>
        <vt:i4>3276920</vt:i4>
      </vt:variant>
      <vt:variant>
        <vt:i4>93</vt:i4>
      </vt:variant>
      <vt:variant>
        <vt:i4>0</vt:i4>
      </vt:variant>
      <vt:variant>
        <vt:i4>5</vt:i4>
      </vt:variant>
      <vt:variant>
        <vt:lpwstr>http://www.nevo.co.il/case/28152132</vt:lpwstr>
      </vt:variant>
      <vt:variant>
        <vt:lpwstr/>
      </vt:variant>
      <vt:variant>
        <vt:i4>3932272</vt:i4>
      </vt:variant>
      <vt:variant>
        <vt:i4>90</vt:i4>
      </vt:variant>
      <vt:variant>
        <vt:i4>0</vt:i4>
      </vt:variant>
      <vt:variant>
        <vt:i4>5</vt:i4>
      </vt:variant>
      <vt:variant>
        <vt:lpwstr>http://www.nevo.co.il/case/27721185</vt:lpwstr>
      </vt:variant>
      <vt:variant>
        <vt:lpwstr/>
      </vt:variant>
      <vt:variant>
        <vt:i4>3539061</vt:i4>
      </vt:variant>
      <vt:variant>
        <vt:i4>87</vt:i4>
      </vt:variant>
      <vt:variant>
        <vt:i4>0</vt:i4>
      </vt:variant>
      <vt:variant>
        <vt:i4>5</vt:i4>
      </vt:variant>
      <vt:variant>
        <vt:lpwstr>http://www.nevo.co.il/case/28513828</vt:lpwstr>
      </vt:variant>
      <vt:variant>
        <vt:lpwstr/>
      </vt:variant>
      <vt:variant>
        <vt:i4>4063356</vt:i4>
      </vt:variant>
      <vt:variant>
        <vt:i4>84</vt:i4>
      </vt:variant>
      <vt:variant>
        <vt:i4>0</vt:i4>
      </vt:variant>
      <vt:variant>
        <vt:i4>5</vt:i4>
      </vt:variant>
      <vt:variant>
        <vt:lpwstr>http://www.nevo.co.il/case/27894608</vt:lpwstr>
      </vt:variant>
      <vt:variant>
        <vt:lpwstr/>
      </vt:variant>
      <vt:variant>
        <vt:i4>3604592</vt:i4>
      </vt:variant>
      <vt:variant>
        <vt:i4>81</vt:i4>
      </vt:variant>
      <vt:variant>
        <vt:i4>0</vt:i4>
      </vt:variant>
      <vt:variant>
        <vt:i4>5</vt:i4>
      </vt:variant>
      <vt:variant>
        <vt:lpwstr>http://www.nevo.co.il/case/28452933</vt:lpwstr>
      </vt:variant>
      <vt:variant>
        <vt:lpwstr/>
      </vt:variant>
      <vt:variant>
        <vt:i4>3211376</vt:i4>
      </vt:variant>
      <vt:variant>
        <vt:i4>78</vt:i4>
      </vt:variant>
      <vt:variant>
        <vt:i4>0</vt:i4>
      </vt:variant>
      <vt:variant>
        <vt:i4>5</vt:i4>
      </vt:variant>
      <vt:variant>
        <vt:lpwstr>http://www.nevo.co.il/case/25384949</vt:lpwstr>
      </vt:variant>
      <vt:variant>
        <vt:lpwstr/>
      </vt:variant>
      <vt:variant>
        <vt:i4>3407994</vt:i4>
      </vt:variant>
      <vt:variant>
        <vt:i4>75</vt:i4>
      </vt:variant>
      <vt:variant>
        <vt:i4>0</vt:i4>
      </vt:variant>
      <vt:variant>
        <vt:i4>5</vt:i4>
      </vt:variant>
      <vt:variant>
        <vt:lpwstr>http://www.nevo.co.il/case/28243273</vt:lpwstr>
      </vt:variant>
      <vt:variant>
        <vt:lpwstr/>
      </vt:variant>
      <vt:variant>
        <vt:i4>3276919</vt:i4>
      </vt:variant>
      <vt:variant>
        <vt:i4>72</vt:i4>
      </vt:variant>
      <vt:variant>
        <vt:i4>0</vt:i4>
      </vt:variant>
      <vt:variant>
        <vt:i4>5</vt:i4>
      </vt:variant>
      <vt:variant>
        <vt:lpwstr>http://www.nevo.co.il/case/28697218</vt:lpwstr>
      </vt:variant>
      <vt:variant>
        <vt:lpwstr/>
      </vt:variant>
      <vt:variant>
        <vt:i4>7995492</vt:i4>
      </vt:variant>
      <vt:variant>
        <vt:i4>69</vt:i4>
      </vt:variant>
      <vt:variant>
        <vt:i4>0</vt:i4>
      </vt:variant>
      <vt:variant>
        <vt:i4>5</vt:i4>
      </vt:variant>
      <vt:variant>
        <vt:lpwstr>http://www.nevo.co.il/law/70301</vt:lpwstr>
      </vt:variant>
      <vt:variant>
        <vt:lpwstr/>
      </vt:variant>
      <vt:variant>
        <vt:i4>3211380</vt:i4>
      </vt:variant>
      <vt:variant>
        <vt:i4>66</vt:i4>
      </vt:variant>
      <vt:variant>
        <vt:i4>0</vt:i4>
      </vt:variant>
      <vt:variant>
        <vt:i4>5</vt:i4>
      </vt:variant>
      <vt:variant>
        <vt:lpwstr>http://www.nevo.co.il/case/28883087</vt:lpwstr>
      </vt:variant>
      <vt:variant>
        <vt:lpwstr/>
      </vt:variant>
      <vt:variant>
        <vt:i4>3211383</vt:i4>
      </vt:variant>
      <vt:variant>
        <vt:i4>63</vt:i4>
      </vt:variant>
      <vt:variant>
        <vt:i4>0</vt:i4>
      </vt:variant>
      <vt:variant>
        <vt:i4>5</vt:i4>
      </vt:variant>
      <vt:variant>
        <vt:lpwstr>http://www.nevo.co.il/case/28697227</vt:lpwstr>
      </vt:variant>
      <vt:variant>
        <vt:lpwstr/>
      </vt:variant>
      <vt:variant>
        <vt:i4>7995492</vt:i4>
      </vt:variant>
      <vt:variant>
        <vt:i4>60</vt:i4>
      </vt:variant>
      <vt:variant>
        <vt:i4>0</vt:i4>
      </vt:variant>
      <vt:variant>
        <vt:i4>5</vt:i4>
      </vt:variant>
      <vt:variant>
        <vt:lpwstr>http://www.nevo.co.il/law/70301</vt:lpwstr>
      </vt:variant>
      <vt:variant>
        <vt:lpwstr/>
      </vt:variant>
      <vt:variant>
        <vt:i4>4128881</vt:i4>
      </vt:variant>
      <vt:variant>
        <vt:i4>36</vt:i4>
      </vt:variant>
      <vt:variant>
        <vt:i4>0</vt:i4>
      </vt:variant>
      <vt:variant>
        <vt:i4>5</vt:i4>
      </vt:variant>
      <vt:variant>
        <vt:lpwstr>http://www.nevo.co.il/case/27309272</vt:lpwstr>
      </vt:variant>
      <vt:variant>
        <vt:lpwstr/>
      </vt:variant>
      <vt:variant>
        <vt:i4>3735673</vt:i4>
      </vt:variant>
      <vt:variant>
        <vt:i4>33</vt:i4>
      </vt:variant>
      <vt:variant>
        <vt:i4>0</vt:i4>
      </vt:variant>
      <vt:variant>
        <vt:i4>5</vt:i4>
      </vt:variant>
      <vt:variant>
        <vt:lpwstr>http://www.nevo.co.il/case/27734980</vt:lpwstr>
      </vt:variant>
      <vt:variant>
        <vt:lpwstr/>
      </vt:variant>
      <vt:variant>
        <vt:i4>7995492</vt:i4>
      </vt:variant>
      <vt:variant>
        <vt:i4>30</vt:i4>
      </vt:variant>
      <vt:variant>
        <vt:i4>0</vt:i4>
      </vt:variant>
      <vt:variant>
        <vt:i4>5</vt:i4>
      </vt:variant>
      <vt:variant>
        <vt:lpwstr>http://www.nevo.co.il/law/70301</vt:lpwstr>
      </vt:variant>
      <vt:variant>
        <vt:lpwstr/>
      </vt:variant>
      <vt:variant>
        <vt:i4>3407987</vt:i4>
      </vt:variant>
      <vt:variant>
        <vt:i4>27</vt:i4>
      </vt:variant>
      <vt:variant>
        <vt:i4>0</vt:i4>
      </vt:variant>
      <vt:variant>
        <vt:i4>5</vt:i4>
      </vt:variant>
      <vt:variant>
        <vt:lpwstr>http://www.nevo.co.il/case/22006503</vt:lpwstr>
      </vt:variant>
      <vt:variant>
        <vt:lpwstr/>
      </vt:variant>
      <vt:variant>
        <vt:i4>3407991</vt:i4>
      </vt:variant>
      <vt:variant>
        <vt:i4>24</vt:i4>
      </vt:variant>
      <vt:variant>
        <vt:i4>0</vt:i4>
      </vt:variant>
      <vt:variant>
        <vt:i4>5</vt:i4>
      </vt:variant>
      <vt:variant>
        <vt:lpwstr>http://www.nevo.co.il/case/27171364</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3932283</vt:i4>
      </vt:variant>
      <vt:variant>
        <vt:i4>18</vt:i4>
      </vt:variant>
      <vt:variant>
        <vt:i4>0</vt:i4>
      </vt:variant>
      <vt:variant>
        <vt:i4>5</vt:i4>
      </vt:variant>
      <vt:variant>
        <vt:lpwstr>http://www.nevo.co.il/case/26905927</vt:lpwstr>
      </vt:variant>
      <vt:variant>
        <vt:lpwstr/>
      </vt:variant>
      <vt:variant>
        <vt:i4>3539058</vt:i4>
      </vt:variant>
      <vt:variant>
        <vt:i4>15</vt:i4>
      </vt:variant>
      <vt:variant>
        <vt:i4>0</vt:i4>
      </vt:variant>
      <vt:variant>
        <vt:i4>5</vt:i4>
      </vt:variant>
      <vt:variant>
        <vt:lpwstr>http://www.nevo.co.il/case/28384637</vt:lpwstr>
      </vt:variant>
      <vt:variant>
        <vt:lpwstr/>
      </vt:variant>
      <vt:variant>
        <vt:i4>3407994</vt:i4>
      </vt:variant>
      <vt:variant>
        <vt:i4>12</vt:i4>
      </vt:variant>
      <vt:variant>
        <vt:i4>0</vt:i4>
      </vt:variant>
      <vt:variant>
        <vt:i4>5</vt:i4>
      </vt:variant>
      <vt:variant>
        <vt:lpwstr>http://www.nevo.co.il/case/28243273</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65090</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נדים טוויל</vt:lpwstr>
  </property>
  <property fmtid="{D5CDD505-2E9C-101B-9397-08002B2CF9AE}" pid="10" name="LAWYER">
    <vt:lpwstr>אמיר קסנטיני;עבאס עבסי</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20250407</vt:lpwstr>
  </property>
  <property fmtid="{D5CDD505-2E9C-101B-9397-08002B2CF9AE}" pid="14" name="TYPE_N_DATE">
    <vt:lpwstr>38020250407</vt:lpwstr>
  </property>
  <property fmtid="{D5CDD505-2E9C-101B-9397-08002B2CF9AE}" pid="15" name="CASESLISTTMP1">
    <vt:lpwstr>28243273:2;28384637;26905927;25824863;27171364;22006503;27734980;27309272;28697227;28883087;28697218;25384949;28452933;27894608;28513828;27721185;28152132;27502726</vt:lpwstr>
  </property>
  <property fmtid="{D5CDD505-2E9C-101B-9397-08002B2CF9AE}" pid="16" name="CASENOTES1">
    <vt:lpwstr>ProcID=135&amp;PartA=9683&amp;PartB=09&amp;PartC=22</vt:lpwstr>
  </property>
  <property fmtid="{D5CDD505-2E9C-101B-9397-08002B2CF9AE}" pid="17" name="WORDNUMPAGES">
    <vt:lpwstr>7</vt:lpwstr>
  </property>
  <property fmtid="{D5CDD505-2E9C-101B-9397-08002B2CF9AE}" pid="18" name="TYPE_ABS_DATE">
    <vt:lpwstr>380020250407</vt:lpwstr>
  </property>
  <property fmtid="{D5CDD505-2E9C-101B-9397-08002B2CF9AE}" pid="19" name="ISABSTRACT">
    <vt:lpwstr>Y</vt:lpwstr>
  </property>
  <property fmtid="{D5CDD505-2E9C-101B-9397-08002B2CF9AE}" pid="20" name="LAWLISTTMP1">
    <vt:lpwstr>70301:6</vt:lpwstr>
  </property>
</Properties>
</file>