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A7307" w:rsidRPr="00E716BC" w14:paraId="1F5F7DF6" w14:textId="77777777" w:rsidTr="00E87060">
        <w:trPr>
          <w:trHeight w:hRule="exact" w:val="418"/>
          <w:jc w:val="center"/>
        </w:trPr>
        <w:tc>
          <w:tcPr>
            <w:tcW w:w="8721" w:type="dxa"/>
            <w:gridSpan w:val="2"/>
          </w:tcPr>
          <w:p w14:paraId="476240DF" w14:textId="77777777" w:rsidR="00DA7307" w:rsidRPr="00E716BC" w:rsidRDefault="00DA7307" w:rsidP="00797D0A">
            <w:pPr>
              <w:pStyle w:val="a3"/>
              <w:jc w:val="center"/>
              <w:rPr>
                <w:rFonts w:ascii="Tahoma" w:hAnsi="Tahoma" w:cs="Tahoma"/>
                <w:color w:val="000080"/>
                <w:rtl/>
              </w:rPr>
            </w:pPr>
            <w:r w:rsidRPr="00E716BC">
              <w:rPr>
                <w:rFonts w:ascii="Tahoma" w:hAnsi="Tahoma" w:cs="Tahoma"/>
                <w:b/>
                <w:bCs/>
                <w:color w:val="000080"/>
                <w:rtl/>
              </w:rPr>
              <w:t>בית משפט השלום ברמלה</w:t>
            </w:r>
          </w:p>
        </w:tc>
      </w:tr>
      <w:tr w:rsidR="00DA7307" w:rsidRPr="00E716BC" w14:paraId="423614BA" w14:textId="77777777" w:rsidTr="00E87060">
        <w:trPr>
          <w:trHeight w:val="337"/>
          <w:jc w:val="center"/>
        </w:trPr>
        <w:tc>
          <w:tcPr>
            <w:tcW w:w="5058" w:type="dxa"/>
          </w:tcPr>
          <w:p w14:paraId="2D6FFCC4" w14:textId="77777777" w:rsidR="00DA7307" w:rsidRPr="00E716BC" w:rsidRDefault="00DA7307" w:rsidP="00797D0A">
            <w:pPr>
              <w:rPr>
                <w:rFonts w:cs="FrankRuehl"/>
                <w:sz w:val="28"/>
                <w:szCs w:val="28"/>
                <w:rtl/>
              </w:rPr>
            </w:pPr>
            <w:r w:rsidRPr="00E716BC">
              <w:rPr>
                <w:rFonts w:cs="FrankRuehl"/>
                <w:sz w:val="28"/>
                <w:szCs w:val="28"/>
                <w:rtl/>
              </w:rPr>
              <w:t>ת"פ</w:t>
            </w:r>
            <w:r w:rsidRPr="00E716BC">
              <w:rPr>
                <w:rFonts w:cs="FrankRuehl" w:hint="cs"/>
                <w:sz w:val="28"/>
                <w:szCs w:val="28"/>
                <w:rtl/>
              </w:rPr>
              <w:t xml:space="preserve"> </w:t>
            </w:r>
            <w:r w:rsidRPr="00E716BC">
              <w:rPr>
                <w:rFonts w:cs="FrankRuehl"/>
                <w:sz w:val="28"/>
                <w:szCs w:val="28"/>
                <w:rtl/>
              </w:rPr>
              <w:t>10335-06-24</w:t>
            </w:r>
            <w:r w:rsidRPr="00E716BC">
              <w:rPr>
                <w:rFonts w:cs="FrankRuehl" w:hint="cs"/>
                <w:sz w:val="28"/>
                <w:szCs w:val="28"/>
                <w:rtl/>
              </w:rPr>
              <w:t xml:space="preserve"> </w:t>
            </w:r>
            <w:r w:rsidRPr="00E716BC">
              <w:rPr>
                <w:rFonts w:cs="FrankRuehl"/>
                <w:sz w:val="28"/>
                <w:szCs w:val="28"/>
                <w:rtl/>
              </w:rPr>
              <w:t>מדינת ישראל נ' אבו עאמר(עציר) ואח'</w:t>
            </w:r>
          </w:p>
          <w:p w14:paraId="3C40C019" w14:textId="77777777" w:rsidR="00DA7307" w:rsidRPr="00E716BC" w:rsidRDefault="00DA7307" w:rsidP="00797D0A">
            <w:pPr>
              <w:pStyle w:val="a3"/>
              <w:rPr>
                <w:rFonts w:cs="FrankRuehl"/>
                <w:sz w:val="28"/>
                <w:szCs w:val="28"/>
                <w:rtl/>
              </w:rPr>
            </w:pPr>
          </w:p>
        </w:tc>
        <w:tc>
          <w:tcPr>
            <w:tcW w:w="3663" w:type="dxa"/>
          </w:tcPr>
          <w:p w14:paraId="1B165135" w14:textId="77777777" w:rsidR="00DA7307" w:rsidRPr="00E716BC" w:rsidRDefault="00DA7307" w:rsidP="00797D0A">
            <w:pPr>
              <w:pStyle w:val="a3"/>
              <w:jc w:val="right"/>
              <w:rPr>
                <w:rFonts w:cs="FrankRuehl"/>
                <w:sz w:val="28"/>
                <w:szCs w:val="28"/>
                <w:rtl/>
              </w:rPr>
            </w:pPr>
          </w:p>
        </w:tc>
      </w:tr>
    </w:tbl>
    <w:p w14:paraId="2FC5FF6F" w14:textId="77777777" w:rsidR="00DA7307" w:rsidRPr="00E716BC" w:rsidRDefault="00DA7307" w:rsidP="00DA7307">
      <w:pPr>
        <w:pStyle w:val="a3"/>
        <w:rPr>
          <w:rtl/>
        </w:rPr>
      </w:pPr>
      <w:r w:rsidRPr="00E716BC">
        <w:rPr>
          <w:rFonts w:hint="cs"/>
          <w:rtl/>
        </w:rPr>
        <w:t xml:space="preserve"> </w:t>
      </w:r>
    </w:p>
    <w:p w14:paraId="59E51353" w14:textId="77777777" w:rsidR="00DA7307" w:rsidRPr="00E716BC" w:rsidRDefault="00DA7307" w:rsidP="00DA7307">
      <w:pPr>
        <w:rPr>
          <w:rtl/>
        </w:rPr>
      </w:pPr>
    </w:p>
    <w:p w14:paraId="4423345D" w14:textId="77777777" w:rsidR="00DA7307" w:rsidRPr="00E716BC" w:rsidRDefault="00DA7307" w:rsidP="00DA7307">
      <w:pPr>
        <w:rPr>
          <w:rtl/>
        </w:rPr>
      </w:pPr>
    </w:p>
    <w:p w14:paraId="159CAC21" w14:textId="77777777" w:rsidR="00DA7307" w:rsidRPr="00E716BC" w:rsidRDefault="00DA7307" w:rsidP="00DA7307">
      <w:pPr>
        <w:rPr>
          <w:rFonts w:ascii="Arial (W1)" w:hAnsi="Arial (W1)"/>
          <w:b/>
          <w:bCs/>
          <w:sz w:val="28"/>
          <w:szCs w:val="28"/>
        </w:rPr>
      </w:pPr>
      <w:r w:rsidRPr="00E716BC">
        <w:rPr>
          <w:rFonts w:ascii="Arial (W1)" w:hAnsi="Arial (W1)"/>
          <w:b/>
          <w:bCs/>
          <w:sz w:val="28"/>
          <w:szCs w:val="28"/>
          <w:rtl/>
        </w:rPr>
        <w:softHyphen/>
      </w:r>
      <w:r w:rsidRPr="00E716BC">
        <w:rPr>
          <w:rFonts w:ascii="Arial (W1)" w:hAnsi="Arial (W1)"/>
          <w:b/>
          <w:bCs/>
          <w:sz w:val="28"/>
          <w:szCs w:val="28"/>
          <w:rtl/>
        </w:rPr>
        <w:softHyphen/>
        <w:t>לפני:</w:t>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t xml:space="preserve">כבוד השופטת </w:t>
      </w:r>
      <w:bookmarkStart w:id="0" w:name="LastJudge"/>
      <w:r w:rsidRPr="00E716BC">
        <w:rPr>
          <w:rFonts w:ascii="Arial (W1)" w:hAnsi="Arial (W1)"/>
          <w:b/>
          <w:bCs/>
          <w:sz w:val="28"/>
          <w:szCs w:val="28"/>
          <w:rtl/>
        </w:rPr>
        <w:t>סגנית הנשיא</w:t>
      </w:r>
      <w:bookmarkEnd w:id="0"/>
      <w:r w:rsidRPr="00E716BC">
        <w:rPr>
          <w:rFonts w:ascii="Arial (W1)" w:hAnsi="Arial (W1)"/>
          <w:b/>
          <w:bCs/>
          <w:sz w:val="28"/>
          <w:szCs w:val="28"/>
          <w:rtl/>
        </w:rPr>
        <w:t xml:space="preserve"> דורית סבן נוי</w:t>
      </w:r>
    </w:p>
    <w:p w14:paraId="36842762" w14:textId="77777777" w:rsidR="00DA7307" w:rsidRPr="00E716BC" w:rsidRDefault="00DA7307" w:rsidP="00DA7307">
      <w:pPr>
        <w:rPr>
          <w:rFonts w:ascii="Arial (W1)" w:hAnsi="Arial (W1)"/>
          <w:b/>
          <w:bCs/>
          <w:sz w:val="28"/>
          <w:szCs w:val="28"/>
          <w:rtl/>
        </w:rPr>
      </w:pPr>
    </w:p>
    <w:p w14:paraId="06E7B9B0" w14:textId="77777777" w:rsidR="00DA7307" w:rsidRPr="00E716BC" w:rsidRDefault="00DA7307" w:rsidP="00DA7307">
      <w:pPr>
        <w:rPr>
          <w:rFonts w:ascii="Arial (W1)" w:hAnsi="Arial (W1)"/>
          <w:b/>
          <w:bCs/>
          <w:sz w:val="28"/>
          <w:szCs w:val="28"/>
          <w:rtl/>
        </w:rPr>
      </w:pPr>
      <w:r w:rsidRPr="00E716BC">
        <w:rPr>
          <w:rFonts w:ascii="Arial (W1)" w:hAnsi="Arial (W1)"/>
          <w:b/>
          <w:bCs/>
          <w:sz w:val="28"/>
          <w:szCs w:val="28"/>
          <w:rtl/>
        </w:rPr>
        <w:t>ה</w:t>
      </w:r>
      <w:bookmarkStart w:id="1" w:name="FirstAppellant"/>
      <w:r w:rsidRPr="00E716BC">
        <w:rPr>
          <w:rFonts w:ascii="Arial (W1)" w:hAnsi="Arial (W1)"/>
          <w:b/>
          <w:bCs/>
          <w:sz w:val="28"/>
          <w:szCs w:val="28"/>
          <w:rtl/>
        </w:rPr>
        <w:t>מאשימ</w:t>
      </w:r>
      <w:bookmarkEnd w:id="1"/>
      <w:r w:rsidRPr="00E716BC">
        <w:rPr>
          <w:rFonts w:ascii="Arial (W1)" w:hAnsi="Arial (W1)"/>
          <w:b/>
          <w:bCs/>
          <w:sz w:val="28"/>
          <w:szCs w:val="28"/>
          <w:rtl/>
        </w:rPr>
        <w:t>ה:</w:t>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t>מדינת ישראל</w:t>
      </w:r>
    </w:p>
    <w:p w14:paraId="02CB5BAD" w14:textId="77777777" w:rsidR="00DA7307" w:rsidRPr="00E716BC" w:rsidRDefault="00DA7307" w:rsidP="00DA7307">
      <w:pPr>
        <w:rPr>
          <w:rFonts w:ascii="Arial (W1)" w:hAnsi="Arial (W1)"/>
          <w:b/>
          <w:bCs/>
          <w:sz w:val="28"/>
          <w:szCs w:val="28"/>
          <w:rtl/>
        </w:rPr>
      </w:pP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t xml:space="preserve">באמצעות פרקליטות מחוז מרכז </w:t>
      </w:r>
    </w:p>
    <w:p w14:paraId="4E889AF1" w14:textId="77777777" w:rsidR="00DA7307" w:rsidRPr="00E716BC" w:rsidRDefault="00DA7307" w:rsidP="00DA7307">
      <w:pPr>
        <w:rPr>
          <w:rFonts w:ascii="Arial (W1)" w:hAnsi="Arial (W1)"/>
          <w:b/>
          <w:bCs/>
          <w:sz w:val="28"/>
          <w:szCs w:val="28"/>
          <w:rtl/>
        </w:rPr>
      </w:pPr>
    </w:p>
    <w:p w14:paraId="69ACF800" w14:textId="77777777" w:rsidR="00DA7307" w:rsidRPr="00E716BC" w:rsidRDefault="00DA7307" w:rsidP="00DA7307">
      <w:pPr>
        <w:rPr>
          <w:rFonts w:ascii="Arial (W1)" w:hAnsi="Arial (W1)"/>
          <w:b/>
          <w:bCs/>
          <w:sz w:val="28"/>
          <w:szCs w:val="28"/>
          <w:rtl/>
        </w:rPr>
      </w:pP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t>נ ג ד</w:t>
      </w:r>
    </w:p>
    <w:p w14:paraId="2BB310C9" w14:textId="77777777" w:rsidR="00DA7307" w:rsidRPr="00E716BC" w:rsidRDefault="00DA7307" w:rsidP="00DA7307">
      <w:pPr>
        <w:rPr>
          <w:rFonts w:ascii="Arial (W1)" w:hAnsi="Arial (W1)"/>
          <w:b/>
          <w:bCs/>
          <w:sz w:val="28"/>
          <w:szCs w:val="28"/>
          <w:rtl/>
        </w:rPr>
      </w:pPr>
    </w:p>
    <w:p w14:paraId="0F97C15E" w14:textId="77777777" w:rsidR="00DA7307" w:rsidRPr="00E716BC" w:rsidRDefault="00DA7307" w:rsidP="00DA7307">
      <w:pPr>
        <w:rPr>
          <w:rFonts w:ascii="Arial (W1)" w:hAnsi="Arial (W1)"/>
          <w:b/>
          <w:bCs/>
          <w:sz w:val="28"/>
          <w:szCs w:val="28"/>
          <w:rtl/>
        </w:rPr>
      </w:pPr>
      <w:r w:rsidRPr="00E716BC">
        <w:rPr>
          <w:rFonts w:ascii="Arial (W1)" w:hAnsi="Arial (W1)"/>
          <w:b/>
          <w:bCs/>
          <w:sz w:val="28"/>
          <w:szCs w:val="28"/>
          <w:rtl/>
        </w:rPr>
        <w:t>הנאשמים:</w:t>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t>1. סעיד אבו עאמר</w:t>
      </w:r>
    </w:p>
    <w:p w14:paraId="4BE1FE87" w14:textId="77777777" w:rsidR="00DA7307" w:rsidRPr="00E716BC" w:rsidRDefault="00DA7307" w:rsidP="00DA7307">
      <w:pPr>
        <w:rPr>
          <w:rFonts w:ascii="Arial (W1)" w:hAnsi="Arial (W1)"/>
          <w:b/>
          <w:bCs/>
          <w:sz w:val="28"/>
          <w:szCs w:val="28"/>
          <w:rtl/>
        </w:rPr>
      </w:pP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r>
      <w:r w:rsidRPr="00E716BC">
        <w:rPr>
          <w:rFonts w:ascii="Arial (W1)" w:hAnsi="Arial (W1)"/>
          <w:b/>
          <w:bCs/>
          <w:sz w:val="28"/>
          <w:szCs w:val="28"/>
          <w:rtl/>
        </w:rPr>
        <w:tab/>
        <w:t xml:space="preserve">2. ויאם אבו עאמר- נדון </w:t>
      </w:r>
    </w:p>
    <w:p w14:paraId="37EE508B" w14:textId="77777777" w:rsidR="00DA7307" w:rsidRPr="00E716BC" w:rsidRDefault="00DA7307" w:rsidP="00DA7307">
      <w:pPr>
        <w:rPr>
          <w:rFonts w:ascii="Arial (W1)" w:hAnsi="Arial (W1)"/>
          <w:b/>
          <w:bCs/>
          <w:sz w:val="28"/>
          <w:szCs w:val="28"/>
          <w:rtl/>
        </w:rPr>
      </w:pPr>
    </w:p>
    <w:p w14:paraId="4C94B39F" w14:textId="77777777" w:rsidR="00DA7307" w:rsidRPr="00E716BC" w:rsidRDefault="00DA7307" w:rsidP="00DA7307">
      <w:pPr>
        <w:rPr>
          <w:rFonts w:ascii="Arial (W1)" w:hAnsi="Arial (W1)"/>
          <w:sz w:val="28"/>
          <w:szCs w:val="28"/>
          <w:rtl/>
        </w:rPr>
      </w:pPr>
      <w:bookmarkStart w:id="2" w:name="FirstLawyer"/>
      <w:r w:rsidRPr="00E716BC">
        <w:rPr>
          <w:rFonts w:ascii="Arial (W1)" w:hAnsi="Arial (W1)"/>
          <w:sz w:val="28"/>
          <w:szCs w:val="28"/>
          <w:rtl/>
        </w:rPr>
        <w:t>בשם</w:t>
      </w:r>
      <w:bookmarkEnd w:id="2"/>
      <w:r w:rsidRPr="00E716BC">
        <w:rPr>
          <w:rFonts w:ascii="Arial (W1)" w:hAnsi="Arial (W1)"/>
          <w:sz w:val="28"/>
          <w:szCs w:val="28"/>
          <w:rtl/>
        </w:rPr>
        <w:t xml:space="preserve"> המאשימה:</w:t>
      </w:r>
      <w:r w:rsidRPr="00E716BC">
        <w:rPr>
          <w:rFonts w:ascii="Arial (W1)" w:hAnsi="Arial (W1)"/>
          <w:sz w:val="28"/>
          <w:szCs w:val="28"/>
          <w:rtl/>
        </w:rPr>
        <w:tab/>
      </w:r>
      <w:r w:rsidRPr="00E716BC">
        <w:rPr>
          <w:rFonts w:ascii="Arial (W1)" w:hAnsi="Arial (W1)"/>
          <w:sz w:val="28"/>
          <w:szCs w:val="28"/>
          <w:rtl/>
        </w:rPr>
        <w:tab/>
        <w:t>עו"ד נועה עוזרי</w:t>
      </w:r>
    </w:p>
    <w:p w14:paraId="7FBBAD67" w14:textId="77777777" w:rsidR="00DA7307" w:rsidRPr="00E716BC" w:rsidRDefault="00DA7307" w:rsidP="00DA7307">
      <w:pPr>
        <w:rPr>
          <w:rFonts w:ascii="Arial (W1)" w:hAnsi="Arial (W1)"/>
          <w:sz w:val="28"/>
          <w:szCs w:val="28"/>
          <w:rtl/>
        </w:rPr>
      </w:pPr>
      <w:r w:rsidRPr="00E716BC">
        <w:rPr>
          <w:rFonts w:ascii="Arial (W1)" w:hAnsi="Arial (W1)"/>
          <w:sz w:val="28"/>
          <w:szCs w:val="28"/>
          <w:rtl/>
        </w:rPr>
        <w:t>בשם הנאשם 1:</w:t>
      </w:r>
      <w:r w:rsidRPr="00E716BC">
        <w:rPr>
          <w:rFonts w:ascii="Arial (W1)" w:hAnsi="Arial (W1)"/>
          <w:sz w:val="28"/>
          <w:szCs w:val="28"/>
          <w:rtl/>
        </w:rPr>
        <w:tab/>
      </w:r>
      <w:r w:rsidRPr="00E716BC">
        <w:rPr>
          <w:rFonts w:ascii="Arial (W1)" w:hAnsi="Arial (W1)"/>
          <w:sz w:val="28"/>
          <w:szCs w:val="28"/>
          <w:rtl/>
        </w:rPr>
        <w:tab/>
        <w:t>עו"ד שני מורן</w:t>
      </w:r>
    </w:p>
    <w:p w14:paraId="5DF85608" w14:textId="77777777" w:rsidR="00E87060" w:rsidRDefault="00E87060" w:rsidP="00DA7307">
      <w:pPr>
        <w:spacing w:line="360" w:lineRule="auto"/>
        <w:rPr>
          <w:rFonts w:ascii="Arial (W1)" w:hAnsi="Arial (W1)"/>
          <w:sz w:val="28"/>
          <w:szCs w:val="28"/>
          <w:rtl/>
        </w:rPr>
      </w:pPr>
      <w:bookmarkStart w:id="3" w:name="LawTable"/>
      <w:bookmarkEnd w:id="3"/>
    </w:p>
    <w:p w14:paraId="1B095670" w14:textId="77777777" w:rsidR="00E87060" w:rsidRDefault="00E87060" w:rsidP="00E87060">
      <w:pPr>
        <w:spacing w:after="120" w:line="240" w:lineRule="exact"/>
        <w:ind w:left="283" w:hanging="283"/>
        <w:jc w:val="both"/>
        <w:rPr>
          <w:rFonts w:ascii="FrankRuehl" w:hAnsi="FrankRuehl" w:cs="FrankRuehl" w:hint="cs"/>
          <w:rtl/>
        </w:rPr>
      </w:pPr>
    </w:p>
    <w:p w14:paraId="5045BEE2" w14:textId="77777777" w:rsidR="00E87060" w:rsidRPr="00E87060" w:rsidRDefault="00E87060" w:rsidP="00E87060">
      <w:pPr>
        <w:spacing w:after="120" w:line="240" w:lineRule="exact"/>
        <w:ind w:left="283" w:hanging="283"/>
        <w:jc w:val="both"/>
        <w:rPr>
          <w:rFonts w:ascii="FrankRuehl" w:hAnsi="FrankRuehl" w:cs="FrankRuehl"/>
          <w:rtl/>
        </w:rPr>
      </w:pPr>
      <w:r w:rsidRPr="00E87060">
        <w:rPr>
          <w:rFonts w:ascii="FrankRuehl" w:hAnsi="FrankRuehl" w:cs="FrankRuehl" w:hint="eastAsia"/>
          <w:rtl/>
        </w:rPr>
        <w:t>חקיקה</w:t>
      </w:r>
      <w:r w:rsidRPr="00E87060">
        <w:rPr>
          <w:rFonts w:ascii="FrankRuehl" w:hAnsi="FrankRuehl" w:cs="FrankRuehl"/>
          <w:rtl/>
        </w:rPr>
        <w:t xml:space="preserve"> </w:t>
      </w:r>
      <w:r w:rsidRPr="00E87060">
        <w:rPr>
          <w:rFonts w:ascii="FrankRuehl" w:hAnsi="FrankRuehl" w:cs="FrankRuehl" w:hint="eastAsia"/>
          <w:rtl/>
        </w:rPr>
        <w:t>שאוזכרה</w:t>
      </w:r>
      <w:r w:rsidRPr="00E87060">
        <w:rPr>
          <w:rFonts w:ascii="FrankRuehl" w:hAnsi="FrankRuehl" w:cs="FrankRuehl"/>
          <w:rtl/>
        </w:rPr>
        <w:t xml:space="preserve">: </w:t>
      </w:r>
    </w:p>
    <w:p w14:paraId="1EB8C6C9" w14:textId="77777777" w:rsidR="00E87060" w:rsidRPr="00E87060" w:rsidRDefault="00E87060" w:rsidP="00E87060">
      <w:pPr>
        <w:spacing w:after="120" w:line="240" w:lineRule="exact"/>
        <w:ind w:left="283" w:hanging="283"/>
        <w:jc w:val="both"/>
        <w:rPr>
          <w:rFonts w:ascii="FrankRuehl" w:hAnsi="FrankRuehl" w:cs="FrankRuehl"/>
          <w:rtl/>
        </w:rPr>
      </w:pPr>
      <w:hyperlink r:id="rId7" w:history="1">
        <w:r w:rsidRPr="00E87060">
          <w:rPr>
            <w:rFonts w:ascii="FrankRuehl" w:hAnsi="FrankRuehl" w:cs="FrankRuehl" w:hint="eastAsia"/>
            <w:color w:val="0000FF"/>
            <w:u w:val="single"/>
            <w:rtl/>
          </w:rPr>
          <w:t>חוק</w:t>
        </w:r>
        <w:r w:rsidRPr="00E87060">
          <w:rPr>
            <w:rFonts w:ascii="FrankRuehl" w:hAnsi="FrankRuehl" w:cs="FrankRuehl"/>
            <w:color w:val="0000FF"/>
            <w:u w:val="single"/>
            <w:rtl/>
          </w:rPr>
          <w:t xml:space="preserve"> </w:t>
        </w:r>
        <w:r w:rsidRPr="00E87060">
          <w:rPr>
            <w:rFonts w:ascii="FrankRuehl" w:hAnsi="FrankRuehl" w:cs="FrankRuehl" w:hint="eastAsia"/>
            <w:color w:val="0000FF"/>
            <w:u w:val="single"/>
            <w:rtl/>
          </w:rPr>
          <w:t>העונשין</w:t>
        </w:r>
        <w:r w:rsidRPr="00E87060">
          <w:rPr>
            <w:rFonts w:ascii="FrankRuehl" w:hAnsi="FrankRuehl" w:cs="FrankRuehl"/>
            <w:color w:val="0000FF"/>
            <w:u w:val="single"/>
            <w:rtl/>
          </w:rPr>
          <w:t xml:space="preserve">, </w:t>
        </w:r>
        <w:r w:rsidRPr="00E87060">
          <w:rPr>
            <w:rFonts w:ascii="FrankRuehl" w:hAnsi="FrankRuehl" w:cs="FrankRuehl" w:hint="eastAsia"/>
            <w:color w:val="0000FF"/>
            <w:u w:val="single"/>
            <w:rtl/>
          </w:rPr>
          <w:t>תשל</w:t>
        </w:r>
        <w:r w:rsidRPr="00E87060">
          <w:rPr>
            <w:rFonts w:ascii="FrankRuehl" w:hAnsi="FrankRuehl" w:cs="FrankRuehl"/>
            <w:color w:val="0000FF"/>
            <w:u w:val="single"/>
            <w:rtl/>
          </w:rPr>
          <w:t>"</w:t>
        </w:r>
        <w:r w:rsidRPr="00E87060">
          <w:rPr>
            <w:rFonts w:ascii="FrankRuehl" w:hAnsi="FrankRuehl" w:cs="FrankRuehl" w:hint="eastAsia"/>
            <w:color w:val="0000FF"/>
            <w:u w:val="single"/>
            <w:rtl/>
          </w:rPr>
          <w:t>ז</w:t>
        </w:r>
        <w:r w:rsidRPr="00E87060">
          <w:rPr>
            <w:rFonts w:ascii="FrankRuehl" w:hAnsi="FrankRuehl" w:cs="FrankRuehl"/>
            <w:color w:val="0000FF"/>
            <w:u w:val="single"/>
            <w:rtl/>
          </w:rPr>
          <w:t>-1977</w:t>
        </w:r>
      </w:hyperlink>
      <w:r w:rsidRPr="00E87060">
        <w:rPr>
          <w:rFonts w:ascii="FrankRuehl" w:hAnsi="FrankRuehl" w:cs="FrankRuehl"/>
          <w:rtl/>
        </w:rPr>
        <w:t xml:space="preserve">: </w:t>
      </w:r>
      <w:r w:rsidRPr="00E87060">
        <w:rPr>
          <w:rFonts w:ascii="FrankRuehl" w:hAnsi="FrankRuehl" w:cs="FrankRuehl" w:hint="eastAsia"/>
          <w:rtl/>
        </w:rPr>
        <w:t>סע</w:t>
      </w:r>
      <w:r w:rsidRPr="00E87060">
        <w:rPr>
          <w:rFonts w:ascii="FrankRuehl" w:hAnsi="FrankRuehl" w:cs="FrankRuehl"/>
          <w:rtl/>
        </w:rPr>
        <w:t xml:space="preserve">'  </w:t>
      </w:r>
      <w:hyperlink r:id="rId8" w:history="1">
        <w:r w:rsidRPr="00E87060">
          <w:rPr>
            <w:rFonts w:ascii="FrankRuehl" w:hAnsi="FrankRuehl" w:cs="FrankRuehl"/>
            <w:color w:val="0000FF"/>
            <w:u w:val="single"/>
            <w:rtl/>
          </w:rPr>
          <w:t>144(</w:t>
        </w:r>
        <w:r w:rsidRPr="00E87060">
          <w:rPr>
            <w:rFonts w:ascii="FrankRuehl" w:hAnsi="FrankRuehl" w:cs="FrankRuehl" w:hint="eastAsia"/>
            <w:color w:val="0000FF"/>
            <w:u w:val="single"/>
            <w:rtl/>
          </w:rPr>
          <w:t>א</w:t>
        </w:r>
        <w:r w:rsidRPr="00E87060">
          <w:rPr>
            <w:rFonts w:ascii="FrankRuehl" w:hAnsi="FrankRuehl" w:cs="FrankRuehl"/>
            <w:color w:val="0000FF"/>
            <w:u w:val="single"/>
            <w:rtl/>
          </w:rPr>
          <w:t>)</w:t>
        </w:r>
      </w:hyperlink>
      <w:r w:rsidRPr="00E87060">
        <w:rPr>
          <w:rFonts w:ascii="FrankRuehl" w:hAnsi="FrankRuehl" w:cs="FrankRuehl"/>
          <w:rtl/>
        </w:rPr>
        <w:t xml:space="preserve">, </w:t>
      </w:r>
      <w:hyperlink r:id="rId9" w:history="1">
        <w:r w:rsidRPr="00E87060">
          <w:rPr>
            <w:rFonts w:ascii="FrankRuehl" w:hAnsi="FrankRuehl" w:cs="FrankRuehl"/>
            <w:color w:val="0000FF"/>
            <w:u w:val="single"/>
            <w:rtl/>
          </w:rPr>
          <w:t>499 (</w:t>
        </w:r>
        <w:r w:rsidRPr="00E87060">
          <w:rPr>
            <w:rFonts w:ascii="FrankRuehl" w:hAnsi="FrankRuehl" w:cs="FrankRuehl" w:hint="eastAsia"/>
            <w:color w:val="0000FF"/>
            <w:u w:val="single"/>
            <w:rtl/>
          </w:rPr>
          <w:t>א</w:t>
        </w:r>
        <w:r w:rsidRPr="00E87060">
          <w:rPr>
            <w:rFonts w:ascii="FrankRuehl" w:hAnsi="FrankRuehl" w:cs="FrankRuehl"/>
            <w:color w:val="0000FF"/>
            <w:u w:val="single"/>
            <w:rtl/>
          </w:rPr>
          <w:t>)(1)</w:t>
        </w:r>
      </w:hyperlink>
    </w:p>
    <w:p w14:paraId="31AEC8F7" w14:textId="77777777" w:rsidR="00DA7307" w:rsidRDefault="00DA7307" w:rsidP="00DA7307">
      <w:pPr>
        <w:spacing w:line="360" w:lineRule="auto"/>
        <w:rPr>
          <w:rFonts w:ascii="Arial (W1)" w:hAnsi="Arial (W1)" w:hint="cs"/>
          <w:sz w:val="28"/>
          <w:szCs w:val="28"/>
          <w:rtl/>
        </w:rPr>
      </w:pPr>
      <w:bookmarkStart w:id="4" w:name="LawTable_End"/>
      <w:bookmarkEnd w:id="4"/>
    </w:p>
    <w:p w14:paraId="19606B33" w14:textId="77777777" w:rsidR="00E87060" w:rsidRPr="00E87060" w:rsidRDefault="00E87060" w:rsidP="00DA7307">
      <w:pPr>
        <w:spacing w:line="360" w:lineRule="auto"/>
        <w:rPr>
          <w:rFonts w:ascii="Arial (W1)" w:hAnsi="Arial (W1)" w:hint="cs"/>
          <w:sz w:val="28"/>
          <w:szCs w:val="28"/>
          <w:rtl/>
        </w:rPr>
      </w:pPr>
    </w:p>
    <w:p w14:paraId="22FD313C" w14:textId="77777777" w:rsidR="00E716BC" w:rsidRPr="00E716BC" w:rsidRDefault="00E716BC" w:rsidP="00E716BC">
      <w:pPr>
        <w:spacing w:line="360" w:lineRule="auto"/>
        <w:jc w:val="center"/>
        <w:rPr>
          <w:rFonts w:ascii="Arial (W1)" w:hAnsi="Arial (W1)"/>
          <w:sz w:val="28"/>
          <w:szCs w:val="28"/>
          <w:rtl/>
        </w:rPr>
      </w:pPr>
    </w:p>
    <w:p w14:paraId="66569CFE" w14:textId="77777777" w:rsidR="00E716BC" w:rsidRPr="00E716BC" w:rsidRDefault="00E716BC" w:rsidP="00DA7307">
      <w:pPr>
        <w:spacing w:line="360" w:lineRule="auto"/>
        <w:jc w:val="center"/>
        <w:rPr>
          <w:rFonts w:ascii="Arial (W1)" w:hAnsi="Arial (W1)"/>
          <w:b/>
          <w:bCs/>
          <w:sz w:val="28"/>
          <w:szCs w:val="28"/>
          <w:rtl/>
        </w:rPr>
      </w:pPr>
    </w:p>
    <w:p w14:paraId="23D1A014" w14:textId="77777777" w:rsidR="00E716BC" w:rsidRPr="00E716BC" w:rsidRDefault="00E716BC" w:rsidP="00E716BC">
      <w:pPr>
        <w:spacing w:line="360" w:lineRule="auto"/>
        <w:jc w:val="center"/>
        <w:rPr>
          <w:rFonts w:ascii="Arial (W1)" w:hAnsi="Arial (W1)"/>
          <w:b/>
          <w:bCs/>
          <w:sz w:val="28"/>
          <w:szCs w:val="28"/>
          <w:u w:val="single"/>
          <w:rtl/>
        </w:rPr>
      </w:pPr>
      <w:bookmarkStart w:id="5" w:name="PsakDin"/>
      <w:r w:rsidRPr="00E716BC">
        <w:rPr>
          <w:rFonts w:ascii="Arial (W1)" w:hAnsi="Arial (W1)" w:hint="eastAsia"/>
          <w:b/>
          <w:bCs/>
          <w:sz w:val="28"/>
          <w:szCs w:val="28"/>
          <w:u w:val="single"/>
          <w:rtl/>
        </w:rPr>
        <w:t>גזר</w:t>
      </w:r>
      <w:r w:rsidRPr="00E716BC">
        <w:rPr>
          <w:rFonts w:ascii="Arial (W1)" w:hAnsi="Arial (W1)"/>
          <w:b/>
          <w:bCs/>
          <w:sz w:val="28"/>
          <w:szCs w:val="28"/>
          <w:u w:val="single"/>
          <w:rtl/>
        </w:rPr>
        <w:t xml:space="preserve"> </w:t>
      </w:r>
      <w:r w:rsidRPr="00E716BC">
        <w:rPr>
          <w:rFonts w:ascii="Arial (W1)" w:hAnsi="Arial (W1)" w:hint="eastAsia"/>
          <w:b/>
          <w:bCs/>
          <w:sz w:val="28"/>
          <w:szCs w:val="28"/>
          <w:u w:val="single"/>
          <w:rtl/>
        </w:rPr>
        <w:t>דין</w:t>
      </w:r>
    </w:p>
    <w:bookmarkEnd w:id="5"/>
    <w:p w14:paraId="3BF6F702" w14:textId="77777777" w:rsidR="00DA7307" w:rsidRDefault="00DA7307" w:rsidP="00DA7307">
      <w:pPr>
        <w:spacing w:line="360" w:lineRule="auto"/>
        <w:rPr>
          <w:rFonts w:ascii="Arial (W1)" w:hAnsi="Arial (W1)"/>
          <w:b/>
          <w:bCs/>
          <w:sz w:val="28"/>
          <w:szCs w:val="28"/>
          <w:u w:val="single"/>
          <w:rtl/>
        </w:rPr>
      </w:pPr>
    </w:p>
    <w:p w14:paraId="0C6ED61B" w14:textId="77777777" w:rsidR="00DA7307" w:rsidRDefault="00DA7307" w:rsidP="00DA7307">
      <w:pPr>
        <w:pStyle w:val="a9"/>
        <w:numPr>
          <w:ilvl w:val="0"/>
          <w:numId w:val="1"/>
        </w:numPr>
        <w:spacing w:after="0" w:line="360" w:lineRule="auto"/>
        <w:rPr>
          <w:rFonts w:ascii="Arial (W1)" w:hAnsi="Arial (W1)" w:cs="David"/>
          <w:b/>
          <w:bCs/>
          <w:sz w:val="24"/>
          <w:szCs w:val="24"/>
          <w:u w:val="double"/>
          <w:rtl/>
        </w:rPr>
      </w:pPr>
      <w:r>
        <w:rPr>
          <w:rFonts w:ascii="Arial (W1)" w:hAnsi="Arial (W1)" w:cs="David"/>
          <w:b/>
          <w:bCs/>
          <w:sz w:val="24"/>
          <w:szCs w:val="24"/>
          <w:u w:val="double"/>
          <w:rtl/>
        </w:rPr>
        <w:t>רקע ועובדות כתב האישום המתוקן</w:t>
      </w:r>
    </w:p>
    <w:p w14:paraId="13187D23" w14:textId="77777777" w:rsidR="00DA7307" w:rsidRPr="00DA7307" w:rsidRDefault="00DA7307" w:rsidP="00DA7307">
      <w:pPr>
        <w:spacing w:line="360" w:lineRule="auto"/>
        <w:jc w:val="both"/>
        <w:rPr>
          <w:rFonts w:ascii="David" w:eastAsia="Calibri" w:hAnsi="David"/>
          <w:rtl/>
        </w:rPr>
      </w:pPr>
    </w:p>
    <w:p w14:paraId="2D856B74" w14:textId="77777777" w:rsidR="00DA7307" w:rsidRDefault="00DA7307" w:rsidP="00DA7307">
      <w:pPr>
        <w:numPr>
          <w:ilvl w:val="0"/>
          <w:numId w:val="2"/>
        </w:numPr>
        <w:spacing w:after="160" w:line="360" w:lineRule="auto"/>
        <w:jc w:val="both"/>
        <w:rPr>
          <w:rFonts w:ascii="David" w:hAnsi="David"/>
          <w:b/>
          <w:bCs/>
          <w:u w:val="single"/>
          <w:rtl/>
        </w:rPr>
      </w:pPr>
      <w:bookmarkStart w:id="6" w:name="ABSTRACT_START"/>
      <w:bookmarkEnd w:id="6"/>
      <w:r>
        <w:rPr>
          <w:rFonts w:ascii="David" w:hAnsi="David"/>
          <w:rtl/>
        </w:rPr>
        <w:t>הנאשם הורשע על יסוד הודאתו בכתב האישום המקורי בעבירה של החזקת נשק ותחמושת</w:t>
      </w:r>
      <w:r>
        <w:rPr>
          <w:rFonts w:ascii="David" w:hAnsi="David" w:hint="cs"/>
          <w:rtl/>
        </w:rPr>
        <w:t>-</w:t>
      </w:r>
      <w:r>
        <w:rPr>
          <w:rFonts w:ascii="David" w:hAnsi="David"/>
          <w:rtl/>
        </w:rPr>
        <w:t xml:space="preserve">עבירה לפי </w:t>
      </w:r>
      <w:hyperlink r:id="rId10" w:history="1">
        <w:r w:rsidR="00E87060" w:rsidRPr="00E87060">
          <w:rPr>
            <w:rFonts w:ascii="David" w:hAnsi="David"/>
            <w:color w:val="0000FF"/>
            <w:u w:val="single"/>
            <w:rtl/>
          </w:rPr>
          <w:t>סעיף 144(א)</w:t>
        </w:r>
      </w:hyperlink>
      <w:r>
        <w:rPr>
          <w:rFonts w:ascii="David" w:hAnsi="David"/>
          <w:rtl/>
        </w:rPr>
        <w:t xml:space="preserve"> רישא וסיפא ל</w:t>
      </w:r>
      <w:hyperlink r:id="rId11" w:history="1">
        <w:r w:rsidR="00E716BC" w:rsidRPr="00E716BC">
          <w:rPr>
            <w:rFonts w:ascii="David" w:hAnsi="David"/>
            <w:color w:val="0000FF"/>
            <w:u w:val="single"/>
            <w:rtl/>
          </w:rPr>
          <w:t>חוק העונשין</w:t>
        </w:r>
      </w:hyperlink>
      <w:r>
        <w:rPr>
          <w:rFonts w:ascii="David" w:hAnsi="David"/>
          <w:rtl/>
        </w:rPr>
        <w:t>, התשל"ז-1977</w:t>
      </w:r>
      <w:r>
        <w:rPr>
          <w:rFonts w:ascii="David" w:hAnsi="David"/>
          <w:b/>
          <w:bCs/>
          <w:rtl/>
        </w:rPr>
        <w:t xml:space="preserve">. </w:t>
      </w:r>
    </w:p>
    <w:p w14:paraId="7277FC68" w14:textId="77777777" w:rsidR="00DA7307" w:rsidRDefault="00DA7307" w:rsidP="00DA7307">
      <w:pPr>
        <w:spacing w:line="360" w:lineRule="auto"/>
        <w:ind w:left="720"/>
        <w:contextualSpacing/>
        <w:jc w:val="both"/>
        <w:rPr>
          <w:rFonts w:ascii="David" w:hAnsi="David"/>
          <w:b/>
          <w:bCs/>
          <w:u w:val="single"/>
        </w:rPr>
      </w:pPr>
      <w:bookmarkStart w:id="7" w:name="ABSTRACT_END"/>
      <w:bookmarkEnd w:id="7"/>
    </w:p>
    <w:p w14:paraId="001B15A0" w14:textId="77777777" w:rsidR="00DA7307" w:rsidRDefault="00DA7307" w:rsidP="00DA7307">
      <w:pPr>
        <w:numPr>
          <w:ilvl w:val="0"/>
          <w:numId w:val="2"/>
        </w:numPr>
        <w:spacing w:after="160" w:line="360" w:lineRule="auto"/>
        <w:jc w:val="both"/>
        <w:rPr>
          <w:rFonts w:ascii="David" w:hAnsi="David"/>
        </w:rPr>
      </w:pPr>
      <w:r>
        <w:rPr>
          <w:rFonts w:ascii="David" w:hAnsi="David"/>
          <w:rtl/>
        </w:rPr>
        <w:t>על-פי עובדות כתב האישום הנאשמים הינם אב ובן. עובר ליום 22.5.24 קשרו קשר לפיו הנאשם 1 יחזיק אקדח. בהתאם לקשר, ביום 22.5.2024 או בסמוך לכך, החזיק הנאשם 1, אקדח מסוג 9</w:t>
      </w:r>
      <w:r>
        <w:rPr>
          <w:rFonts w:ascii="David" w:hAnsi="David"/>
        </w:rPr>
        <w:t>MM</w:t>
      </w:r>
      <w:r>
        <w:rPr>
          <w:rFonts w:ascii="David" w:hAnsi="David"/>
          <w:rtl/>
        </w:rPr>
        <w:t xml:space="preserve"> </w:t>
      </w:r>
      <w:r>
        <w:rPr>
          <w:rFonts w:ascii="David" w:hAnsi="David"/>
        </w:rPr>
        <w:t>BLOW</w:t>
      </w:r>
      <w:r>
        <w:rPr>
          <w:rFonts w:ascii="David" w:hAnsi="David"/>
          <w:rtl/>
        </w:rPr>
        <w:t xml:space="preserve"> בצבע שחור, נושא מס' טבוע 20000224, טעון במחסנית ובתוכה </w:t>
      </w:r>
      <w:r>
        <w:rPr>
          <w:rFonts w:ascii="David" w:hAnsi="David"/>
          <w:rtl/>
        </w:rPr>
        <w:lastRenderedPageBreak/>
        <w:t xml:space="preserve">7 כדורי תחמושת מתאימים, כשהוא עטוף בגרב בצבע שחור/אפור ומוסלק בין הבגדים שבארון בחדר השינה של נאשם 1. </w:t>
      </w:r>
    </w:p>
    <w:p w14:paraId="2A1947B6" w14:textId="77777777" w:rsidR="00DA7307" w:rsidRDefault="00DA7307" w:rsidP="00DA7307">
      <w:pPr>
        <w:ind w:left="720"/>
        <w:contextualSpacing/>
        <w:rPr>
          <w:rFonts w:ascii="David" w:hAnsi="David"/>
          <w:b/>
          <w:bCs/>
          <w:u w:val="single"/>
        </w:rPr>
      </w:pPr>
    </w:p>
    <w:p w14:paraId="26E0C785" w14:textId="77777777" w:rsidR="00DA7307" w:rsidRDefault="00DA7307" w:rsidP="00DA7307">
      <w:pPr>
        <w:numPr>
          <w:ilvl w:val="0"/>
          <w:numId w:val="2"/>
        </w:numPr>
        <w:spacing w:after="160" w:line="360" w:lineRule="auto"/>
        <w:jc w:val="both"/>
        <w:rPr>
          <w:rFonts w:ascii="David" w:hAnsi="David"/>
          <w:rtl/>
        </w:rPr>
      </w:pPr>
      <w:r>
        <w:rPr>
          <w:rFonts w:ascii="David" w:hAnsi="David"/>
          <w:rtl/>
        </w:rPr>
        <w:t>ביום 10.11.24 הצדדים הגיעו להסדר דיוני לפיו, הנאשם 1 הודה והורשע בכתב האישום, ללא הסכמות לעניין העונש ואילו, הנאשם 2 הודה והורשע</w:t>
      </w:r>
      <w:r>
        <w:rPr>
          <w:rFonts w:ascii="David" w:hAnsi="David" w:hint="cs"/>
          <w:rtl/>
        </w:rPr>
        <w:t>, במסגרת הסדר טיעון,</w:t>
      </w:r>
      <w:r>
        <w:rPr>
          <w:rFonts w:ascii="David" w:hAnsi="David"/>
          <w:rtl/>
        </w:rPr>
        <w:t xml:space="preserve"> בכתב אישום מתוקן בעבירה של קשירת קשר לביצוע פשע</w:t>
      </w:r>
      <w:r>
        <w:rPr>
          <w:rFonts w:ascii="David" w:hAnsi="David" w:hint="cs"/>
          <w:rtl/>
        </w:rPr>
        <w:t>-</w:t>
      </w:r>
      <w:r>
        <w:rPr>
          <w:rFonts w:ascii="David" w:hAnsi="David"/>
          <w:rtl/>
        </w:rPr>
        <w:t xml:space="preserve"> עבירה לפי </w:t>
      </w:r>
      <w:hyperlink r:id="rId12" w:history="1">
        <w:r w:rsidR="00E87060" w:rsidRPr="00E87060">
          <w:rPr>
            <w:rFonts w:ascii="David" w:hAnsi="David"/>
            <w:color w:val="0000FF"/>
            <w:u w:val="single"/>
            <w:rtl/>
          </w:rPr>
          <w:t>סעיף 499 (א)(1)</w:t>
        </w:r>
      </w:hyperlink>
      <w:r>
        <w:rPr>
          <w:rFonts w:ascii="David" w:hAnsi="David"/>
          <w:rtl/>
        </w:rPr>
        <w:t xml:space="preserve"> ל</w:t>
      </w:r>
      <w:hyperlink r:id="rId13" w:history="1">
        <w:r w:rsidR="00E716BC" w:rsidRPr="00E716BC">
          <w:rPr>
            <w:rFonts w:ascii="David" w:hAnsi="David"/>
            <w:color w:val="0000FF"/>
            <w:u w:val="single"/>
            <w:rtl/>
          </w:rPr>
          <w:t>חוק העונשין</w:t>
        </w:r>
      </w:hyperlink>
      <w:r>
        <w:rPr>
          <w:rFonts w:ascii="David" w:hAnsi="David"/>
          <w:rtl/>
        </w:rPr>
        <w:t xml:space="preserve"> ובהסכמ</w:t>
      </w:r>
      <w:r>
        <w:rPr>
          <w:rFonts w:ascii="David" w:hAnsi="David" w:hint="cs"/>
          <w:rtl/>
        </w:rPr>
        <w:t>ת הצדדים</w:t>
      </w:r>
      <w:r>
        <w:rPr>
          <w:rFonts w:ascii="David" w:hAnsi="David"/>
          <w:rtl/>
        </w:rPr>
        <w:t xml:space="preserve">, נדון ל- 8 חודשי מאסר בפועל, מאסר מותנה וקנס. </w:t>
      </w:r>
    </w:p>
    <w:p w14:paraId="1852F63C" w14:textId="77777777" w:rsidR="00DA7307" w:rsidRDefault="00DA7307" w:rsidP="00DA7307">
      <w:pPr>
        <w:pStyle w:val="a9"/>
        <w:spacing w:line="360" w:lineRule="auto"/>
        <w:jc w:val="both"/>
        <w:rPr>
          <w:rFonts w:ascii="David" w:hAnsi="David" w:cs="David"/>
          <w:b/>
          <w:bCs/>
          <w:sz w:val="24"/>
          <w:szCs w:val="24"/>
          <w:rtl/>
        </w:rPr>
      </w:pPr>
    </w:p>
    <w:p w14:paraId="41BD2920" w14:textId="77777777" w:rsidR="00DA7307" w:rsidRDefault="00DA7307" w:rsidP="00DA7307">
      <w:pPr>
        <w:pStyle w:val="a9"/>
        <w:spacing w:line="360" w:lineRule="auto"/>
        <w:jc w:val="both"/>
        <w:rPr>
          <w:rFonts w:ascii="David" w:hAnsi="David" w:cs="David"/>
          <w:b/>
          <w:bCs/>
          <w:sz w:val="24"/>
          <w:szCs w:val="24"/>
          <w:rtl/>
        </w:rPr>
      </w:pPr>
    </w:p>
    <w:p w14:paraId="10DF757D" w14:textId="77777777" w:rsidR="00DA7307" w:rsidRDefault="00DA7307" w:rsidP="00DA7307">
      <w:pPr>
        <w:pStyle w:val="a9"/>
        <w:spacing w:line="360" w:lineRule="auto"/>
        <w:jc w:val="both"/>
        <w:rPr>
          <w:rFonts w:ascii="David" w:hAnsi="David" w:cs="David"/>
          <w:b/>
          <w:bCs/>
          <w:sz w:val="24"/>
          <w:szCs w:val="24"/>
          <w:rtl/>
        </w:rPr>
      </w:pPr>
    </w:p>
    <w:p w14:paraId="67AAED1D" w14:textId="77777777" w:rsidR="00DA7307" w:rsidRDefault="00DA7307" w:rsidP="00DA7307">
      <w:pPr>
        <w:pStyle w:val="a9"/>
        <w:spacing w:line="360" w:lineRule="auto"/>
        <w:jc w:val="both"/>
        <w:rPr>
          <w:rFonts w:ascii="David" w:hAnsi="David" w:cs="David"/>
          <w:b/>
          <w:bCs/>
          <w:sz w:val="24"/>
          <w:szCs w:val="24"/>
        </w:rPr>
      </w:pPr>
    </w:p>
    <w:p w14:paraId="23574DEC" w14:textId="77777777" w:rsidR="00DA7307" w:rsidRDefault="00DA7307" w:rsidP="00DA7307">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u w:val="double"/>
          <w:rtl/>
        </w:rPr>
        <w:t>ראיות לעונש</w:t>
      </w:r>
      <w:r>
        <w:rPr>
          <w:rFonts w:ascii="David" w:hAnsi="David" w:cs="David"/>
          <w:b/>
          <w:bCs/>
          <w:sz w:val="24"/>
          <w:szCs w:val="24"/>
          <w:rtl/>
        </w:rPr>
        <w:t>:</w:t>
      </w:r>
    </w:p>
    <w:p w14:paraId="67552F26" w14:textId="77777777" w:rsidR="00DA7307" w:rsidRDefault="00DA7307" w:rsidP="00DA7307">
      <w:pPr>
        <w:pStyle w:val="a9"/>
        <w:spacing w:line="360" w:lineRule="auto"/>
        <w:jc w:val="both"/>
        <w:rPr>
          <w:rFonts w:ascii="David" w:hAnsi="David" w:cs="David"/>
          <w:b/>
          <w:bCs/>
          <w:sz w:val="24"/>
          <w:szCs w:val="24"/>
        </w:rPr>
      </w:pPr>
    </w:p>
    <w:p w14:paraId="49FEAB88" w14:textId="77777777" w:rsidR="00DA7307" w:rsidRDefault="00DA7307" w:rsidP="00DA7307">
      <w:pPr>
        <w:pStyle w:val="a9"/>
        <w:spacing w:line="360" w:lineRule="auto"/>
        <w:jc w:val="both"/>
        <w:rPr>
          <w:rFonts w:ascii="David" w:hAnsi="David" w:cs="David"/>
          <w:b/>
          <w:bCs/>
          <w:sz w:val="24"/>
          <w:szCs w:val="24"/>
          <w:rtl/>
        </w:rPr>
      </w:pPr>
      <w:r>
        <w:rPr>
          <w:rFonts w:ascii="David" w:hAnsi="David" w:cs="David"/>
          <w:b/>
          <w:bCs/>
          <w:sz w:val="24"/>
          <w:szCs w:val="24"/>
          <w:rtl/>
        </w:rPr>
        <w:t>מטעם ההגנה העידה הגב' לובנה אבו עאמר, רעייתו של הנאשם</w:t>
      </w:r>
    </w:p>
    <w:p w14:paraId="4A075B5E" w14:textId="77777777" w:rsidR="00DA7307" w:rsidRDefault="00DA7307" w:rsidP="00DA7307">
      <w:pPr>
        <w:pStyle w:val="a9"/>
        <w:spacing w:line="360" w:lineRule="auto"/>
        <w:jc w:val="both"/>
        <w:rPr>
          <w:rFonts w:ascii="David" w:hAnsi="David" w:cs="David"/>
          <w:b/>
          <w:bCs/>
          <w:sz w:val="24"/>
          <w:szCs w:val="24"/>
          <w:rtl/>
        </w:rPr>
      </w:pPr>
    </w:p>
    <w:p w14:paraId="1749129F" w14:textId="77777777" w:rsidR="00DA7307" w:rsidRDefault="00DA7307" w:rsidP="00DA7307">
      <w:pPr>
        <w:pStyle w:val="a9"/>
        <w:numPr>
          <w:ilvl w:val="0"/>
          <w:numId w:val="2"/>
        </w:numPr>
        <w:spacing w:line="360" w:lineRule="auto"/>
        <w:jc w:val="both"/>
        <w:rPr>
          <w:rFonts w:ascii="David" w:eastAsia="David" w:hAnsi="David" w:cs="David"/>
          <w:sz w:val="24"/>
          <w:szCs w:val="24"/>
          <w:rtl/>
        </w:rPr>
      </w:pPr>
      <w:r>
        <w:rPr>
          <w:rFonts w:ascii="David" w:hAnsi="David" w:cs="David"/>
          <w:sz w:val="24"/>
          <w:szCs w:val="24"/>
          <w:rtl/>
        </w:rPr>
        <w:t>העדה תיארה אירוע אלימות שחוו בביתם ביום 6.2.24 עובר למועד ביצוע העבירה, במהלכו נכנסו</w:t>
      </w:r>
      <w:r>
        <w:rPr>
          <w:rFonts w:ascii="David" w:eastAsia="David" w:hAnsi="David" w:cs="David"/>
          <w:sz w:val="24"/>
          <w:szCs w:val="24"/>
          <w:rtl/>
        </w:rPr>
        <w:t xml:space="preserve"> שלושה גברים רעולי פנים, שניים מהם אחזו באקדח ואחד אחז בברזל, אשר תקפו את הנאשם בראשו ובידו. במהלך האירוע, כוון לעברה ולעבר נכדתה אקדח. שלושת התוקפים נמלטו</w:t>
      </w:r>
      <w:r>
        <w:rPr>
          <w:rFonts w:ascii="David" w:eastAsia="David" w:hAnsi="David" w:cs="David" w:hint="cs"/>
          <w:sz w:val="24"/>
          <w:szCs w:val="24"/>
          <w:rtl/>
        </w:rPr>
        <w:t xml:space="preserve"> ולא נתפסו</w:t>
      </w:r>
      <w:r>
        <w:rPr>
          <w:rFonts w:ascii="David" w:eastAsia="David" w:hAnsi="David" w:cs="David"/>
          <w:sz w:val="24"/>
          <w:szCs w:val="24"/>
          <w:rtl/>
        </w:rPr>
        <w:t xml:space="preserve">. לאירוע הוזעקה משטרה, מצלמות הבית נמסרו למשטרה וטרם הוחזרו להם. עוד הוסיפה, כי בעטיו של האירוע, הנאשם עבר ניתוח ביד, בראש והיה במצב נפשי לא טוב. לדבריה, מאז האירוע כל הבית במצב לא טוב. </w:t>
      </w:r>
    </w:p>
    <w:p w14:paraId="695C1FB2" w14:textId="77777777" w:rsidR="00DA7307" w:rsidRPr="00DA7307" w:rsidRDefault="00DA7307" w:rsidP="00DA7307">
      <w:pPr>
        <w:spacing w:line="360" w:lineRule="auto"/>
        <w:rPr>
          <w:rFonts w:ascii="David" w:eastAsia="Calibri" w:hAnsi="David"/>
          <w:b/>
          <w:bCs/>
          <w:rtl/>
        </w:rPr>
      </w:pPr>
    </w:p>
    <w:p w14:paraId="0E38E9E0" w14:textId="77777777" w:rsidR="00DA7307" w:rsidRDefault="00DA7307" w:rsidP="00DA7307">
      <w:pPr>
        <w:pStyle w:val="a9"/>
        <w:numPr>
          <w:ilvl w:val="0"/>
          <w:numId w:val="1"/>
        </w:numPr>
        <w:rPr>
          <w:rFonts w:ascii="David" w:hAnsi="David" w:cs="David"/>
          <w:b/>
          <w:bCs/>
          <w:sz w:val="24"/>
          <w:szCs w:val="24"/>
          <w:u w:val="double"/>
          <w:rtl/>
        </w:rPr>
      </w:pPr>
      <w:r>
        <w:rPr>
          <w:rFonts w:ascii="David" w:hAnsi="David" w:cs="David"/>
          <w:b/>
          <w:bCs/>
          <w:sz w:val="24"/>
          <w:szCs w:val="24"/>
          <w:u w:val="double"/>
          <w:rtl/>
        </w:rPr>
        <w:t>תמצית טיעוני ב"כ הצדדים</w:t>
      </w:r>
      <w:r>
        <w:rPr>
          <w:rFonts w:ascii="David" w:hAnsi="David" w:cs="David"/>
          <w:b/>
          <w:bCs/>
          <w:sz w:val="24"/>
          <w:szCs w:val="24"/>
          <w:rtl/>
        </w:rPr>
        <w:t xml:space="preserve">: </w:t>
      </w:r>
    </w:p>
    <w:p w14:paraId="3870F3AB" w14:textId="77777777" w:rsidR="00DA7307" w:rsidRDefault="00DA7307" w:rsidP="00DA7307">
      <w:pPr>
        <w:pStyle w:val="a9"/>
        <w:rPr>
          <w:rFonts w:ascii="David" w:hAnsi="David" w:cs="David"/>
          <w:b/>
          <w:bCs/>
          <w:sz w:val="24"/>
          <w:szCs w:val="24"/>
          <w:u w:val="double"/>
        </w:rPr>
      </w:pPr>
    </w:p>
    <w:p w14:paraId="6040B0EC" w14:textId="77777777" w:rsidR="00DA7307" w:rsidRDefault="00DA7307" w:rsidP="00DA7307">
      <w:pPr>
        <w:pStyle w:val="a9"/>
        <w:rPr>
          <w:rFonts w:ascii="David" w:hAnsi="David" w:cs="David"/>
          <w:b/>
          <w:bCs/>
          <w:sz w:val="24"/>
          <w:szCs w:val="24"/>
          <w:u w:val="double"/>
        </w:rPr>
      </w:pPr>
    </w:p>
    <w:p w14:paraId="2CD04AB7"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b/>
          <w:bCs/>
          <w:sz w:val="24"/>
          <w:szCs w:val="24"/>
          <w:rtl/>
        </w:rPr>
        <w:t>ב"כ המאשימה עו"ד נועה עוזרי</w:t>
      </w:r>
      <w:r>
        <w:rPr>
          <w:rFonts w:ascii="David" w:hAnsi="David" w:cs="David"/>
          <w:sz w:val="24"/>
          <w:szCs w:val="24"/>
          <w:rtl/>
        </w:rPr>
        <w:t xml:space="preserve"> הפנתה לחומרה הגלומה בעובדות כתב האישום, לערכים המוגנים</w:t>
      </w:r>
      <w:r>
        <w:rPr>
          <w:rFonts w:ascii="David" w:hAnsi="David" w:cs="David" w:hint="cs"/>
          <w:sz w:val="24"/>
          <w:szCs w:val="24"/>
          <w:rtl/>
        </w:rPr>
        <w:t xml:space="preserve">, </w:t>
      </w:r>
      <w:r>
        <w:rPr>
          <w:rFonts w:ascii="David" w:hAnsi="David" w:cs="David"/>
          <w:sz w:val="24"/>
          <w:szCs w:val="24"/>
          <w:rtl/>
        </w:rPr>
        <w:t>למידת הפגיעה בהם וביקשה ליתן משקל לנזק הפוטנציאלי לשלום הציבור הטמון בביצוע עבירות הנשק והתוצאות הקשות העלולות להתממש מביצוען.</w:t>
      </w:r>
    </w:p>
    <w:p w14:paraId="4DCF276B" w14:textId="77777777" w:rsidR="00DA7307" w:rsidRDefault="00DA7307" w:rsidP="00DA7307">
      <w:pPr>
        <w:spacing w:line="360" w:lineRule="auto"/>
        <w:ind w:left="720"/>
        <w:jc w:val="both"/>
        <w:rPr>
          <w:rFonts w:ascii="David" w:hAnsi="David"/>
          <w:rtl/>
        </w:rPr>
      </w:pPr>
      <w:r>
        <w:rPr>
          <w:rFonts w:ascii="David" w:hAnsi="David"/>
          <w:rtl/>
        </w:rPr>
        <w:t>עוד הטעימה, כי על-פי פסיקת בית המשפט העליון עבירות הנשק הפכו למכת מדינה ובשנים האחרונות</w:t>
      </w:r>
      <w:r>
        <w:rPr>
          <w:rFonts w:ascii="David" w:hAnsi="David" w:hint="cs"/>
          <w:rtl/>
        </w:rPr>
        <w:t>,</w:t>
      </w:r>
      <w:r>
        <w:rPr>
          <w:rFonts w:ascii="David" w:hAnsi="David"/>
          <w:rtl/>
        </w:rPr>
        <w:t xml:space="preserve"> קיימת מגמת החמרה בענישה גם בעניינם של נאשמים נעדרי עבר פלילי. ב"כ המאשימה הפנתה לפסיקה התומכת בטיעוניה ולהנחיית פרקליט המדינה מס' 9.16. </w:t>
      </w:r>
    </w:p>
    <w:p w14:paraId="1F282504" w14:textId="77777777" w:rsidR="00DA7307" w:rsidRDefault="00DA7307" w:rsidP="00DA7307">
      <w:pPr>
        <w:spacing w:line="360" w:lineRule="auto"/>
        <w:ind w:left="720"/>
        <w:jc w:val="both"/>
        <w:rPr>
          <w:rFonts w:ascii="David" w:hAnsi="David"/>
          <w:rtl/>
        </w:rPr>
      </w:pPr>
    </w:p>
    <w:p w14:paraId="6220C891"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ב"כ המאשימה עתרה למתחם עונש הולם הנע בין 24 ל- 42 חודשי מאסר. בעתירתה, ביקשה ליתן משקל לחומרא</w:t>
      </w:r>
      <w:r>
        <w:rPr>
          <w:rFonts w:ascii="David" w:hAnsi="David" w:cs="David" w:hint="cs"/>
          <w:sz w:val="24"/>
          <w:szCs w:val="24"/>
          <w:rtl/>
        </w:rPr>
        <w:t>,</w:t>
      </w:r>
      <w:r>
        <w:rPr>
          <w:rFonts w:ascii="David" w:hAnsi="David" w:cs="David"/>
          <w:sz w:val="24"/>
          <w:szCs w:val="24"/>
          <w:rtl/>
        </w:rPr>
        <w:t xml:space="preserve"> לנסיבות ביצוע העבירה בהדגישה שהאקדח נתפס בעודו טעון באופן </w:t>
      </w:r>
      <w:r>
        <w:rPr>
          <w:rFonts w:ascii="David" w:hAnsi="David" w:cs="David"/>
          <w:sz w:val="24"/>
          <w:szCs w:val="24"/>
          <w:rtl/>
        </w:rPr>
        <w:lastRenderedPageBreak/>
        <w:t xml:space="preserve">המלמד על כוונה לבצע שימוש באקדח, הסלקתו בתוך גרב והחזקתו בארון בגדים. לטענתה, הסלקת הנשק מעידה על הבנת הנאשם כי מעשיו פסולים. </w:t>
      </w:r>
    </w:p>
    <w:p w14:paraId="1EBB52C5" w14:textId="77777777" w:rsidR="00DA7307" w:rsidRDefault="00DA7307" w:rsidP="00DA7307">
      <w:pPr>
        <w:pStyle w:val="a9"/>
        <w:spacing w:line="360" w:lineRule="auto"/>
        <w:jc w:val="both"/>
        <w:rPr>
          <w:rFonts w:ascii="David" w:hAnsi="David" w:cs="David"/>
          <w:sz w:val="24"/>
          <w:szCs w:val="24"/>
        </w:rPr>
      </w:pPr>
    </w:p>
    <w:p w14:paraId="13631F38"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sz w:val="24"/>
          <w:szCs w:val="24"/>
          <w:rtl/>
        </w:rPr>
        <w:t>אשר לגזירת העונש בתוך המתחם, הפנתה</w:t>
      </w:r>
      <w:r>
        <w:rPr>
          <w:rFonts w:ascii="David" w:hAnsi="David" w:cs="David" w:hint="cs"/>
          <w:sz w:val="24"/>
          <w:szCs w:val="24"/>
          <w:rtl/>
        </w:rPr>
        <w:t xml:space="preserve"> המאשימה</w:t>
      </w:r>
      <w:r>
        <w:rPr>
          <w:rFonts w:ascii="David" w:hAnsi="David" w:cs="David"/>
          <w:sz w:val="24"/>
          <w:szCs w:val="24"/>
          <w:rtl/>
        </w:rPr>
        <w:t xml:space="preserve"> כנסיבות לחומרא, לגיליון הרשעותיו של הנאשם (</w:t>
      </w:r>
      <w:r>
        <w:rPr>
          <w:rFonts w:ascii="David" w:hAnsi="David" w:cs="David"/>
          <w:b/>
          <w:bCs/>
          <w:sz w:val="24"/>
          <w:szCs w:val="24"/>
          <w:rtl/>
        </w:rPr>
        <w:t>טל/1</w:t>
      </w:r>
      <w:r>
        <w:rPr>
          <w:rFonts w:ascii="David" w:hAnsi="David" w:cs="David"/>
          <w:sz w:val="24"/>
          <w:szCs w:val="24"/>
          <w:rtl/>
        </w:rPr>
        <w:t>) הטומן בחובו הרשעה בעבירת אלימות שאומנם התיישנה</w:t>
      </w:r>
      <w:r>
        <w:rPr>
          <w:rFonts w:ascii="David" w:hAnsi="David" w:cs="David" w:hint="cs"/>
          <w:sz w:val="24"/>
          <w:szCs w:val="24"/>
          <w:rtl/>
        </w:rPr>
        <w:t>,</w:t>
      </w:r>
      <w:r>
        <w:rPr>
          <w:rFonts w:ascii="David" w:hAnsi="David" w:cs="David"/>
          <w:sz w:val="24"/>
          <w:szCs w:val="24"/>
          <w:rtl/>
        </w:rPr>
        <w:t xml:space="preserve"> אך לא נמחקה ורלוונטית ולהרתעת הרבים. כנסיבה לקולא, הפנתה להודאת הנאשם מבלי שניהל משפט. לשיטת המאשימה, יש להשית על הנאשם עונש מאסר בפועל בן 26 חודשים, מאסר על תנאי </w:t>
      </w:r>
      <w:r>
        <w:rPr>
          <w:rFonts w:ascii="David" w:hAnsi="David" w:cs="David" w:hint="cs"/>
          <w:sz w:val="24"/>
          <w:szCs w:val="24"/>
          <w:rtl/>
        </w:rPr>
        <w:t>ו</w:t>
      </w:r>
      <w:r>
        <w:rPr>
          <w:rFonts w:ascii="David" w:hAnsi="David" w:cs="David"/>
          <w:sz w:val="24"/>
          <w:szCs w:val="24"/>
          <w:rtl/>
        </w:rPr>
        <w:t>קנס</w:t>
      </w:r>
      <w:r>
        <w:rPr>
          <w:rFonts w:ascii="David" w:hAnsi="David" w:cs="David" w:hint="cs"/>
          <w:sz w:val="24"/>
          <w:szCs w:val="24"/>
          <w:rtl/>
        </w:rPr>
        <w:t>.</w:t>
      </w:r>
      <w:r>
        <w:rPr>
          <w:rFonts w:ascii="David" w:hAnsi="David" w:cs="David"/>
          <w:sz w:val="24"/>
          <w:szCs w:val="24"/>
          <w:rtl/>
        </w:rPr>
        <w:t xml:space="preserve"> </w:t>
      </w:r>
    </w:p>
    <w:p w14:paraId="5CB15E0A" w14:textId="77777777" w:rsidR="00DA7307" w:rsidRPr="00957E46" w:rsidRDefault="00DA7307" w:rsidP="00DA7307">
      <w:pPr>
        <w:pStyle w:val="a9"/>
        <w:rPr>
          <w:rFonts w:ascii="David" w:hAnsi="David" w:cs="David"/>
          <w:sz w:val="24"/>
          <w:szCs w:val="24"/>
          <w:rtl/>
        </w:rPr>
      </w:pPr>
    </w:p>
    <w:p w14:paraId="1B719667" w14:textId="77777777" w:rsidR="00DA7307" w:rsidRDefault="00DA7307" w:rsidP="00DA7307">
      <w:pPr>
        <w:pStyle w:val="a9"/>
        <w:spacing w:line="360" w:lineRule="auto"/>
        <w:jc w:val="both"/>
        <w:rPr>
          <w:rFonts w:ascii="David" w:hAnsi="David" w:cs="David"/>
          <w:sz w:val="24"/>
          <w:szCs w:val="24"/>
          <w:rtl/>
        </w:rPr>
      </w:pPr>
    </w:p>
    <w:p w14:paraId="6FA3AF0D" w14:textId="77777777" w:rsidR="00DA7307" w:rsidRDefault="00DA7307" w:rsidP="00DA7307">
      <w:pPr>
        <w:pStyle w:val="a9"/>
        <w:rPr>
          <w:rFonts w:ascii="David" w:hAnsi="David" w:cs="David"/>
          <w:b/>
          <w:bCs/>
          <w:sz w:val="24"/>
          <w:szCs w:val="24"/>
        </w:rPr>
      </w:pPr>
    </w:p>
    <w:p w14:paraId="757F8A6B"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b/>
          <w:bCs/>
          <w:sz w:val="24"/>
          <w:szCs w:val="24"/>
          <w:rtl/>
        </w:rPr>
        <w:t>ב"כ הנאשם עו"ד שני מורן,</w:t>
      </w:r>
      <w:r>
        <w:rPr>
          <w:rFonts w:ascii="David" w:hAnsi="David" w:cs="David"/>
          <w:sz w:val="24"/>
          <w:szCs w:val="24"/>
          <w:rtl/>
        </w:rPr>
        <w:t xml:space="preserve"> הפנתה לנסיבות כתב האישום וביקשה ליתן משקל לקולא</w:t>
      </w:r>
      <w:r>
        <w:rPr>
          <w:rFonts w:ascii="David" w:hAnsi="David" w:cs="David" w:hint="cs"/>
          <w:sz w:val="24"/>
          <w:szCs w:val="24"/>
          <w:rtl/>
        </w:rPr>
        <w:t>,</w:t>
      </w:r>
      <w:r>
        <w:rPr>
          <w:rFonts w:ascii="David" w:hAnsi="David" w:cs="David"/>
          <w:sz w:val="24"/>
          <w:szCs w:val="24"/>
          <w:rtl/>
        </w:rPr>
        <w:t xml:space="preserve"> לכך שהאקדח הוחזק בתוך ארון ולא נמצא על גופו של הנאשם</w:t>
      </w:r>
      <w:r>
        <w:rPr>
          <w:rFonts w:ascii="David" w:hAnsi="David" w:cs="David" w:hint="cs"/>
          <w:sz w:val="24"/>
          <w:szCs w:val="24"/>
          <w:rtl/>
        </w:rPr>
        <w:t xml:space="preserve">. לשיטתה, יש </w:t>
      </w:r>
      <w:r>
        <w:rPr>
          <w:rFonts w:ascii="David" w:hAnsi="David" w:cs="David"/>
          <w:sz w:val="24"/>
          <w:szCs w:val="24"/>
          <w:rtl/>
        </w:rPr>
        <w:t xml:space="preserve">לקבוע מתחם עונש הולם הנע בין 11 ל- 24 חודשי מאסר. </w:t>
      </w:r>
      <w:r>
        <w:rPr>
          <w:rFonts w:ascii="David" w:hAnsi="David" w:cs="David" w:hint="cs"/>
          <w:sz w:val="24"/>
          <w:szCs w:val="24"/>
          <w:rtl/>
        </w:rPr>
        <w:t xml:space="preserve">בהפנותה לפסיקה כתמיכה לטיעוניה, גרסה </w:t>
      </w:r>
      <w:r>
        <w:rPr>
          <w:rFonts w:ascii="David" w:hAnsi="David" w:cs="David"/>
          <w:sz w:val="24"/>
          <w:szCs w:val="24"/>
          <w:rtl/>
        </w:rPr>
        <w:t xml:space="preserve">כי במקרים חמורים מהמקרה דנן הושתו עונשי מאסר שמשמכם </w:t>
      </w:r>
      <w:r>
        <w:rPr>
          <w:rFonts w:ascii="David" w:hAnsi="David" w:cs="David" w:hint="cs"/>
          <w:sz w:val="24"/>
          <w:szCs w:val="24"/>
          <w:rtl/>
        </w:rPr>
        <w:t xml:space="preserve">נע </w:t>
      </w:r>
      <w:r>
        <w:rPr>
          <w:rFonts w:ascii="David" w:hAnsi="David" w:cs="David"/>
          <w:sz w:val="24"/>
          <w:szCs w:val="24"/>
          <w:rtl/>
        </w:rPr>
        <w:t xml:space="preserve">בין 11 ל-12 חודשים, כאשר בענייננו ביקשה למקם את הנאשם בתחתית המתחם לו עתרה. </w:t>
      </w:r>
    </w:p>
    <w:p w14:paraId="38EE1F16" w14:textId="77777777" w:rsidR="00DA7307" w:rsidRDefault="00DA7307" w:rsidP="00DA7307">
      <w:pPr>
        <w:pStyle w:val="a9"/>
        <w:rPr>
          <w:rFonts w:ascii="David" w:hAnsi="David" w:cs="David"/>
          <w:sz w:val="24"/>
          <w:szCs w:val="24"/>
        </w:rPr>
      </w:pPr>
    </w:p>
    <w:p w14:paraId="222B5E58"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ב"כ הנאשם הפנתה לנסיבות שאינן קשורות בכתב האישום וביניהן, היות הנאשם יליד 1974, הודאתו בכתב האישום, נטילת האחריות ולכך שניהל אורח חיים נורמטיבי. עוד ביקשה ליתן משקל לאירוע האלים והטראומתי שחווה הנאשם עובר לאירוע מושא כתב האישום, אשר השליך על מצבו הרפואי והנפשי עד היום ותמכה טיעוניה במסמכים רפואיים</w:t>
      </w:r>
      <w:r>
        <w:rPr>
          <w:rFonts w:ascii="David" w:eastAsia="David" w:hAnsi="David" w:cs="David"/>
          <w:b/>
          <w:bCs/>
          <w:sz w:val="24"/>
          <w:szCs w:val="24"/>
          <w:rtl/>
        </w:rPr>
        <w:t xml:space="preserve"> (טל/2</w:t>
      </w:r>
      <w:r>
        <w:rPr>
          <w:rFonts w:ascii="David" w:eastAsia="David" w:hAnsi="David" w:cs="David"/>
          <w:sz w:val="24"/>
          <w:szCs w:val="24"/>
          <w:rtl/>
        </w:rPr>
        <w:t xml:space="preserve"> -</w:t>
      </w:r>
      <w:r>
        <w:rPr>
          <w:rFonts w:ascii="David" w:eastAsia="David" w:hAnsi="David" w:cs="David"/>
          <w:b/>
          <w:bCs/>
          <w:sz w:val="24"/>
          <w:szCs w:val="24"/>
          <w:rtl/>
        </w:rPr>
        <w:t xml:space="preserve"> אסופת מסמכים</w:t>
      </w:r>
      <w:r>
        <w:rPr>
          <w:rFonts w:ascii="David" w:eastAsia="David" w:hAnsi="David" w:cs="David"/>
          <w:sz w:val="24"/>
          <w:szCs w:val="24"/>
          <w:rtl/>
        </w:rPr>
        <w:t xml:space="preserve">) </w:t>
      </w:r>
      <w:r>
        <w:rPr>
          <w:rFonts w:ascii="David" w:hAnsi="David" w:cs="David"/>
          <w:sz w:val="24"/>
          <w:szCs w:val="24"/>
          <w:rtl/>
        </w:rPr>
        <w:t>ובעדות עדת ההגנה. בהקשר ל</w:t>
      </w:r>
      <w:r>
        <w:rPr>
          <w:rFonts w:ascii="David" w:hAnsi="David" w:cs="David" w:hint="cs"/>
          <w:sz w:val="24"/>
          <w:szCs w:val="24"/>
          <w:rtl/>
        </w:rPr>
        <w:t>כך</w:t>
      </w:r>
      <w:r>
        <w:rPr>
          <w:rFonts w:ascii="David" w:hAnsi="David" w:cs="David"/>
          <w:sz w:val="24"/>
          <w:szCs w:val="24"/>
          <w:rtl/>
        </w:rPr>
        <w:t xml:space="preserve">, הוסיפה כי הנאשם מצוי בתנאי מעצר מיום 25.5.2024 ואינו מקבל טיפול רפואי. </w:t>
      </w:r>
    </w:p>
    <w:p w14:paraId="74CF1727" w14:textId="77777777" w:rsidR="00DA7307" w:rsidRDefault="00DA7307" w:rsidP="00DA7307">
      <w:pPr>
        <w:pStyle w:val="a9"/>
        <w:rPr>
          <w:rFonts w:ascii="David" w:hAnsi="David" w:cs="David"/>
          <w:sz w:val="24"/>
          <w:szCs w:val="24"/>
        </w:rPr>
      </w:pPr>
    </w:p>
    <w:p w14:paraId="47B8346B"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לטענת ב"כ הנאשם, מתחמי הענישה להם עותרת המדינה בתיקי החזקת נשק אינם אחידים וביקרה את הפסיקה שהוגשה מטעם ב"כ המאשימה, שבחלקה עסקה בעבירות חמורות יותר וחרף זאת, נקבעו מתחמי ענישה דומים לעתירתה בתיק זה. </w:t>
      </w:r>
    </w:p>
    <w:p w14:paraId="00BFD374" w14:textId="77777777" w:rsidR="00DA7307" w:rsidRDefault="00DA7307" w:rsidP="00DA7307">
      <w:pPr>
        <w:spacing w:line="360" w:lineRule="auto"/>
        <w:jc w:val="both"/>
        <w:rPr>
          <w:rFonts w:ascii="David" w:hAnsi="David"/>
        </w:rPr>
      </w:pPr>
    </w:p>
    <w:p w14:paraId="5A1FAFCD"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הנאשם בדברו האחרון לעונש, התנצל ואמר שלא ישוב על מעשיו. </w:t>
      </w:r>
    </w:p>
    <w:p w14:paraId="0CA84131" w14:textId="77777777" w:rsidR="00DA7307" w:rsidRDefault="00DA7307" w:rsidP="00DA7307">
      <w:pPr>
        <w:pStyle w:val="a9"/>
        <w:rPr>
          <w:rFonts w:ascii="David" w:hAnsi="David" w:cs="David"/>
          <w:b/>
          <w:bCs/>
          <w:sz w:val="24"/>
          <w:szCs w:val="24"/>
          <w:u w:val="double"/>
        </w:rPr>
      </w:pPr>
    </w:p>
    <w:p w14:paraId="2DD99B17" w14:textId="77777777" w:rsidR="00DA7307" w:rsidRDefault="00DA7307" w:rsidP="00DA7307">
      <w:pPr>
        <w:pStyle w:val="a9"/>
        <w:rPr>
          <w:rFonts w:ascii="David" w:hAnsi="David" w:cs="David"/>
          <w:b/>
          <w:bCs/>
          <w:sz w:val="24"/>
          <w:szCs w:val="24"/>
          <w:u w:val="double"/>
          <w:rtl/>
        </w:rPr>
      </w:pPr>
    </w:p>
    <w:p w14:paraId="101F943B" w14:textId="77777777" w:rsidR="00DA7307" w:rsidRDefault="00DA7307" w:rsidP="00DA7307">
      <w:pPr>
        <w:pStyle w:val="a9"/>
        <w:numPr>
          <w:ilvl w:val="0"/>
          <w:numId w:val="1"/>
        </w:numPr>
        <w:rPr>
          <w:rFonts w:ascii="David" w:hAnsi="David" w:cs="David"/>
          <w:b/>
          <w:bCs/>
          <w:sz w:val="24"/>
          <w:szCs w:val="24"/>
          <w:u w:val="double"/>
        </w:rPr>
      </w:pPr>
      <w:r>
        <w:rPr>
          <w:rFonts w:ascii="David" w:hAnsi="David" w:cs="David"/>
          <w:b/>
          <w:bCs/>
          <w:sz w:val="24"/>
          <w:szCs w:val="24"/>
          <w:u w:val="double"/>
          <w:rtl/>
        </w:rPr>
        <w:t xml:space="preserve">דיון והכרעה: </w:t>
      </w:r>
    </w:p>
    <w:p w14:paraId="26864ADD" w14:textId="77777777" w:rsidR="00DA7307" w:rsidRDefault="00DA7307" w:rsidP="00DA7307">
      <w:pPr>
        <w:pStyle w:val="a9"/>
        <w:spacing w:after="0" w:line="360" w:lineRule="auto"/>
        <w:jc w:val="both"/>
        <w:rPr>
          <w:rFonts w:ascii="Calibri Light" w:hAnsi="Calibri Light" w:cs="Calibri Light"/>
          <w:sz w:val="24"/>
          <w:szCs w:val="24"/>
          <w:rtl/>
        </w:rPr>
      </w:pPr>
    </w:p>
    <w:p w14:paraId="08F2D94E" w14:textId="77777777" w:rsidR="00DA7307" w:rsidRDefault="00DA7307" w:rsidP="00DA7307">
      <w:pPr>
        <w:pStyle w:val="a9"/>
        <w:spacing w:after="0" w:line="360" w:lineRule="auto"/>
        <w:jc w:val="both"/>
        <w:rPr>
          <w:rFonts w:ascii="Calibri Light" w:hAnsi="Calibri Light" w:cs="Calibri Light"/>
          <w:sz w:val="24"/>
          <w:szCs w:val="24"/>
          <w:rtl/>
        </w:rPr>
      </w:pPr>
      <w:r>
        <w:rPr>
          <w:rFonts w:ascii="Calibri Light" w:hAnsi="Calibri Light" w:cs="Times New Roman"/>
          <w:sz w:val="24"/>
          <w:szCs w:val="24"/>
          <w:rtl/>
        </w:rPr>
        <w:t>מתחם העונש ההולם ונסיבות הקשורות בביצוע העבירה</w:t>
      </w:r>
    </w:p>
    <w:p w14:paraId="678730B8" w14:textId="77777777" w:rsidR="00DA7307" w:rsidRPr="00DA7307" w:rsidRDefault="00DA7307" w:rsidP="00DA7307">
      <w:pPr>
        <w:pStyle w:val="a9"/>
        <w:spacing w:line="360" w:lineRule="auto"/>
        <w:jc w:val="both"/>
        <w:rPr>
          <w:rFonts w:ascii="David" w:hAnsi="David" w:cs="David"/>
          <w:sz w:val="24"/>
          <w:szCs w:val="24"/>
          <w:rtl/>
        </w:rPr>
      </w:pPr>
    </w:p>
    <w:p w14:paraId="4864E334" w14:textId="77777777" w:rsidR="00DA7307" w:rsidRDefault="00DA7307" w:rsidP="00DA7307">
      <w:pPr>
        <w:pStyle w:val="a9"/>
        <w:numPr>
          <w:ilvl w:val="0"/>
          <w:numId w:val="2"/>
        </w:numPr>
        <w:spacing w:after="0" w:line="360" w:lineRule="auto"/>
        <w:jc w:val="both"/>
        <w:rPr>
          <w:rFonts w:ascii="David" w:hAnsi="David" w:cs="David"/>
          <w:sz w:val="24"/>
          <w:szCs w:val="24"/>
          <w:rtl/>
        </w:rPr>
      </w:pPr>
      <w:r>
        <w:rPr>
          <w:rFonts w:ascii="David" w:hAnsi="David" w:cs="David"/>
          <w:sz w:val="24"/>
          <w:szCs w:val="24"/>
          <w:rtl/>
        </w:rPr>
        <w:t xml:space="preserve">העיקרון המנחה בענישה הינו קיומו של יחס הולם בין חומרת מעשה העבירה בנסיבותיו ומידת אשמו של הנאשם ובין סוג ומידת העונש המוטל עליו. בקביעת מתחם העונש ההולם, שומה על בית המשפט להתחשב בערך החברתי המוגן שנפגע ביצוע העבירה, במידת הפגיעה בו, במדיניות הענישה הנהוגה ובנסיבות הקשורות בביצוע העבירה. </w:t>
      </w:r>
    </w:p>
    <w:p w14:paraId="616D0BFE" w14:textId="77777777" w:rsidR="00DA7307" w:rsidRPr="00DA7307" w:rsidRDefault="00DA7307" w:rsidP="00DA7307">
      <w:pPr>
        <w:spacing w:line="360" w:lineRule="auto"/>
        <w:ind w:left="720"/>
        <w:contextualSpacing/>
        <w:jc w:val="both"/>
        <w:rPr>
          <w:rFonts w:ascii="David" w:eastAsia="Calibri" w:hAnsi="David"/>
        </w:rPr>
      </w:pPr>
    </w:p>
    <w:p w14:paraId="2F7201C4" w14:textId="77777777" w:rsidR="00DA7307" w:rsidRDefault="00DA7307" w:rsidP="00DA7307">
      <w:pPr>
        <w:numPr>
          <w:ilvl w:val="0"/>
          <w:numId w:val="2"/>
        </w:numPr>
        <w:spacing w:after="160" w:line="360" w:lineRule="auto"/>
        <w:jc w:val="both"/>
        <w:rPr>
          <w:rFonts w:ascii="David" w:hAnsi="David"/>
        </w:rPr>
      </w:pPr>
      <w:r>
        <w:rPr>
          <w:rFonts w:ascii="David" w:hAnsi="David"/>
          <w:rtl/>
        </w:rPr>
        <w:t xml:space="preserve">הערכים החברתיים המוגנים העומדים בבסיס עבירות הנשק ובכלל זה עבירה של החזקת נשק שלא כדין, הם שמירה על ערך חיי אדם, שמירה על בטחון ושלום הציבור, שלטון החוק והסדר הציבורי. </w:t>
      </w:r>
    </w:p>
    <w:p w14:paraId="43BA84A9" w14:textId="77777777" w:rsidR="00DA7307" w:rsidRDefault="00DA7307" w:rsidP="00DA7307">
      <w:pPr>
        <w:spacing w:line="360" w:lineRule="auto"/>
        <w:jc w:val="both"/>
        <w:rPr>
          <w:rFonts w:ascii="David" w:hAnsi="David"/>
        </w:rPr>
      </w:pPr>
    </w:p>
    <w:p w14:paraId="658013AB" w14:textId="77777777" w:rsidR="00DA7307" w:rsidRDefault="00DA7307" w:rsidP="00DA7307">
      <w:pPr>
        <w:numPr>
          <w:ilvl w:val="0"/>
          <w:numId w:val="2"/>
        </w:numPr>
        <w:spacing w:after="160" w:line="360" w:lineRule="auto"/>
        <w:jc w:val="both"/>
        <w:rPr>
          <w:rFonts w:ascii="David" w:hAnsi="David"/>
          <w:rtl/>
        </w:rPr>
      </w:pPr>
      <w:r>
        <w:rPr>
          <w:rFonts w:ascii="David" w:hAnsi="David"/>
          <w:rtl/>
        </w:rPr>
        <w:t>חומרתן ונפיצותן של עבירות הנשק נדונה מדי יום במדינתנו, ונחשבת מזה שנים רבות ל"מכת מדינה" ממש. בית המשפט העליון בשורה של פסקי דין מתייחס לחומרתן של עבירות הנשק והצורך החברתי במלחמת חורמה על מנת למגר נגע זה</w:t>
      </w:r>
      <w:r>
        <w:rPr>
          <w:rFonts w:ascii="David" w:hAnsi="David" w:hint="cs"/>
          <w:rtl/>
        </w:rPr>
        <w:t>,</w:t>
      </w:r>
      <w:r>
        <w:rPr>
          <w:rFonts w:ascii="David" w:hAnsi="David"/>
          <w:rtl/>
        </w:rPr>
        <w:t xml:space="preserve"> בשל הסיכון הפוטנציאלי הטמון בהן לכלל הציבור. בשנים האחרונות, חלה הסלמה במעשי האלימות והטרור. חדשות לבקרים, אנו מתעוררים לדיווחים אודות מקרי רצח, אלימות או טרור המבוצעים תוך שימוש בנשק ובאמצעי לחימה בלתי חוקיים. הסלמה זו מגבירה את הביקוש להחזקת נשק בלתי חוקי ועשיית שימוש בו למטרות אלו. </w:t>
      </w:r>
    </w:p>
    <w:p w14:paraId="7D7F83E0" w14:textId="77777777" w:rsidR="00DA7307" w:rsidRDefault="00DA7307" w:rsidP="00DA7307">
      <w:pPr>
        <w:spacing w:line="360" w:lineRule="auto"/>
        <w:jc w:val="both"/>
        <w:rPr>
          <w:rFonts w:ascii="David" w:hAnsi="David"/>
        </w:rPr>
      </w:pPr>
    </w:p>
    <w:p w14:paraId="1FF312C7" w14:textId="77777777" w:rsidR="00DA7307" w:rsidRDefault="00DA7307" w:rsidP="00DA7307">
      <w:pPr>
        <w:spacing w:line="360" w:lineRule="auto"/>
        <w:ind w:left="720"/>
        <w:contextualSpacing/>
        <w:jc w:val="both"/>
        <w:rPr>
          <w:rFonts w:ascii="David" w:hAnsi="David"/>
          <w:rtl/>
        </w:rPr>
      </w:pPr>
      <w:r>
        <w:rPr>
          <w:rFonts w:ascii="David" w:hAnsi="David"/>
          <w:rtl/>
        </w:rPr>
        <w:t>ב</w:t>
      </w:r>
      <w:hyperlink r:id="rId14" w:history="1">
        <w:r w:rsidR="00E716BC" w:rsidRPr="00E716BC">
          <w:rPr>
            <w:rFonts w:ascii="David" w:hAnsi="David"/>
            <w:color w:val="0000FF"/>
            <w:u w:val="single"/>
            <w:rtl/>
          </w:rPr>
          <w:t>ע"פ 2482/22</w:t>
        </w:r>
      </w:hyperlink>
      <w:r>
        <w:rPr>
          <w:rFonts w:ascii="David" w:hAnsi="David"/>
          <w:rtl/>
        </w:rPr>
        <w:t xml:space="preserve"> </w:t>
      </w:r>
      <w:r>
        <w:rPr>
          <w:rFonts w:ascii="David" w:hAnsi="David"/>
          <w:b/>
          <w:bCs/>
          <w:rtl/>
        </w:rPr>
        <w:t>מדינת ישראל נ' אחמד קדורה, פסקה 7,</w:t>
      </w:r>
      <w:r>
        <w:rPr>
          <w:rFonts w:ascii="David" w:hAnsi="David"/>
          <w:rtl/>
        </w:rPr>
        <w:t xml:space="preserve"> (14.4.2022) קבע כב' מ"מ הנשיא השופט עמית כדלקמן:</w:t>
      </w:r>
    </w:p>
    <w:p w14:paraId="4B240D12" w14:textId="77777777" w:rsidR="00DA7307" w:rsidRDefault="00DA7307" w:rsidP="00DA7307">
      <w:pPr>
        <w:spacing w:line="360" w:lineRule="auto"/>
        <w:jc w:val="both"/>
        <w:rPr>
          <w:rFonts w:ascii="David" w:hAnsi="David"/>
          <w:rtl/>
        </w:rPr>
      </w:pPr>
    </w:p>
    <w:p w14:paraId="41164EE5" w14:textId="77777777" w:rsidR="00DA7307" w:rsidRDefault="00DA7307" w:rsidP="00DA7307">
      <w:pPr>
        <w:spacing w:line="360" w:lineRule="auto"/>
        <w:ind w:left="1134" w:right="1134"/>
        <w:contextualSpacing/>
        <w:jc w:val="both"/>
        <w:rPr>
          <w:rFonts w:ascii="David" w:hAnsi="David"/>
          <w:rtl/>
        </w:rPr>
      </w:pPr>
      <w:r>
        <w:rPr>
          <w:rFonts w:ascii="David" w:hAnsi="David"/>
          <w:b/>
          <w:bCs/>
          <w:rtl/>
        </w:rPr>
        <w:t>"החזקת נשק שלא כדין מאיימת על שלום הציבור ובטחונו (</w:t>
      </w:r>
      <w:hyperlink r:id="rId15" w:history="1">
        <w:r w:rsidR="00E716BC" w:rsidRPr="00E716BC">
          <w:rPr>
            <w:rFonts w:ascii="David" w:hAnsi="David"/>
            <w:b/>
            <w:bCs/>
            <w:color w:val="0000FF"/>
            <w:u w:val="single"/>
            <w:rtl/>
          </w:rPr>
          <w:t>ע"פ 7473/20</w:t>
        </w:r>
      </w:hyperlink>
      <w:r>
        <w:rPr>
          <w:rFonts w:ascii="David" w:hAnsi="David"/>
          <w:b/>
          <w:bCs/>
          <w:rtl/>
        </w:rPr>
        <w:t xml:space="preserve"> ‏מדינת ישראל נ' מחאמיד, פסקה 24 [פורסם בנבו] (‏29.6.2021)).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hyperlink r:id="rId16" w:history="1">
        <w:r w:rsidR="00E716BC" w:rsidRPr="00E716BC">
          <w:rPr>
            <w:rFonts w:ascii="David" w:hAnsi="David"/>
            <w:b/>
            <w:bCs/>
            <w:color w:val="0000FF"/>
            <w:u w:val="single"/>
            <w:rtl/>
          </w:rPr>
          <w:t>ע"פ 9702/16</w:t>
        </w:r>
      </w:hyperlink>
      <w:r>
        <w:rPr>
          <w:rFonts w:ascii="David" w:hAnsi="David"/>
          <w:b/>
          <w:bCs/>
          <w:rtl/>
        </w:rPr>
        <w:t xml:space="preserve"> אבו אלוליאיה נ' מדינת ישראל, פסקה 3 לפסק דינו של השופט מינץ [פורסם בנבו] (13.9.2017(; </w:t>
      </w:r>
      <w:hyperlink r:id="rId17" w:history="1">
        <w:r w:rsidR="00E716BC" w:rsidRPr="00E716BC">
          <w:rPr>
            <w:rFonts w:ascii="David" w:hAnsi="David"/>
            <w:b/>
            <w:bCs/>
            <w:color w:val="0000FF"/>
            <w:u w:val="single"/>
            <w:rtl/>
          </w:rPr>
          <w:t>ע"פ 2398/14</w:t>
        </w:r>
      </w:hyperlink>
      <w:r>
        <w:rPr>
          <w:rFonts w:ascii="David" w:hAnsi="David"/>
          <w:b/>
          <w:bCs/>
          <w:rtl/>
        </w:rPr>
        <w:t xml:space="preserve"> אלהזייל נ' מדינת ישראל, פסקה 4 לפסק דיני [פורסם בנבו] (8.7.2014))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hyperlink r:id="rId18" w:history="1">
        <w:r w:rsidR="00E716BC" w:rsidRPr="00E716BC">
          <w:rPr>
            <w:rFonts w:ascii="David" w:hAnsi="David"/>
            <w:b/>
            <w:bCs/>
            <w:color w:val="0000FF"/>
            <w:u w:val="single"/>
            <w:rtl/>
          </w:rPr>
          <w:t>ע"פ 8846/15</w:t>
        </w:r>
      </w:hyperlink>
      <w:r>
        <w:rPr>
          <w:rFonts w:ascii="David" w:hAnsi="David"/>
          <w:b/>
          <w:bCs/>
          <w:rtl/>
        </w:rPr>
        <w:t xml:space="preserve"> דראז נ' מדינת ישראל, פסקה 6 [פורסם בנבו] (13.3.2016); </w:t>
      </w:r>
      <w:hyperlink r:id="rId19" w:history="1">
        <w:r w:rsidR="00E716BC" w:rsidRPr="00E716BC">
          <w:rPr>
            <w:rFonts w:ascii="David" w:hAnsi="David"/>
            <w:b/>
            <w:bCs/>
            <w:color w:val="0000FF"/>
            <w:u w:val="single"/>
            <w:rtl/>
          </w:rPr>
          <w:t>ע"פ 5330/20</w:t>
        </w:r>
      </w:hyperlink>
      <w:r>
        <w:rPr>
          <w:rFonts w:ascii="David" w:hAnsi="David"/>
          <w:b/>
          <w:bCs/>
          <w:rtl/>
        </w:rPr>
        <w:t xml:space="preserve"> ענבתאוי נ' מדינת ישראל, פסקה 14 [פורסם בנבו] (‏22.11.2020)). </w:t>
      </w:r>
      <w:r>
        <w:rPr>
          <w:rFonts w:ascii="David" w:hAnsi="David"/>
          <w:b/>
          <w:bCs/>
          <w:u w:val="single"/>
          <w:rtl/>
        </w:rPr>
        <w:t>ענייננו ב"מכת מדינה" שהצורך להילחם בה על מנת להגן על הציבור, מצריך מענה הולם והטלת עונשי מאסר משמעותיים</w:t>
      </w:r>
      <w:r>
        <w:rPr>
          <w:rFonts w:ascii="David" w:hAnsi="David"/>
          <w:b/>
          <w:bCs/>
          <w:rtl/>
        </w:rPr>
        <w:t xml:space="preserve"> (</w:t>
      </w:r>
      <w:hyperlink r:id="rId20" w:history="1">
        <w:r w:rsidR="00E716BC" w:rsidRPr="00E716BC">
          <w:rPr>
            <w:rFonts w:ascii="David" w:hAnsi="David"/>
            <w:b/>
            <w:bCs/>
            <w:color w:val="0000FF"/>
            <w:u w:val="single"/>
            <w:rtl/>
          </w:rPr>
          <w:t>ע"פ 2251/21</w:t>
        </w:r>
      </w:hyperlink>
      <w:r>
        <w:rPr>
          <w:rFonts w:ascii="David" w:hAnsi="David"/>
          <w:b/>
          <w:bCs/>
          <w:rtl/>
        </w:rPr>
        <w:t xml:space="preserve"> אבו עראר נ' מדינת ישראל, פסקה 25 [פורסם בנבו] (15.12.2021)). </w:t>
      </w:r>
      <w:r>
        <w:rPr>
          <w:rFonts w:ascii="David" w:hAnsi="David"/>
          <w:b/>
          <w:bCs/>
          <w:u w:val="single"/>
          <w:rtl/>
        </w:rPr>
        <w:t>ידע כל מי שמחזיק בנשק בלתי חוקי כי צפוי הוא להיענש בחומרה, בבחינת "אם מחזיקים – למאסר נשלחים"</w:t>
      </w:r>
      <w:r>
        <w:rPr>
          <w:rFonts w:ascii="David" w:hAnsi="David"/>
          <w:b/>
          <w:bCs/>
          <w:rtl/>
        </w:rPr>
        <w:t xml:space="preserve">." </w:t>
      </w:r>
      <w:r>
        <w:rPr>
          <w:rFonts w:ascii="David" w:hAnsi="David"/>
          <w:rtl/>
        </w:rPr>
        <w:t>[ההדגשות אינן במקור].</w:t>
      </w:r>
    </w:p>
    <w:p w14:paraId="0FDD7B7D" w14:textId="77777777" w:rsidR="00DA7307" w:rsidRDefault="00DA7307" w:rsidP="00DA7307">
      <w:pPr>
        <w:spacing w:line="360" w:lineRule="auto"/>
        <w:ind w:left="1134" w:right="1134"/>
        <w:contextualSpacing/>
        <w:jc w:val="both"/>
        <w:rPr>
          <w:rFonts w:ascii="David" w:hAnsi="David"/>
          <w:rtl/>
        </w:rPr>
      </w:pPr>
    </w:p>
    <w:p w14:paraId="3ED72B26" w14:textId="77777777" w:rsidR="00DA7307" w:rsidRDefault="00DA7307" w:rsidP="00DA7307">
      <w:pPr>
        <w:spacing w:line="360" w:lineRule="auto"/>
        <w:ind w:left="1134" w:right="1134"/>
        <w:contextualSpacing/>
        <w:jc w:val="both"/>
        <w:rPr>
          <w:rFonts w:ascii="David" w:hAnsi="David"/>
          <w:rtl/>
        </w:rPr>
      </w:pPr>
    </w:p>
    <w:p w14:paraId="5F9F283F" w14:textId="77777777" w:rsidR="00DA7307" w:rsidRDefault="00DA7307" w:rsidP="00DA7307">
      <w:pPr>
        <w:spacing w:line="360" w:lineRule="auto"/>
        <w:ind w:left="720"/>
        <w:contextualSpacing/>
        <w:jc w:val="both"/>
        <w:rPr>
          <w:rFonts w:ascii="David" w:hAnsi="David"/>
          <w:rtl/>
        </w:rPr>
      </w:pPr>
      <w:r>
        <w:rPr>
          <w:rFonts w:ascii="David" w:hAnsi="David"/>
          <w:rtl/>
        </w:rPr>
        <w:t>ב</w:t>
      </w:r>
      <w:hyperlink r:id="rId21" w:history="1">
        <w:r w:rsidR="00E716BC" w:rsidRPr="00E716BC">
          <w:rPr>
            <w:rFonts w:ascii="David" w:hAnsi="David"/>
            <w:color w:val="0000FF"/>
            <w:u w:val="single"/>
            <w:rtl/>
          </w:rPr>
          <w:t>ע"פ 6383/21</w:t>
        </w:r>
      </w:hyperlink>
      <w:r>
        <w:rPr>
          <w:rFonts w:ascii="David" w:hAnsi="David"/>
          <w:rtl/>
        </w:rPr>
        <w:t xml:space="preserve"> </w:t>
      </w:r>
      <w:r>
        <w:rPr>
          <w:rFonts w:ascii="David" w:hAnsi="David"/>
          <w:b/>
          <w:bCs/>
          <w:rtl/>
        </w:rPr>
        <w:t xml:space="preserve">קריף ואח' נ' מדינת ישראל </w:t>
      </w:r>
      <w:r>
        <w:rPr>
          <w:rFonts w:ascii="David" w:hAnsi="David"/>
          <w:rtl/>
        </w:rPr>
        <w:t>(13.2.2022), פסקה 3, קבע כב' המשנה לנשיאה השופט הנדל כתוארו אז כך:</w:t>
      </w:r>
    </w:p>
    <w:p w14:paraId="77D7D1C0" w14:textId="77777777" w:rsidR="00DA7307" w:rsidRDefault="00DA7307" w:rsidP="00DA7307">
      <w:pPr>
        <w:spacing w:line="360" w:lineRule="auto"/>
        <w:ind w:left="720"/>
        <w:contextualSpacing/>
        <w:jc w:val="both"/>
        <w:rPr>
          <w:rFonts w:ascii="David" w:hAnsi="David"/>
          <w:rtl/>
        </w:rPr>
      </w:pPr>
    </w:p>
    <w:p w14:paraId="2D969CED" w14:textId="77777777" w:rsidR="00DA7307" w:rsidRDefault="00DA7307" w:rsidP="00DA7307">
      <w:pPr>
        <w:spacing w:line="360" w:lineRule="auto"/>
        <w:ind w:left="1134" w:right="1134"/>
        <w:contextualSpacing/>
        <w:jc w:val="both"/>
        <w:rPr>
          <w:rFonts w:ascii="David" w:hAnsi="David"/>
          <w:b/>
          <w:bCs/>
          <w:rtl/>
        </w:rPr>
      </w:pPr>
      <w:r>
        <w:rPr>
          <w:rFonts w:ascii="David" w:hAnsi="David"/>
          <w:b/>
          <w:bCs/>
          <w:rtl/>
        </w:rPr>
        <w:t xml:space="preserve">" ... אקדח שיורה "במערכה השלישית" גורם כמובן לנזק רב, </w:t>
      </w:r>
      <w:r>
        <w:rPr>
          <w:rFonts w:ascii="David" w:hAnsi="David"/>
          <w:b/>
          <w:bCs/>
          <w:u w:val="single"/>
          <w:rtl/>
        </w:rPr>
        <w:t>אך גם אקדח שמונח על השולחן "במערכה הראשונה" – אף אם לא נעשה בו כל שימוש אחר בהמשך – עלול לפגוע בשלום הציבור באופן ממשי</w:t>
      </w:r>
      <w:r>
        <w:rPr>
          <w:rFonts w:ascii="David" w:hAnsi="David"/>
          <w:b/>
          <w:bCs/>
          <w:rtl/>
        </w:rPr>
        <w:t>.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hyperlink r:id="rId22" w:history="1">
        <w:r w:rsidR="00E716BC" w:rsidRPr="00E716BC">
          <w:rPr>
            <w:rFonts w:ascii="David" w:hAnsi="David"/>
            <w:b/>
            <w:bCs/>
            <w:color w:val="0000FF"/>
            <w:u w:val="single"/>
            <w:rtl/>
          </w:rPr>
          <w:t>ע"פ 1768/14</w:t>
        </w:r>
      </w:hyperlink>
      <w:r>
        <w:rPr>
          <w:rFonts w:ascii="David" w:hAnsi="David"/>
          <w:b/>
          <w:bCs/>
          <w:rtl/>
        </w:rPr>
        <w:t xml:space="preserve"> גנאיים נ' מדינת ישראל פסקה 11 [פורסם בנבו] (22.7.2014); </w:t>
      </w:r>
      <w:hyperlink r:id="rId23" w:history="1">
        <w:r w:rsidR="00E716BC" w:rsidRPr="00E716BC">
          <w:rPr>
            <w:rFonts w:ascii="David" w:hAnsi="David"/>
            <w:b/>
            <w:bCs/>
            <w:color w:val="0000FF"/>
            <w:u w:val="single"/>
            <w:rtl/>
          </w:rPr>
          <w:t>ע"פ 3138/11</w:t>
        </w:r>
      </w:hyperlink>
      <w:r>
        <w:rPr>
          <w:rFonts w:ascii="David" w:hAnsi="David"/>
          <w:b/>
          <w:bCs/>
          <w:rtl/>
        </w:rPr>
        <w:t xml:space="preserve"> הייבי נ' מדינת ישראל, פסקה 5 [פורסם בנבו] (6.3.2012))." </w:t>
      </w:r>
      <w:r>
        <w:rPr>
          <w:rFonts w:ascii="David" w:hAnsi="David"/>
          <w:rtl/>
        </w:rPr>
        <w:t>[ההדגשות אינן במקור].</w:t>
      </w:r>
    </w:p>
    <w:p w14:paraId="060EF26A" w14:textId="77777777" w:rsidR="00DA7307" w:rsidRDefault="00DA7307" w:rsidP="00DA7307">
      <w:pPr>
        <w:spacing w:line="360" w:lineRule="auto"/>
        <w:jc w:val="both"/>
        <w:rPr>
          <w:rFonts w:ascii="David" w:hAnsi="David"/>
          <w:rtl/>
        </w:rPr>
      </w:pPr>
    </w:p>
    <w:p w14:paraId="06767679" w14:textId="77777777" w:rsidR="00DA7307" w:rsidRDefault="00DA7307" w:rsidP="00DA7307">
      <w:pPr>
        <w:spacing w:line="360" w:lineRule="auto"/>
        <w:jc w:val="both"/>
        <w:rPr>
          <w:rFonts w:ascii="David" w:hAnsi="David"/>
          <w:rtl/>
        </w:rPr>
      </w:pPr>
    </w:p>
    <w:p w14:paraId="09ABA8A6" w14:textId="77777777" w:rsidR="00DA7307" w:rsidRDefault="00DA7307" w:rsidP="00DA7307">
      <w:pPr>
        <w:numPr>
          <w:ilvl w:val="0"/>
          <w:numId w:val="2"/>
        </w:numPr>
        <w:spacing w:after="160" w:line="360" w:lineRule="auto"/>
        <w:jc w:val="both"/>
        <w:rPr>
          <w:rFonts w:ascii="David" w:hAnsi="David"/>
        </w:rPr>
      </w:pPr>
      <w:r>
        <w:rPr>
          <w:rFonts w:ascii="David" w:hAnsi="David"/>
          <w:rtl/>
        </w:rPr>
        <w:t>נסיבות החזקת הנשק מצביעות על חומרת העבירה ופגיעה ממשית ומשמעותית בערכים המוגנים. הנאשם החזיק אקדח טעון במחסנית עם 7 כדורי תחמושת מתאימים המוכן לשימוש מידי</w:t>
      </w:r>
      <w:r>
        <w:rPr>
          <w:rFonts w:ascii="David" w:hAnsi="David" w:hint="cs"/>
          <w:rtl/>
        </w:rPr>
        <w:t>,</w:t>
      </w:r>
      <w:r>
        <w:rPr>
          <w:rFonts w:ascii="David" w:hAnsi="David"/>
          <w:rtl/>
        </w:rPr>
        <w:t xml:space="preserve"> מוסלק בתוך ארון בחדר השינה כשהוא מוטמן בין בגדיו ועטוף בגרב. </w:t>
      </w:r>
    </w:p>
    <w:p w14:paraId="19718D9F" w14:textId="77777777" w:rsidR="00DA7307" w:rsidRDefault="00DA7307" w:rsidP="00DA7307">
      <w:pPr>
        <w:spacing w:line="360" w:lineRule="auto"/>
        <w:ind w:left="720"/>
        <w:contextualSpacing/>
        <w:jc w:val="both"/>
        <w:rPr>
          <w:rFonts w:ascii="David" w:hAnsi="David"/>
        </w:rPr>
      </w:pPr>
    </w:p>
    <w:p w14:paraId="3452D1C6"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בחינת מדיניות הענישה בגין ביצוע עבירות החזקת נשק מלמדת כי מתחמי הענישה מתחילים בעונשי מאסר מאחורי סורג ובריח </w:t>
      </w:r>
      <w:r>
        <w:rPr>
          <w:rFonts w:ascii="David" w:hAnsi="David" w:cs="David" w:hint="cs"/>
          <w:sz w:val="24"/>
          <w:szCs w:val="24"/>
          <w:rtl/>
        </w:rPr>
        <w:t xml:space="preserve">ובשנים האחרונות חלה מגמת החמרה בענישה. </w:t>
      </w:r>
      <w:r>
        <w:rPr>
          <w:rFonts w:ascii="David" w:hAnsi="David" w:cs="David"/>
          <w:sz w:val="24"/>
          <w:szCs w:val="24"/>
          <w:rtl/>
        </w:rPr>
        <w:t>ברי, כי בסופו של יום ייקבע מתחם העונש ההולם בכל מקרה בהתאם לנסיבותיו</w:t>
      </w:r>
      <w:r>
        <w:rPr>
          <w:rFonts w:ascii="David" w:hAnsi="David" w:cs="David"/>
          <w:b/>
          <w:bCs/>
          <w:sz w:val="24"/>
          <w:szCs w:val="24"/>
          <w:rtl/>
        </w:rPr>
        <w:t xml:space="preserve"> </w:t>
      </w:r>
      <w:r>
        <w:rPr>
          <w:rFonts w:ascii="David" w:hAnsi="David" w:cs="David"/>
          <w:sz w:val="24"/>
          <w:szCs w:val="24"/>
          <w:rtl/>
        </w:rPr>
        <w:t>כאשר ניתן משקל, בין היתר, למאפייני הנשק וסוגו; היותו טעון במחסנית; מיקום תפיסתו; מידת הסיכון הכרוכה בהחזקתו; הימצאות של חומרי נשק או אביזרי נשק לצדו וכיו"ב. להלן אפנה לפסיקה במקרים דומים, מהם ניתן לגזור את מתחם העונש ההולם שבפניי, ראו למשל:</w:t>
      </w:r>
    </w:p>
    <w:p w14:paraId="68465791" w14:textId="77777777" w:rsidR="00DA7307" w:rsidRDefault="00DA7307" w:rsidP="00DA7307">
      <w:pPr>
        <w:pStyle w:val="a9"/>
        <w:spacing w:line="360" w:lineRule="auto"/>
        <w:jc w:val="both"/>
        <w:rPr>
          <w:rFonts w:ascii="David" w:hAnsi="David" w:cs="David"/>
          <w:sz w:val="24"/>
          <w:szCs w:val="24"/>
        </w:rPr>
      </w:pPr>
      <w:r>
        <w:rPr>
          <w:rFonts w:ascii="David" w:hAnsi="David" w:cs="David"/>
          <w:sz w:val="24"/>
          <w:szCs w:val="24"/>
          <w:rtl/>
        </w:rPr>
        <w:t xml:space="preserve"> </w:t>
      </w:r>
    </w:p>
    <w:p w14:paraId="6D9A502E" w14:textId="77777777" w:rsidR="00DA7307" w:rsidRDefault="00E716BC" w:rsidP="00DA7307">
      <w:pPr>
        <w:numPr>
          <w:ilvl w:val="0"/>
          <w:numId w:val="3"/>
        </w:numPr>
        <w:spacing w:line="360" w:lineRule="auto"/>
        <w:contextualSpacing/>
        <w:jc w:val="both"/>
        <w:rPr>
          <w:rFonts w:ascii="David" w:hAnsi="David"/>
        </w:rPr>
      </w:pPr>
      <w:hyperlink r:id="rId24" w:history="1">
        <w:r w:rsidRPr="00E716BC">
          <w:rPr>
            <w:rFonts w:ascii="David" w:hAnsi="David"/>
            <w:color w:val="0000FF"/>
            <w:u w:val="single"/>
            <w:rtl/>
          </w:rPr>
          <w:t>רע"פ 3636/23</w:t>
        </w:r>
      </w:hyperlink>
      <w:r w:rsidR="00DA7307">
        <w:rPr>
          <w:rFonts w:ascii="David" w:hAnsi="David"/>
          <w:rtl/>
        </w:rPr>
        <w:t xml:space="preserve"> </w:t>
      </w:r>
      <w:r w:rsidR="00DA7307">
        <w:rPr>
          <w:rFonts w:ascii="David" w:hAnsi="David"/>
          <w:b/>
          <w:bCs/>
          <w:rtl/>
        </w:rPr>
        <w:t>אבו אלקיעאן נ' מדינת ישראל</w:t>
      </w:r>
      <w:r w:rsidR="00DA7307">
        <w:rPr>
          <w:rFonts w:ascii="David" w:hAnsi="David"/>
          <w:rtl/>
        </w:rPr>
        <w:t xml:space="preserve"> (16.5.2023): המבקש הורשע על יסוד הודאתו בעבירות של החזקת נשק שלא כדין והחזקת תחמושת שלא כדין, בכך שהחזיק אקדח חצי אוטומטי עם מחסנית וכדורים בתא המטען של הרכב. </w:t>
      </w:r>
      <w:r w:rsidR="00DA7307">
        <w:rPr>
          <w:rFonts w:ascii="David" w:hAnsi="David"/>
          <w:b/>
          <w:bCs/>
          <w:rtl/>
        </w:rPr>
        <w:t>נקבע מתחם ענישה הולם הנע בין 11 ל-33 חודשי מאסר</w:t>
      </w:r>
      <w:r w:rsidR="00DA7307">
        <w:rPr>
          <w:rFonts w:ascii="David" w:hAnsi="David"/>
          <w:rtl/>
        </w:rPr>
        <w:t xml:space="preserve">, ובהתחשב בגילו הצעיר ועבר פלילי נקי, נגזר דינו ל-13 חודשי מאסר. ערעור המבקש לבית המשפט המחוזי נדחה וכך גם בקשת רשות ערעור. </w:t>
      </w:r>
    </w:p>
    <w:p w14:paraId="5402F43D" w14:textId="77777777" w:rsidR="00DA7307" w:rsidRDefault="00DA7307" w:rsidP="00DA7307">
      <w:pPr>
        <w:spacing w:line="360" w:lineRule="auto"/>
        <w:ind w:left="720"/>
        <w:contextualSpacing/>
        <w:jc w:val="both"/>
        <w:rPr>
          <w:rFonts w:ascii="David" w:hAnsi="David"/>
          <w:rtl/>
        </w:rPr>
      </w:pPr>
    </w:p>
    <w:p w14:paraId="1060A7FF" w14:textId="77777777" w:rsidR="00DA7307" w:rsidRDefault="00DA7307" w:rsidP="00DA7307">
      <w:pPr>
        <w:spacing w:line="360" w:lineRule="auto"/>
        <w:ind w:left="720"/>
        <w:contextualSpacing/>
        <w:jc w:val="both"/>
        <w:rPr>
          <w:rFonts w:ascii="David" w:hAnsi="David"/>
        </w:rPr>
      </w:pPr>
    </w:p>
    <w:p w14:paraId="6719A153" w14:textId="77777777" w:rsidR="00DA7307" w:rsidRDefault="00E716BC" w:rsidP="00DA7307">
      <w:pPr>
        <w:numPr>
          <w:ilvl w:val="0"/>
          <w:numId w:val="3"/>
        </w:numPr>
        <w:spacing w:line="360" w:lineRule="auto"/>
        <w:contextualSpacing/>
        <w:jc w:val="both"/>
        <w:rPr>
          <w:rFonts w:ascii="David" w:hAnsi="David"/>
        </w:rPr>
      </w:pPr>
      <w:hyperlink r:id="rId25" w:history="1">
        <w:r w:rsidRPr="00E716BC">
          <w:rPr>
            <w:rFonts w:ascii="David" w:hAnsi="David"/>
            <w:color w:val="0000FF"/>
            <w:u w:val="single"/>
            <w:rtl/>
          </w:rPr>
          <w:t>ע"פ 2482/22</w:t>
        </w:r>
      </w:hyperlink>
      <w:r w:rsidR="00DA7307">
        <w:rPr>
          <w:rFonts w:ascii="David" w:hAnsi="David"/>
          <w:rtl/>
        </w:rPr>
        <w:t xml:space="preserve"> </w:t>
      </w:r>
      <w:r w:rsidR="00DA7307">
        <w:rPr>
          <w:rFonts w:ascii="David" w:hAnsi="David"/>
          <w:b/>
          <w:bCs/>
          <w:rtl/>
        </w:rPr>
        <w:t>מדינת ישראל נ' קדורה</w:t>
      </w:r>
      <w:r w:rsidR="00DA7307">
        <w:rPr>
          <w:rFonts w:ascii="David" w:hAnsi="David"/>
          <w:rtl/>
        </w:rPr>
        <w:t xml:space="preserve"> (14.4.2022): המשיב הורשע על יסוד הודאתו בעבירה של החזקת נשק שלא כדין בצוותא חדא בכך שהחזיק (למשך ימים)</w:t>
      </w:r>
      <w:r w:rsidR="00DA7307">
        <w:rPr>
          <w:rFonts w:ascii="David" w:hAnsi="David"/>
        </w:rPr>
        <w:t xml:space="preserve"> </w:t>
      </w:r>
      <w:r w:rsidR="00DA7307">
        <w:rPr>
          <w:rFonts w:ascii="David" w:hAnsi="David"/>
          <w:rtl/>
        </w:rPr>
        <w:t xml:space="preserve">אקדח, מחסנית, כדורים ורימון הלם, עבור אדם אחר ובמהלך החיפוש שבוצע נתפס הרימון בלבד.  </w:t>
      </w:r>
      <w:r w:rsidR="00DA7307">
        <w:rPr>
          <w:rFonts w:ascii="David" w:hAnsi="David"/>
          <w:b/>
          <w:bCs/>
          <w:rtl/>
        </w:rPr>
        <w:t>נקבע מתחם הנע בין 10 ל-36 חודשי מאסר</w:t>
      </w:r>
      <w:r w:rsidR="00DA7307">
        <w:rPr>
          <w:rFonts w:ascii="David" w:hAnsi="David" w:hint="cs"/>
          <w:b/>
          <w:bCs/>
          <w:rtl/>
        </w:rPr>
        <w:t xml:space="preserve"> </w:t>
      </w:r>
      <w:r w:rsidR="00DA7307">
        <w:rPr>
          <w:rFonts w:ascii="David" w:hAnsi="David"/>
          <w:rtl/>
        </w:rPr>
        <w:t xml:space="preserve">ונגזר על המשיב, </w:t>
      </w:r>
      <w:r w:rsidR="00DA7307">
        <w:rPr>
          <w:rFonts w:ascii="David" w:hAnsi="David"/>
          <w:b/>
          <w:bCs/>
          <w:rtl/>
        </w:rPr>
        <w:t>צעיר כבן 19 במועד ביצוע העבירה ונעדר עבר פלילי</w:t>
      </w:r>
      <w:r w:rsidR="00DA7307">
        <w:rPr>
          <w:rFonts w:ascii="David" w:hAnsi="David"/>
          <w:rtl/>
        </w:rPr>
        <w:t xml:space="preserve">, 10 חודשי מאסר בפועל לצד ענישה נלוות. </w:t>
      </w:r>
      <w:r w:rsidR="00DA7307">
        <w:rPr>
          <w:rFonts w:ascii="David" w:hAnsi="David"/>
          <w:b/>
          <w:bCs/>
          <w:rtl/>
        </w:rPr>
        <w:t>ערעור שהוגש מטעם המדינה, התקבל ובית המשפט העליון החמיר את עונשו של המשיב והעמידו על</w:t>
      </w:r>
      <w:r w:rsidR="00DA7307">
        <w:rPr>
          <w:rFonts w:ascii="David" w:hAnsi="David"/>
          <w:rtl/>
        </w:rPr>
        <w:t xml:space="preserve"> </w:t>
      </w:r>
      <w:r w:rsidR="00DA7307">
        <w:rPr>
          <w:rFonts w:ascii="David" w:hAnsi="David"/>
          <w:b/>
          <w:bCs/>
          <w:rtl/>
        </w:rPr>
        <w:t>18 חודשי מאסר.</w:t>
      </w:r>
    </w:p>
    <w:p w14:paraId="5D4ED620" w14:textId="77777777" w:rsidR="00DA7307" w:rsidRDefault="00DA7307" w:rsidP="00DA7307">
      <w:pPr>
        <w:pStyle w:val="a9"/>
        <w:rPr>
          <w:rFonts w:ascii="David" w:hAnsi="David" w:cs="David"/>
          <w:sz w:val="24"/>
          <w:szCs w:val="24"/>
        </w:rPr>
      </w:pPr>
    </w:p>
    <w:p w14:paraId="347975D3" w14:textId="77777777" w:rsidR="00DA7307" w:rsidRDefault="00E716BC" w:rsidP="00DA7307">
      <w:pPr>
        <w:numPr>
          <w:ilvl w:val="0"/>
          <w:numId w:val="3"/>
        </w:numPr>
        <w:spacing w:line="360" w:lineRule="auto"/>
        <w:contextualSpacing/>
        <w:jc w:val="both"/>
        <w:rPr>
          <w:rFonts w:ascii="David" w:hAnsi="David"/>
          <w:rtl/>
        </w:rPr>
      </w:pPr>
      <w:hyperlink r:id="rId26" w:history="1">
        <w:r w:rsidRPr="00E716BC">
          <w:rPr>
            <w:rFonts w:ascii="David" w:hAnsi="David"/>
            <w:color w:val="0000FF"/>
            <w:u w:val="single"/>
            <w:rtl/>
          </w:rPr>
          <w:t>ע"פ 1806/22</w:t>
        </w:r>
      </w:hyperlink>
      <w:r w:rsidR="00DA7307">
        <w:rPr>
          <w:rFonts w:ascii="David" w:hAnsi="David"/>
          <w:rtl/>
        </w:rPr>
        <w:t xml:space="preserve"> </w:t>
      </w:r>
      <w:r w:rsidR="00DA7307">
        <w:rPr>
          <w:rFonts w:ascii="David" w:hAnsi="David"/>
          <w:b/>
          <w:bCs/>
          <w:rtl/>
        </w:rPr>
        <w:t xml:space="preserve">נבארי נ' מדינת ישראל </w:t>
      </w:r>
      <w:r w:rsidR="00DA7307">
        <w:rPr>
          <w:rFonts w:ascii="David" w:hAnsi="David"/>
          <w:rtl/>
        </w:rPr>
        <w:t>(15.6.2022):</w:t>
      </w:r>
      <w:r w:rsidR="00DA7307">
        <w:rPr>
          <w:rFonts w:ascii="David" w:hAnsi="David"/>
        </w:rPr>
        <w:t xml:space="preserve"> </w:t>
      </w:r>
      <w:r w:rsidR="00DA7307">
        <w:rPr>
          <w:rFonts w:ascii="David" w:hAnsi="David"/>
          <w:rtl/>
        </w:rPr>
        <w:t xml:space="preserve">הנאשם הורשע בכך שהחזיק ברכבו אקדח חצי אוטומטי טעון ב-12 כדורים. בית המשפט קבע </w:t>
      </w:r>
      <w:r w:rsidR="00DA7307">
        <w:rPr>
          <w:rFonts w:ascii="David" w:hAnsi="David"/>
          <w:b/>
          <w:bCs/>
          <w:rtl/>
        </w:rPr>
        <w:t>מתחם עונש הנע בין 15 ל-36 חודשי מאסר</w:t>
      </w:r>
      <w:r w:rsidR="00DA7307">
        <w:rPr>
          <w:rFonts w:ascii="David" w:hAnsi="David"/>
          <w:rtl/>
        </w:rPr>
        <w:t xml:space="preserve"> וגזר על הנאשם, נעדר עבר פלילי, 20 חודשי</w:t>
      </w:r>
      <w:r w:rsidR="00DA7307">
        <w:rPr>
          <w:rFonts w:ascii="David" w:hAnsi="David" w:hint="cs"/>
          <w:rtl/>
        </w:rPr>
        <w:t xml:space="preserve"> מאסר</w:t>
      </w:r>
      <w:r w:rsidR="00DA7307">
        <w:rPr>
          <w:rFonts w:ascii="David" w:hAnsi="David"/>
          <w:rtl/>
        </w:rPr>
        <w:t>. ערעור שהוגש מטעם הנאשם התקבל ועונשו הופחת ל-16 חודשי מאסר, בשל נסיבותיו המיוחדות וב</w:t>
      </w:r>
      <w:r w:rsidR="00DA7307">
        <w:rPr>
          <w:rFonts w:ascii="David" w:hAnsi="David" w:hint="cs"/>
          <w:rtl/>
        </w:rPr>
        <w:t>י</w:t>
      </w:r>
      <w:r w:rsidR="00DA7307">
        <w:rPr>
          <w:rFonts w:ascii="David" w:hAnsi="David"/>
          <w:rtl/>
        </w:rPr>
        <w:t xml:space="preserve">ניהן החזקת הנשק לצורך הגנה עצמית. </w:t>
      </w:r>
    </w:p>
    <w:p w14:paraId="32A9DE38" w14:textId="77777777" w:rsidR="00DA7307" w:rsidRDefault="00DA7307" w:rsidP="00DA7307">
      <w:pPr>
        <w:spacing w:line="360" w:lineRule="auto"/>
        <w:contextualSpacing/>
        <w:jc w:val="both"/>
        <w:rPr>
          <w:rFonts w:ascii="David" w:hAnsi="David"/>
        </w:rPr>
      </w:pPr>
    </w:p>
    <w:p w14:paraId="39BED785" w14:textId="77777777" w:rsidR="00DA7307" w:rsidRDefault="00E716BC" w:rsidP="00DA7307">
      <w:pPr>
        <w:numPr>
          <w:ilvl w:val="0"/>
          <w:numId w:val="3"/>
        </w:numPr>
        <w:spacing w:line="360" w:lineRule="auto"/>
        <w:ind w:left="714" w:hanging="357"/>
        <w:contextualSpacing/>
        <w:jc w:val="both"/>
        <w:rPr>
          <w:rFonts w:ascii="David" w:hAnsi="David"/>
          <w:rtl/>
        </w:rPr>
      </w:pPr>
      <w:hyperlink r:id="rId27" w:history="1">
        <w:r w:rsidRPr="00E716BC">
          <w:rPr>
            <w:rFonts w:ascii="David" w:hAnsi="David"/>
            <w:color w:val="0000FF"/>
            <w:u w:val="single"/>
            <w:rtl/>
          </w:rPr>
          <w:t>רע"פ 5613/20</w:t>
        </w:r>
      </w:hyperlink>
      <w:r w:rsidR="00DA7307">
        <w:rPr>
          <w:rFonts w:ascii="David" w:hAnsi="David"/>
          <w:rtl/>
        </w:rPr>
        <w:t xml:space="preserve"> </w:t>
      </w:r>
      <w:r w:rsidR="00DA7307">
        <w:rPr>
          <w:rFonts w:ascii="David" w:hAnsi="David"/>
          <w:b/>
          <w:bCs/>
          <w:rtl/>
        </w:rPr>
        <w:t>אלהוזייל נ' מדינת ישראל</w:t>
      </w:r>
      <w:r w:rsidR="00DA7307">
        <w:rPr>
          <w:rFonts w:ascii="David" w:hAnsi="David"/>
          <w:rtl/>
        </w:rPr>
        <w:t xml:space="preserve"> (25.8.2020): המבקש הורשע על יסוד הודאתו, בעבירות של החזקת נשק שלא כדין והחזקת תחמושת, בכך שהחזיק בביתו אקדח </w:t>
      </w:r>
      <w:r w:rsidR="00DA7307">
        <w:rPr>
          <w:rFonts w:ascii="David" w:hAnsi="David"/>
        </w:rPr>
        <w:t>FN</w:t>
      </w:r>
      <w:r w:rsidR="00DA7307">
        <w:rPr>
          <w:rFonts w:ascii="David" w:hAnsi="David"/>
          <w:rtl/>
        </w:rPr>
        <w:t xml:space="preserve">  ו-20 כדורים בעלי קוטר זהה. </w:t>
      </w:r>
      <w:r w:rsidR="00DA7307">
        <w:rPr>
          <w:rFonts w:ascii="David" w:hAnsi="David"/>
          <w:b/>
          <w:bCs/>
          <w:rtl/>
        </w:rPr>
        <w:t xml:space="preserve"> בית משפט השלום קבע מתחם עונש הולם הנע בין 11 ל-33 חודשים </w:t>
      </w:r>
      <w:r w:rsidR="00DA7307">
        <w:rPr>
          <w:rFonts w:ascii="David" w:hAnsi="David"/>
          <w:rtl/>
        </w:rPr>
        <w:t xml:space="preserve">וגזר על הנאשם 12 חודשים מאסר וענישה נלוות, בין היתר, בשל נסיבותיו האישיות. ערעור הנאשם לבית המשפט המחוזי נדחה וכך גם בקשת רשות הערעור. </w:t>
      </w:r>
    </w:p>
    <w:p w14:paraId="695EE69A" w14:textId="77777777" w:rsidR="00DA7307" w:rsidRDefault="00DA7307" w:rsidP="00DA7307">
      <w:pPr>
        <w:pStyle w:val="a9"/>
        <w:rPr>
          <w:rFonts w:ascii="David" w:hAnsi="David" w:cs="David"/>
          <w:sz w:val="24"/>
          <w:szCs w:val="24"/>
        </w:rPr>
      </w:pPr>
    </w:p>
    <w:p w14:paraId="78C18140" w14:textId="77777777" w:rsidR="00DA7307" w:rsidRDefault="00DA7307" w:rsidP="00DA7307">
      <w:pPr>
        <w:numPr>
          <w:ilvl w:val="0"/>
          <w:numId w:val="3"/>
        </w:numPr>
        <w:spacing w:line="360" w:lineRule="auto"/>
        <w:ind w:left="714" w:hanging="357"/>
        <w:contextualSpacing/>
        <w:jc w:val="both"/>
        <w:rPr>
          <w:rFonts w:ascii="David" w:hAnsi="David"/>
          <w:rtl/>
        </w:rPr>
      </w:pPr>
      <w:r>
        <w:rPr>
          <w:rFonts w:ascii="David" w:hAnsi="David"/>
          <w:rtl/>
        </w:rPr>
        <w:t xml:space="preserve">ת"פ (מח' מרכז) 4197-05-22 </w:t>
      </w:r>
      <w:r>
        <w:rPr>
          <w:rFonts w:ascii="David" w:hAnsi="David"/>
          <w:b/>
          <w:bCs/>
          <w:rtl/>
        </w:rPr>
        <w:t xml:space="preserve">מדינת ישראל נ' אטון </w:t>
      </w:r>
      <w:r>
        <w:rPr>
          <w:rFonts w:ascii="David" w:hAnsi="David"/>
          <w:rtl/>
        </w:rPr>
        <w:t xml:space="preserve">(25.9.2022): הנאשם הורשע בהחזקת אקדח טעון מוסלק מתחת למכולה בשטר המשק בו התגורר. נקבע </w:t>
      </w:r>
      <w:r>
        <w:rPr>
          <w:rFonts w:ascii="David" w:hAnsi="David"/>
          <w:b/>
          <w:bCs/>
          <w:rtl/>
        </w:rPr>
        <w:t>מתחם עונש הנע בין  14 ל-30 חודשי מאסר</w:t>
      </w:r>
      <w:r>
        <w:rPr>
          <w:rFonts w:ascii="David" w:hAnsi="David"/>
          <w:rtl/>
        </w:rPr>
        <w:t xml:space="preserve">. הנאשם שלחובתו עבר פלילי ישן, נדון ל-15 חודשי מאסר בפועל. </w:t>
      </w:r>
    </w:p>
    <w:p w14:paraId="32887640" w14:textId="77777777" w:rsidR="00DA7307" w:rsidRDefault="00DA7307" w:rsidP="00DA7307">
      <w:pPr>
        <w:spacing w:line="360" w:lineRule="auto"/>
        <w:contextualSpacing/>
        <w:jc w:val="both"/>
        <w:rPr>
          <w:rFonts w:ascii="David" w:hAnsi="David"/>
        </w:rPr>
      </w:pPr>
    </w:p>
    <w:p w14:paraId="382D54C9" w14:textId="77777777" w:rsidR="00DA7307" w:rsidRDefault="00E716BC" w:rsidP="00DA7307">
      <w:pPr>
        <w:pStyle w:val="a9"/>
        <w:numPr>
          <w:ilvl w:val="0"/>
          <w:numId w:val="3"/>
        </w:numPr>
        <w:spacing w:after="0" w:line="360" w:lineRule="auto"/>
        <w:jc w:val="both"/>
        <w:rPr>
          <w:rFonts w:ascii="Arial" w:hAnsi="Arial" w:cs="David"/>
          <w:sz w:val="24"/>
          <w:szCs w:val="24"/>
        </w:rPr>
      </w:pPr>
      <w:hyperlink r:id="rId28" w:history="1">
        <w:r w:rsidRPr="00E716BC">
          <w:rPr>
            <w:rFonts w:ascii="David" w:hAnsi="David" w:cs="David"/>
            <w:color w:val="0000FF"/>
            <w:sz w:val="24"/>
            <w:szCs w:val="24"/>
            <w:u w:val="single"/>
            <w:rtl/>
          </w:rPr>
          <w:t>עפ"ג (מח' חיפה) 75694-07-24</w:t>
        </w:r>
      </w:hyperlink>
      <w:r w:rsidR="00DA7307">
        <w:rPr>
          <w:rFonts w:ascii="David" w:hAnsi="David" w:cs="David"/>
          <w:sz w:val="24"/>
          <w:szCs w:val="24"/>
          <w:rtl/>
        </w:rPr>
        <w:t xml:space="preserve"> </w:t>
      </w:r>
      <w:r w:rsidR="00DA7307">
        <w:rPr>
          <w:rFonts w:ascii="David" w:hAnsi="David" w:cs="David"/>
          <w:b/>
          <w:bCs/>
          <w:sz w:val="24"/>
          <w:szCs w:val="24"/>
          <w:rtl/>
        </w:rPr>
        <w:t>מדינת ישראל נ' מיעארי</w:t>
      </w:r>
      <w:r w:rsidR="00DA7307">
        <w:rPr>
          <w:rFonts w:ascii="David" w:hAnsi="David" w:cs="David"/>
          <w:sz w:val="24"/>
          <w:szCs w:val="24"/>
          <w:rtl/>
        </w:rPr>
        <w:t xml:space="preserve"> (10.9.2024): המשיב הורשע על יסוד הודאתו בהחזקת </w:t>
      </w:r>
      <w:r w:rsidR="00DA7307">
        <w:rPr>
          <w:rFonts w:ascii="Arial" w:hAnsi="Arial" w:cs="David"/>
          <w:sz w:val="24"/>
          <w:szCs w:val="24"/>
          <w:rtl/>
        </w:rPr>
        <w:t xml:space="preserve">אקדח חצי אוטומטי </w:t>
      </w:r>
      <w:r w:rsidR="00DA7307">
        <w:rPr>
          <w:rFonts w:ascii="Arial" w:hAnsi="Arial" w:cs="David"/>
          <w:sz w:val="24"/>
          <w:szCs w:val="24"/>
        </w:rPr>
        <w:t>BUL</w:t>
      </w:r>
      <w:r w:rsidR="00DA7307">
        <w:rPr>
          <w:rFonts w:ascii="Arial" w:hAnsi="Arial" w:cs="David"/>
          <w:sz w:val="24"/>
          <w:szCs w:val="24"/>
          <w:rtl/>
        </w:rPr>
        <w:t xml:space="preserve">, ומחסנית ריקה המתאימה לאקדח עטופים בניילון נצמד בתוך קופסת מתכת בחדר האמבטיה והחזיק בארון בגדים בחדר השינה קליע בקוטר 9 מ"מ. </w:t>
      </w:r>
      <w:r w:rsidR="00DA7307">
        <w:rPr>
          <w:rFonts w:ascii="David" w:hAnsi="David" w:cs="David"/>
          <w:sz w:val="24"/>
          <w:szCs w:val="24"/>
          <w:rtl/>
        </w:rPr>
        <w:t xml:space="preserve">בית משפט השלום קבע </w:t>
      </w:r>
      <w:r w:rsidR="00DA7307">
        <w:rPr>
          <w:rFonts w:ascii="David" w:hAnsi="David" w:cs="David"/>
          <w:b/>
          <w:bCs/>
          <w:sz w:val="24"/>
          <w:szCs w:val="24"/>
          <w:rtl/>
        </w:rPr>
        <w:t>מתחם עונש הנע בין 14 ל- 30 חודשי מאסר.</w:t>
      </w:r>
      <w:r w:rsidR="00DA7307">
        <w:rPr>
          <w:rFonts w:ascii="Arial" w:hAnsi="Arial" w:cs="David"/>
          <w:sz w:val="24"/>
          <w:szCs w:val="24"/>
          <w:rtl/>
        </w:rPr>
        <w:t xml:space="preserve"> בית המשפט חרג ממתחם העונש משיקולי שיקום והשית על המשיב 9 חודשי מאסר בעבודות שירות. ערעור המדינה על קולת העונש התקבל ועונשו של הנאשם הועמד על 14 חודשי מאסר בפועל. </w:t>
      </w:r>
    </w:p>
    <w:p w14:paraId="3E1A6D33" w14:textId="77777777" w:rsidR="00DA7307" w:rsidRDefault="00DA7307" w:rsidP="00DA7307">
      <w:pPr>
        <w:pStyle w:val="a9"/>
        <w:rPr>
          <w:rFonts w:ascii="Arial" w:hAnsi="Arial" w:cs="David"/>
          <w:sz w:val="24"/>
          <w:szCs w:val="24"/>
        </w:rPr>
      </w:pPr>
    </w:p>
    <w:p w14:paraId="16DC10A0" w14:textId="77777777" w:rsidR="00DA7307" w:rsidRDefault="00DA7307" w:rsidP="00DA7307">
      <w:pPr>
        <w:pStyle w:val="a9"/>
        <w:spacing w:after="0" w:line="360" w:lineRule="auto"/>
        <w:jc w:val="both"/>
        <w:rPr>
          <w:rFonts w:ascii="Arial" w:hAnsi="Arial" w:cs="David"/>
          <w:sz w:val="24"/>
          <w:szCs w:val="24"/>
          <w:rtl/>
        </w:rPr>
      </w:pPr>
    </w:p>
    <w:p w14:paraId="13768E76" w14:textId="77777777" w:rsidR="00DA7307" w:rsidRDefault="00DA7307" w:rsidP="00DA7307">
      <w:pPr>
        <w:pStyle w:val="a9"/>
        <w:spacing w:after="0" w:line="360" w:lineRule="auto"/>
        <w:jc w:val="both"/>
        <w:rPr>
          <w:rFonts w:ascii="Arial" w:hAnsi="Arial" w:cs="David"/>
          <w:sz w:val="24"/>
          <w:szCs w:val="24"/>
          <w:rtl/>
        </w:rPr>
      </w:pPr>
    </w:p>
    <w:p w14:paraId="46441185" w14:textId="77777777" w:rsidR="00DA7307" w:rsidRPr="00DA7307" w:rsidRDefault="00DA7307" w:rsidP="00DA7307">
      <w:pPr>
        <w:rPr>
          <w:rFonts w:ascii="David" w:eastAsia="Calibri" w:hAnsi="David"/>
        </w:rPr>
      </w:pPr>
    </w:p>
    <w:p w14:paraId="3C60EE30" w14:textId="77777777" w:rsidR="00DA7307" w:rsidRDefault="00E716BC" w:rsidP="00DA7307">
      <w:pPr>
        <w:pStyle w:val="a9"/>
        <w:numPr>
          <w:ilvl w:val="0"/>
          <w:numId w:val="3"/>
        </w:numPr>
        <w:spacing w:line="360" w:lineRule="auto"/>
        <w:jc w:val="both"/>
        <w:rPr>
          <w:rFonts w:ascii="David" w:hAnsi="David" w:cs="David"/>
          <w:sz w:val="24"/>
          <w:szCs w:val="24"/>
          <w:rtl/>
        </w:rPr>
      </w:pPr>
      <w:hyperlink r:id="rId29" w:history="1">
        <w:r w:rsidRPr="00E716BC">
          <w:rPr>
            <w:rFonts w:ascii="David" w:hAnsi="David" w:cs="David"/>
            <w:color w:val="0000FF"/>
            <w:sz w:val="24"/>
            <w:szCs w:val="24"/>
            <w:u w:val="single"/>
            <w:rtl/>
          </w:rPr>
          <w:t>ת"פ (מח' מרכז)  46939-09-23</w:t>
        </w:r>
      </w:hyperlink>
      <w:r w:rsidR="00DA7307">
        <w:rPr>
          <w:rFonts w:ascii="David" w:hAnsi="David" w:cs="David"/>
          <w:sz w:val="24"/>
          <w:szCs w:val="24"/>
          <w:rtl/>
        </w:rPr>
        <w:t xml:space="preserve"> </w:t>
      </w:r>
      <w:r w:rsidR="00DA7307">
        <w:rPr>
          <w:rFonts w:ascii="David" w:hAnsi="David" w:cs="David"/>
          <w:b/>
          <w:bCs/>
          <w:sz w:val="24"/>
          <w:szCs w:val="24"/>
          <w:rtl/>
        </w:rPr>
        <w:t>מדינת ישראל נ' צ'קולה</w:t>
      </w:r>
      <w:r w:rsidR="00DA7307">
        <w:rPr>
          <w:rFonts w:ascii="David" w:hAnsi="David" w:cs="David"/>
          <w:sz w:val="24"/>
          <w:szCs w:val="24"/>
          <w:rtl/>
        </w:rPr>
        <w:t xml:space="preserve"> (24.6.2024): </w:t>
      </w:r>
      <w:r w:rsidR="00DA7307">
        <w:rPr>
          <w:rFonts w:cs="David"/>
          <w:sz w:val="24"/>
          <w:szCs w:val="24"/>
          <w:rtl/>
        </w:rPr>
        <w:t xml:space="preserve">הנאשם הורשע על יסוד הודאתו במסגרת הסדר דיוני, בעבירות של החזקת נשק, אביזר ותחמושת שלא כדין, בכך שהחזיק בארון במטבח בדירתו, אקדח מסוג ברטה </w:t>
      </w:r>
      <w:r w:rsidR="00DA7307">
        <w:rPr>
          <w:rFonts w:cs="David"/>
          <w:b/>
          <w:bCs/>
          <w:sz w:val="24"/>
          <w:szCs w:val="24"/>
          <w:rtl/>
        </w:rPr>
        <w:t>טעון במחסנית ריקה</w:t>
      </w:r>
      <w:r w:rsidR="00DA7307">
        <w:rPr>
          <w:rFonts w:cs="David"/>
          <w:sz w:val="24"/>
          <w:szCs w:val="24"/>
          <w:rtl/>
        </w:rPr>
        <w:t xml:space="preserve"> ו-12 כדורי תחמושת וכן הורשע בעבירת סיוע להחזקת סם מסוכן שלא לצריכה עצמית.  </w:t>
      </w:r>
      <w:r w:rsidR="00DA7307">
        <w:rPr>
          <w:rFonts w:ascii="David" w:hAnsi="David" w:cs="David"/>
          <w:b/>
          <w:bCs/>
          <w:sz w:val="24"/>
          <w:szCs w:val="24"/>
          <w:u w:val="single"/>
          <w:rtl/>
        </w:rPr>
        <w:t>בית המשפט קבע, כי במקרים בהם מדובר בהחזקת אקדח טעון המוחזק בבית מתחם העונש ההולם לעבירות הנשק בלבד נע המתחם בין 15 ל-30 חודשי מאסר.</w:t>
      </w:r>
      <w:r w:rsidR="00DA7307">
        <w:rPr>
          <w:rFonts w:ascii="David" w:hAnsi="David" w:cs="David"/>
          <w:sz w:val="24"/>
          <w:szCs w:val="24"/>
          <w:rtl/>
        </w:rPr>
        <w:t xml:space="preserve"> על הנאשם הושתו 33 חודשי מאסר בפועל. ודוק, במקרה זה האקדח נתפס כשהוא טעון במחסנית ריקה, בשונה מהמקרה שבפניי.</w:t>
      </w:r>
    </w:p>
    <w:p w14:paraId="6D9E7D3A" w14:textId="77777777" w:rsidR="00DA7307" w:rsidRDefault="00DA7307" w:rsidP="00DA7307">
      <w:pPr>
        <w:pStyle w:val="a9"/>
        <w:spacing w:line="360" w:lineRule="auto"/>
        <w:jc w:val="both"/>
        <w:rPr>
          <w:rFonts w:ascii="David" w:hAnsi="David" w:cs="David"/>
          <w:sz w:val="24"/>
          <w:szCs w:val="24"/>
          <w:rtl/>
        </w:rPr>
      </w:pPr>
    </w:p>
    <w:p w14:paraId="74371972"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בחינת הפסיקה אשר הוגשה מטעם ב"כ המאשימה כתמיכה לטיעוניה מעלה, כי עסקינן בנסיבות שאינן דומות למקרה דנן, בפרט בכל הנוגע לעבירה בה הורשע הנאשם, סוג הנשק, מיקום תפיסתו ואופן החזקתו, כך למשל: ב</w:t>
      </w:r>
      <w:hyperlink r:id="rId30" w:history="1">
        <w:r w:rsidR="00E716BC" w:rsidRPr="00E716BC">
          <w:rPr>
            <w:rFonts w:ascii="David" w:hAnsi="David" w:cs="David"/>
            <w:color w:val="0000FF"/>
            <w:sz w:val="24"/>
            <w:szCs w:val="24"/>
            <w:u w:val="single"/>
            <w:rtl/>
          </w:rPr>
          <w:t>ע"פ 5602/22</w:t>
        </w:r>
      </w:hyperlink>
      <w:r>
        <w:rPr>
          <w:rFonts w:ascii="David" w:hAnsi="David" w:cs="David"/>
          <w:sz w:val="24"/>
          <w:szCs w:val="24"/>
          <w:rtl/>
        </w:rPr>
        <w:t xml:space="preserve"> </w:t>
      </w:r>
      <w:r>
        <w:rPr>
          <w:rFonts w:ascii="David" w:hAnsi="David" w:cs="David"/>
          <w:b/>
          <w:bCs/>
          <w:sz w:val="24"/>
          <w:szCs w:val="24"/>
          <w:rtl/>
        </w:rPr>
        <w:t xml:space="preserve">מדינת ישראל נ' פלוני </w:t>
      </w:r>
      <w:r>
        <w:rPr>
          <w:rFonts w:ascii="David" w:hAnsi="David" w:cs="David"/>
          <w:sz w:val="24"/>
          <w:szCs w:val="24"/>
          <w:rtl/>
        </w:rPr>
        <w:t xml:space="preserve">(14.9.2022) נקבע מתחם עונש הנע בין 30 ל-42 חודשי מאסר, בגין הרשעה בעבירה של נשיאת נשק במרחב הציבורי ועבירות נוספות. פסיקה נוספת עסקה במקרים בהם הוחזקו נשקים ארוכים ומאולתרים, בהם נקבע מתחם עונש הנע בין 15 ל-30 ועד 36 חודשי מאסר בפועל, המקלים מעתירתה במקרה שבפניי. [ראה </w:t>
      </w:r>
      <w:hyperlink r:id="rId31" w:history="1">
        <w:r w:rsidR="00E716BC" w:rsidRPr="00E716BC">
          <w:rPr>
            <w:rFonts w:ascii="David" w:hAnsi="David" w:cs="David"/>
            <w:color w:val="0000FF"/>
            <w:sz w:val="24"/>
            <w:szCs w:val="24"/>
            <w:u w:val="single"/>
            <w:rtl/>
          </w:rPr>
          <w:t>ע"פ 1826/19</w:t>
        </w:r>
      </w:hyperlink>
      <w:r>
        <w:rPr>
          <w:rFonts w:ascii="David" w:hAnsi="David" w:cs="David"/>
          <w:sz w:val="24"/>
          <w:szCs w:val="24"/>
          <w:rtl/>
        </w:rPr>
        <w:t xml:space="preserve"> </w:t>
      </w:r>
      <w:r>
        <w:rPr>
          <w:rFonts w:ascii="David" w:hAnsi="David" w:cs="David"/>
          <w:b/>
          <w:bCs/>
          <w:sz w:val="24"/>
          <w:szCs w:val="24"/>
          <w:rtl/>
        </w:rPr>
        <w:t>סאמר אבו עסא נ' מדינת ישראל</w:t>
      </w:r>
      <w:r>
        <w:rPr>
          <w:rFonts w:ascii="David" w:hAnsi="David" w:cs="David"/>
          <w:sz w:val="24"/>
          <w:szCs w:val="24"/>
          <w:rtl/>
        </w:rPr>
        <w:t xml:space="preserve"> (11.7.2019); </w:t>
      </w:r>
      <w:hyperlink r:id="rId32" w:history="1">
        <w:r w:rsidR="00E716BC" w:rsidRPr="00E716BC">
          <w:rPr>
            <w:rFonts w:ascii="David" w:hAnsi="David" w:cs="David"/>
            <w:color w:val="0000FF"/>
            <w:sz w:val="24"/>
            <w:szCs w:val="24"/>
            <w:u w:val="single"/>
            <w:rtl/>
          </w:rPr>
          <w:t>ת"פ 42106-01-22</w:t>
        </w:r>
      </w:hyperlink>
      <w:r>
        <w:rPr>
          <w:rFonts w:ascii="David" w:hAnsi="David" w:cs="David"/>
          <w:sz w:val="24"/>
          <w:szCs w:val="24"/>
          <w:rtl/>
        </w:rPr>
        <w:t xml:space="preserve"> (מח' מרכז) </w:t>
      </w:r>
      <w:r>
        <w:rPr>
          <w:rFonts w:ascii="David" w:hAnsi="David" w:cs="David"/>
          <w:b/>
          <w:bCs/>
          <w:sz w:val="24"/>
          <w:szCs w:val="24"/>
          <w:rtl/>
        </w:rPr>
        <w:t>מדינת ישראל נ' וחידי</w:t>
      </w:r>
      <w:r>
        <w:rPr>
          <w:rFonts w:ascii="David" w:hAnsi="David" w:cs="David"/>
          <w:sz w:val="24"/>
          <w:szCs w:val="24"/>
          <w:rtl/>
        </w:rPr>
        <w:t xml:space="preserve"> (13.2.2022); </w:t>
      </w:r>
      <w:hyperlink r:id="rId33" w:history="1">
        <w:r w:rsidR="00E716BC" w:rsidRPr="00E716BC">
          <w:rPr>
            <w:rFonts w:ascii="David" w:hAnsi="David" w:cs="David"/>
            <w:color w:val="0000FF"/>
            <w:sz w:val="24"/>
            <w:szCs w:val="24"/>
            <w:u w:val="single"/>
            <w:rtl/>
          </w:rPr>
          <w:t>ע"פ 3853/20</w:t>
        </w:r>
      </w:hyperlink>
      <w:r>
        <w:rPr>
          <w:rFonts w:ascii="David" w:hAnsi="David" w:cs="David"/>
          <w:sz w:val="24"/>
          <w:szCs w:val="24"/>
          <w:rtl/>
        </w:rPr>
        <w:t xml:space="preserve"> </w:t>
      </w:r>
      <w:r>
        <w:rPr>
          <w:rFonts w:ascii="David" w:hAnsi="David" w:cs="David"/>
          <w:b/>
          <w:bCs/>
          <w:sz w:val="24"/>
          <w:szCs w:val="24"/>
          <w:rtl/>
        </w:rPr>
        <w:t xml:space="preserve">מדינת ישראל נ' מוגרבי </w:t>
      </w:r>
      <w:r>
        <w:rPr>
          <w:rFonts w:ascii="David" w:hAnsi="David" w:cs="David"/>
          <w:sz w:val="24"/>
          <w:szCs w:val="24"/>
          <w:rtl/>
        </w:rPr>
        <w:t xml:space="preserve">(29.11.2020)]. </w:t>
      </w:r>
    </w:p>
    <w:p w14:paraId="00D82287" w14:textId="77777777" w:rsidR="00DA7307" w:rsidRDefault="00DA7307" w:rsidP="00DA7307">
      <w:pPr>
        <w:pStyle w:val="a9"/>
        <w:spacing w:line="360" w:lineRule="auto"/>
        <w:jc w:val="both"/>
        <w:rPr>
          <w:rFonts w:ascii="David" w:hAnsi="David" w:cs="David"/>
          <w:sz w:val="24"/>
          <w:szCs w:val="24"/>
        </w:rPr>
      </w:pPr>
    </w:p>
    <w:p w14:paraId="7EB14F1C"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sz w:val="24"/>
          <w:szCs w:val="24"/>
          <w:rtl/>
        </w:rPr>
        <w:t>הנחיית פרקליט המדינה 9.16 – "מדיניות ענישה בעבירות נשק ומטעני חבלה" (7.8.2016, עדכון אחרון י"ב באדר א' תשפ"ב, 13 פברואר 2022) אליה הפנתה ב"כ המאשימה בטיעוניה, קובעת בסעיף 23(3) כי "מתחם המוצא" לו תעתור המאשימה בעבירה של החזקת אקדח נע בין 18 לבין 36 חודשי מאסר בפועל ולא כפי שעתרה</w:t>
      </w:r>
      <w:r>
        <w:rPr>
          <w:rFonts w:ascii="David" w:hAnsi="David" w:cs="David" w:hint="cs"/>
          <w:sz w:val="24"/>
          <w:szCs w:val="24"/>
          <w:rtl/>
        </w:rPr>
        <w:t xml:space="preserve"> ב"כ המאשימה</w:t>
      </w:r>
      <w:r>
        <w:rPr>
          <w:rFonts w:ascii="David" w:hAnsi="David" w:cs="David"/>
          <w:sz w:val="24"/>
          <w:szCs w:val="24"/>
          <w:rtl/>
        </w:rPr>
        <w:t xml:space="preserve"> בטיעוניה</w:t>
      </w:r>
      <w:r>
        <w:rPr>
          <w:rFonts w:ascii="David" w:hAnsi="David" w:cs="David" w:hint="cs"/>
          <w:sz w:val="24"/>
          <w:szCs w:val="24"/>
          <w:rtl/>
        </w:rPr>
        <w:t>,</w:t>
      </w:r>
      <w:r>
        <w:rPr>
          <w:rFonts w:ascii="David" w:hAnsi="David" w:cs="David"/>
          <w:sz w:val="24"/>
          <w:szCs w:val="24"/>
          <w:rtl/>
        </w:rPr>
        <w:t xml:space="preserve"> למתחם הנע בין 24 ל</w:t>
      </w:r>
      <w:r>
        <w:rPr>
          <w:rFonts w:ascii="David" w:hAnsi="David" w:cs="David" w:hint="cs"/>
          <w:sz w:val="24"/>
          <w:szCs w:val="24"/>
          <w:rtl/>
        </w:rPr>
        <w:t>-</w:t>
      </w:r>
      <w:r>
        <w:rPr>
          <w:rFonts w:ascii="David" w:hAnsi="David" w:cs="David"/>
          <w:sz w:val="24"/>
          <w:szCs w:val="24"/>
          <w:rtl/>
        </w:rPr>
        <w:t xml:space="preserve"> 42 חודשי מאסר. </w:t>
      </w:r>
    </w:p>
    <w:p w14:paraId="7334DC9B" w14:textId="77777777" w:rsidR="00DA7307" w:rsidRDefault="00DA7307" w:rsidP="00DA7307">
      <w:pPr>
        <w:pStyle w:val="a9"/>
        <w:spacing w:line="360" w:lineRule="auto"/>
        <w:jc w:val="both"/>
        <w:rPr>
          <w:rFonts w:ascii="David" w:hAnsi="David" w:cs="David"/>
          <w:sz w:val="24"/>
          <w:szCs w:val="24"/>
        </w:rPr>
      </w:pPr>
    </w:p>
    <w:p w14:paraId="4E002037" w14:textId="77777777" w:rsidR="00DA7307" w:rsidRPr="009D0FA7" w:rsidRDefault="00DA7307" w:rsidP="00DA7307">
      <w:pPr>
        <w:pStyle w:val="a9"/>
        <w:numPr>
          <w:ilvl w:val="0"/>
          <w:numId w:val="2"/>
        </w:numPr>
        <w:spacing w:line="360" w:lineRule="auto"/>
        <w:jc w:val="both"/>
        <w:rPr>
          <w:rFonts w:ascii="David" w:eastAsia="David" w:hAnsi="David" w:cs="David"/>
          <w:b/>
          <w:bCs/>
          <w:sz w:val="24"/>
          <w:szCs w:val="24"/>
          <w:u w:val="single"/>
        </w:rPr>
      </w:pPr>
      <w:r>
        <w:rPr>
          <w:rFonts w:ascii="David" w:eastAsia="David" w:hAnsi="David" w:cs="David"/>
          <w:sz w:val="24"/>
          <w:szCs w:val="24"/>
          <w:rtl/>
        </w:rPr>
        <w:t>מנגד, פסיקה אשר הוגשה מטעם ההגנה עוסקת במקרים בהם נסיבות ביצוע העבירה קלות מעניינ</w:t>
      </w:r>
      <w:r>
        <w:rPr>
          <w:rFonts w:ascii="David" w:eastAsia="David" w:hAnsi="David" w:cs="David" w:hint="cs"/>
          <w:sz w:val="24"/>
          <w:szCs w:val="24"/>
          <w:rtl/>
        </w:rPr>
        <w:t>נ</w:t>
      </w:r>
      <w:r>
        <w:rPr>
          <w:rFonts w:ascii="David" w:eastAsia="David" w:hAnsi="David" w:cs="David"/>
          <w:sz w:val="24"/>
          <w:szCs w:val="24"/>
          <w:rtl/>
        </w:rPr>
        <w:t xml:space="preserve">ו ולחלופין במקרים בהם הוגש ערעור על פסקי הדין שהוגשו אך לא צורפו לפסיקה שהוגשה. כך למשל:  </w:t>
      </w:r>
      <w:r>
        <w:rPr>
          <w:rFonts w:ascii="David" w:hAnsi="David" w:cs="David"/>
          <w:color w:val="000000"/>
          <w:sz w:val="24"/>
          <w:szCs w:val="24"/>
          <w:rtl/>
        </w:rPr>
        <w:t>הוגש פסק הדין ב</w:t>
      </w:r>
      <w:hyperlink r:id="rId34" w:history="1">
        <w:r w:rsidR="00E716BC" w:rsidRPr="00E716BC">
          <w:rPr>
            <w:rFonts w:ascii="David" w:hAnsi="David" w:cs="David"/>
            <w:color w:val="0000FF"/>
            <w:sz w:val="24"/>
            <w:szCs w:val="24"/>
            <w:u w:val="single"/>
            <w:rtl/>
          </w:rPr>
          <w:t>ת"פ (שלום בנוף הגליל נצרת) 14802-02-23</w:t>
        </w:r>
      </w:hyperlink>
      <w:r>
        <w:rPr>
          <w:rFonts w:ascii="David" w:hAnsi="David" w:cs="David"/>
          <w:color w:val="000000"/>
          <w:sz w:val="24"/>
          <w:szCs w:val="24"/>
          <w:rtl/>
        </w:rPr>
        <w:t xml:space="preserve"> </w:t>
      </w:r>
      <w:r>
        <w:rPr>
          <w:rFonts w:ascii="David" w:hAnsi="David" w:cs="David"/>
          <w:b/>
          <w:bCs/>
          <w:color w:val="000000"/>
          <w:sz w:val="24"/>
          <w:szCs w:val="24"/>
          <w:rtl/>
        </w:rPr>
        <w:t>עותמאן נ' מדינת ישראל (</w:t>
      </w:r>
      <w:r>
        <w:rPr>
          <w:rFonts w:ascii="David" w:hAnsi="David" w:cs="David"/>
          <w:color w:val="000000"/>
          <w:sz w:val="24"/>
          <w:szCs w:val="24"/>
          <w:rtl/>
        </w:rPr>
        <w:t>15.4.2024)</w:t>
      </w:r>
      <w:r>
        <w:rPr>
          <w:rFonts w:ascii="David" w:eastAsia="David" w:hAnsi="David" w:cs="David"/>
          <w:sz w:val="24"/>
          <w:szCs w:val="24"/>
          <w:rtl/>
        </w:rPr>
        <w:t xml:space="preserve"> שם נקבע מתחם עונש הנע בין 11 ל-24 חודשי מאסר. ואולם, על תיק זה הוגש ערעור מטעם הנאשמת לבית המשפט המחוזי, בו </w:t>
      </w:r>
      <w:r w:rsidRPr="009D0FA7">
        <w:rPr>
          <w:rFonts w:ascii="David" w:eastAsia="David" w:hAnsi="David" w:cs="David"/>
          <w:b/>
          <w:bCs/>
          <w:sz w:val="24"/>
          <w:szCs w:val="24"/>
          <w:rtl/>
        </w:rPr>
        <w:t>נקבע כי מתחם העונש שהציג בית משפט השלום נוטה לקולא בשים לב לפסיקה הנוהגת בעבירות נשק</w:t>
      </w:r>
      <w:r>
        <w:rPr>
          <w:rFonts w:ascii="David" w:eastAsia="David" w:hAnsi="David" w:cs="David"/>
          <w:sz w:val="24"/>
          <w:szCs w:val="24"/>
          <w:rtl/>
        </w:rPr>
        <w:t xml:space="preserve"> [</w:t>
      </w:r>
      <w:hyperlink r:id="rId35" w:history="1">
        <w:r w:rsidR="00E716BC" w:rsidRPr="00E716BC">
          <w:rPr>
            <w:rFonts w:ascii="David" w:eastAsia="David" w:hAnsi="David" w:cs="David"/>
            <w:color w:val="0000FF"/>
            <w:sz w:val="24"/>
            <w:szCs w:val="24"/>
            <w:u w:val="single"/>
            <w:rtl/>
          </w:rPr>
          <w:t>עפ"ג (מח' נצרת) 60835-05-24</w:t>
        </w:r>
      </w:hyperlink>
      <w:r>
        <w:rPr>
          <w:rFonts w:ascii="David" w:eastAsia="David" w:hAnsi="David" w:cs="David"/>
          <w:sz w:val="24"/>
          <w:szCs w:val="24"/>
          <w:rtl/>
        </w:rPr>
        <w:t xml:space="preserve"> </w:t>
      </w:r>
      <w:r>
        <w:rPr>
          <w:rFonts w:ascii="David" w:eastAsia="David" w:hAnsi="David" w:cs="David"/>
          <w:b/>
          <w:bCs/>
          <w:sz w:val="24"/>
          <w:szCs w:val="24"/>
          <w:rtl/>
        </w:rPr>
        <w:t>עותמאן נ' מדינת ישראל</w:t>
      </w:r>
      <w:r>
        <w:rPr>
          <w:rFonts w:ascii="David" w:eastAsia="David" w:hAnsi="David" w:cs="David"/>
          <w:sz w:val="24"/>
          <w:szCs w:val="24"/>
          <w:rtl/>
        </w:rPr>
        <w:t xml:space="preserve"> (10.9.2024)]. בקשת רשות ערעור לבית המשפט העליון, נדחתה [</w:t>
      </w:r>
      <w:hyperlink r:id="rId36" w:history="1">
        <w:r w:rsidR="00E716BC" w:rsidRPr="00E716BC">
          <w:rPr>
            <w:rFonts w:ascii="David" w:eastAsia="David" w:hAnsi="David" w:cs="David"/>
            <w:color w:val="0000FF"/>
            <w:sz w:val="24"/>
            <w:szCs w:val="24"/>
            <w:u w:val="single"/>
            <w:rtl/>
          </w:rPr>
          <w:t>רע"פ 22180-10-24</w:t>
        </w:r>
      </w:hyperlink>
      <w:r>
        <w:rPr>
          <w:rFonts w:ascii="David" w:eastAsia="David" w:hAnsi="David" w:cs="David"/>
          <w:sz w:val="24"/>
          <w:szCs w:val="24"/>
          <w:rtl/>
        </w:rPr>
        <w:t xml:space="preserve"> </w:t>
      </w:r>
      <w:r>
        <w:rPr>
          <w:rFonts w:ascii="David" w:eastAsia="David" w:hAnsi="David" w:cs="David"/>
          <w:b/>
          <w:bCs/>
          <w:sz w:val="24"/>
          <w:szCs w:val="24"/>
          <w:rtl/>
        </w:rPr>
        <w:t>עותמאן נ' מדינת ישראל</w:t>
      </w:r>
      <w:r>
        <w:rPr>
          <w:rFonts w:ascii="David" w:eastAsia="David" w:hAnsi="David" w:cs="David"/>
          <w:sz w:val="24"/>
          <w:szCs w:val="24"/>
          <w:rtl/>
        </w:rPr>
        <w:t xml:space="preserve"> (14.10.2024)].</w:t>
      </w:r>
    </w:p>
    <w:p w14:paraId="75E0CC32" w14:textId="77777777" w:rsidR="00DA7307" w:rsidRDefault="00DA7307" w:rsidP="00DA7307">
      <w:pPr>
        <w:pStyle w:val="a9"/>
        <w:numPr>
          <w:ilvl w:val="0"/>
          <w:numId w:val="2"/>
        </w:numPr>
        <w:spacing w:line="360" w:lineRule="auto"/>
        <w:jc w:val="both"/>
        <w:rPr>
          <w:rFonts w:ascii="David" w:eastAsia="David" w:hAnsi="David" w:cs="David"/>
          <w:b/>
          <w:bCs/>
          <w:sz w:val="24"/>
          <w:szCs w:val="24"/>
          <w:u w:val="single"/>
        </w:rPr>
      </w:pPr>
      <w:r>
        <w:rPr>
          <w:rFonts w:ascii="David" w:eastAsia="David" w:hAnsi="David" w:cs="David"/>
          <w:sz w:val="24"/>
          <w:szCs w:val="24"/>
          <w:rtl/>
        </w:rPr>
        <w:t xml:space="preserve">הוגש </w:t>
      </w:r>
      <w:hyperlink r:id="rId37" w:history="1">
        <w:r w:rsidR="00E716BC" w:rsidRPr="00E716BC">
          <w:rPr>
            <w:rFonts w:ascii="David" w:eastAsia="David" w:hAnsi="David" w:cs="David"/>
            <w:color w:val="0000FF"/>
            <w:sz w:val="24"/>
            <w:szCs w:val="24"/>
            <w:u w:val="single"/>
            <w:rtl/>
          </w:rPr>
          <w:t>עפ"ג (מח' חיפה) 28287-02-21</w:t>
        </w:r>
      </w:hyperlink>
      <w:r>
        <w:rPr>
          <w:rFonts w:ascii="David" w:eastAsia="David" w:hAnsi="David" w:cs="David"/>
          <w:sz w:val="24"/>
          <w:szCs w:val="24"/>
          <w:rtl/>
        </w:rPr>
        <w:t xml:space="preserve"> </w:t>
      </w:r>
      <w:r>
        <w:rPr>
          <w:rFonts w:ascii="David" w:eastAsia="David" w:hAnsi="David" w:cs="David"/>
          <w:b/>
          <w:bCs/>
          <w:sz w:val="24"/>
          <w:szCs w:val="24"/>
          <w:rtl/>
        </w:rPr>
        <w:t>מדינת ישראל נ' אבו הלאל ואח'</w:t>
      </w:r>
      <w:r>
        <w:rPr>
          <w:rFonts w:ascii="David" w:eastAsia="David" w:hAnsi="David" w:cs="David"/>
          <w:sz w:val="24"/>
          <w:szCs w:val="24"/>
          <w:rtl/>
        </w:rPr>
        <w:t xml:space="preserve"> (22.4.2021), שם התקבל ערעור המדינה על קולת העונש ונקבע מתחם הנע בין 10 ל-24 חודשי מאסר בהחזקת שני נשקי "קרלו" מאולתרים ומחסנית מתחת למשטחי עץ בסמוך לבית המצוי בשלבי בניה. בית משפט העמיד את עונשם של הנאשמים על 10 חודשי מאסר בפועל חלף 9 חודשי מאסר בעבודות שירות. על פסק דין זה, הוגשה  בקשת רשות ערעור לבית המשפט העליון שנדחתה, </w:t>
      </w:r>
      <w:r>
        <w:rPr>
          <w:rFonts w:ascii="David" w:eastAsia="David" w:hAnsi="David" w:cs="David"/>
          <w:b/>
          <w:bCs/>
          <w:sz w:val="24"/>
          <w:szCs w:val="24"/>
          <w:rtl/>
        </w:rPr>
        <w:t>ונקבע כי העונשים שנגזרו על הנאשמים מקלים ואינם משקפים את מדיניות הענישה הנוהגת.</w:t>
      </w:r>
      <w:r>
        <w:rPr>
          <w:rFonts w:ascii="David" w:eastAsia="David" w:hAnsi="David" w:cs="David"/>
          <w:sz w:val="24"/>
          <w:szCs w:val="24"/>
          <w:rtl/>
        </w:rPr>
        <w:t xml:space="preserve"> [</w:t>
      </w:r>
      <w:hyperlink r:id="rId38" w:history="1">
        <w:r w:rsidR="00E716BC" w:rsidRPr="00E716BC">
          <w:rPr>
            <w:rFonts w:ascii="David" w:eastAsia="David" w:hAnsi="David" w:cs="David"/>
            <w:color w:val="0000FF"/>
            <w:sz w:val="24"/>
            <w:szCs w:val="24"/>
            <w:u w:val="single"/>
            <w:rtl/>
          </w:rPr>
          <w:t>רע"פ 3619/21</w:t>
        </w:r>
      </w:hyperlink>
      <w:r>
        <w:rPr>
          <w:rFonts w:ascii="David" w:eastAsia="David" w:hAnsi="David" w:cs="David"/>
          <w:sz w:val="24"/>
          <w:szCs w:val="24"/>
          <w:rtl/>
        </w:rPr>
        <w:t xml:space="preserve"> </w:t>
      </w:r>
      <w:r>
        <w:rPr>
          <w:rFonts w:ascii="David" w:eastAsia="David" w:hAnsi="David" w:cs="David"/>
          <w:b/>
          <w:bCs/>
          <w:sz w:val="24"/>
          <w:szCs w:val="24"/>
          <w:rtl/>
        </w:rPr>
        <w:t xml:space="preserve">אבו הלאל ואח' נ' מדינת ישראל </w:t>
      </w:r>
      <w:r>
        <w:rPr>
          <w:rFonts w:ascii="David" w:eastAsia="David" w:hAnsi="David" w:cs="David"/>
          <w:sz w:val="24"/>
          <w:szCs w:val="24"/>
          <w:rtl/>
        </w:rPr>
        <w:t>(26.5.2021)</w:t>
      </w:r>
      <w:r>
        <w:rPr>
          <w:rFonts w:ascii="David" w:eastAsia="David" w:hAnsi="David" w:cs="David" w:hint="cs"/>
          <w:sz w:val="24"/>
          <w:szCs w:val="24"/>
          <w:rtl/>
        </w:rPr>
        <w:t>]</w:t>
      </w:r>
      <w:r>
        <w:rPr>
          <w:rFonts w:ascii="David" w:eastAsia="David" w:hAnsi="David" w:cs="David"/>
          <w:sz w:val="24"/>
          <w:szCs w:val="24"/>
          <w:rtl/>
        </w:rPr>
        <w:t>.</w:t>
      </w:r>
    </w:p>
    <w:p w14:paraId="4C06A1C9" w14:textId="77777777" w:rsidR="00DA7307" w:rsidRDefault="00DA7307" w:rsidP="00DA7307">
      <w:pPr>
        <w:pStyle w:val="a9"/>
        <w:rPr>
          <w:rFonts w:ascii="David" w:eastAsia="David" w:hAnsi="David" w:cs="David"/>
          <w:b/>
          <w:bCs/>
          <w:sz w:val="24"/>
          <w:szCs w:val="24"/>
          <w:u w:val="single"/>
        </w:rPr>
      </w:pPr>
    </w:p>
    <w:p w14:paraId="35796D2B"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eastAsia="David" w:hAnsi="David" w:cs="David"/>
          <w:sz w:val="24"/>
          <w:szCs w:val="24"/>
          <w:rtl/>
        </w:rPr>
        <w:t xml:space="preserve">הוגש </w:t>
      </w:r>
      <w:hyperlink r:id="rId39" w:history="1">
        <w:r w:rsidR="00E716BC" w:rsidRPr="00E716BC">
          <w:rPr>
            <w:rFonts w:ascii="David" w:eastAsia="David" w:hAnsi="David" w:cs="David"/>
            <w:color w:val="0000FF"/>
            <w:sz w:val="24"/>
            <w:szCs w:val="24"/>
            <w:u w:val="single"/>
            <w:rtl/>
          </w:rPr>
          <w:t>ת"פ (רמלה) 13478-06-19</w:t>
        </w:r>
      </w:hyperlink>
      <w:r>
        <w:rPr>
          <w:rFonts w:ascii="David" w:eastAsia="David" w:hAnsi="David" w:cs="David"/>
          <w:sz w:val="24"/>
          <w:szCs w:val="24"/>
          <w:rtl/>
        </w:rPr>
        <w:t xml:space="preserve"> </w:t>
      </w:r>
      <w:r>
        <w:rPr>
          <w:rFonts w:ascii="David" w:eastAsia="David" w:hAnsi="David" w:cs="David"/>
          <w:b/>
          <w:bCs/>
          <w:sz w:val="24"/>
          <w:szCs w:val="24"/>
          <w:rtl/>
        </w:rPr>
        <w:t>מדינת ישראל נ' אלשמאלי ואח'</w:t>
      </w:r>
      <w:r>
        <w:rPr>
          <w:rFonts w:ascii="David" w:eastAsia="David" w:hAnsi="David" w:cs="David"/>
          <w:sz w:val="24"/>
          <w:szCs w:val="24"/>
          <w:rtl/>
        </w:rPr>
        <w:t xml:space="preserve"> (28.1.2021), שם נקבע מתחם עונש הנע בין 8 ל-18 חודשי מאסר בגין החזקת נשק מאולתר דמוי רובה סער טעון במחסנית, בבית העלמין, על רקע סכסוך משפחות. הנאשמים נדונו </w:t>
      </w:r>
      <w:r>
        <w:rPr>
          <w:rFonts w:ascii="David" w:hAnsi="David" w:cs="David"/>
          <w:sz w:val="24"/>
          <w:szCs w:val="24"/>
          <w:rtl/>
        </w:rPr>
        <w:t>ל-11 חודשי מאסר. על תיק זה הוגשו ערעורים הן מטעם הנאשמים והן מטעם המדינה. בית המשפט המחוזי קבע, כי ניתן משקל יתר לפציעת הנאשמים ולטענת ההגנה העצמית,</w:t>
      </w:r>
      <w:r>
        <w:rPr>
          <w:rFonts w:ascii="David" w:hAnsi="David" w:cs="David"/>
          <w:b/>
          <w:bCs/>
          <w:sz w:val="24"/>
          <w:szCs w:val="24"/>
          <w:rtl/>
        </w:rPr>
        <w:t xml:space="preserve"> כמו גם כי מתחם העונש שנקבע מקל ואינו מבטא את מדיניות הענישה הנוהגת</w:t>
      </w:r>
      <w:r>
        <w:rPr>
          <w:rFonts w:ascii="David" w:hAnsi="David" w:cs="David"/>
          <w:sz w:val="24"/>
          <w:szCs w:val="24"/>
          <w:rtl/>
        </w:rPr>
        <w:t xml:space="preserve"> והערעורים נדחו בהסכמת הצדדים.  [</w:t>
      </w:r>
      <w:hyperlink r:id="rId40" w:history="1">
        <w:r w:rsidR="00E716BC" w:rsidRPr="00E716BC">
          <w:rPr>
            <w:rFonts w:ascii="David" w:hAnsi="David" w:cs="David"/>
            <w:color w:val="0000FF"/>
            <w:sz w:val="24"/>
            <w:szCs w:val="24"/>
            <w:u w:val="single"/>
            <w:rtl/>
          </w:rPr>
          <w:t>עפ"ג (מחו' מרכז) 30632-03-21</w:t>
        </w:r>
      </w:hyperlink>
      <w:r>
        <w:rPr>
          <w:rFonts w:ascii="David" w:hAnsi="David" w:cs="David"/>
          <w:sz w:val="24"/>
          <w:szCs w:val="24"/>
          <w:rtl/>
        </w:rPr>
        <w:t xml:space="preserve">, 30639-03-21 אלשמאלי נ' מדינת ישראל, </w:t>
      </w:r>
      <w:hyperlink r:id="rId41" w:history="1">
        <w:r w:rsidR="00E716BC" w:rsidRPr="00E716BC">
          <w:rPr>
            <w:rFonts w:ascii="David" w:hAnsi="David" w:cs="David"/>
            <w:color w:val="0000FF"/>
            <w:sz w:val="24"/>
            <w:szCs w:val="24"/>
            <w:u w:val="single"/>
            <w:rtl/>
          </w:rPr>
          <w:t>עפ"ג 16368-03-21</w:t>
        </w:r>
      </w:hyperlink>
      <w:r>
        <w:rPr>
          <w:rFonts w:ascii="David" w:hAnsi="David" w:cs="David"/>
          <w:sz w:val="24"/>
          <w:szCs w:val="24"/>
          <w:rtl/>
        </w:rPr>
        <w:t xml:space="preserve"> </w:t>
      </w:r>
      <w:r>
        <w:rPr>
          <w:rFonts w:ascii="David" w:hAnsi="David" w:cs="David"/>
          <w:b/>
          <w:bCs/>
          <w:sz w:val="24"/>
          <w:szCs w:val="24"/>
          <w:rtl/>
        </w:rPr>
        <w:t>מדינת ישראל נ' אלשמאלי ואח'</w:t>
      </w:r>
      <w:r>
        <w:rPr>
          <w:rFonts w:ascii="David" w:hAnsi="David" w:cs="David"/>
          <w:sz w:val="24"/>
          <w:szCs w:val="24"/>
          <w:rtl/>
        </w:rPr>
        <w:t xml:space="preserve"> (19.9.2021)]. </w:t>
      </w:r>
    </w:p>
    <w:p w14:paraId="0E5DD999" w14:textId="77777777" w:rsidR="00DA7307" w:rsidRDefault="00DA7307" w:rsidP="00DA7307">
      <w:pPr>
        <w:pStyle w:val="a9"/>
        <w:rPr>
          <w:rFonts w:ascii="David" w:hAnsi="David" w:cs="David"/>
          <w:sz w:val="24"/>
          <w:szCs w:val="24"/>
        </w:rPr>
      </w:pPr>
    </w:p>
    <w:p w14:paraId="4171874B"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הוגש </w:t>
      </w:r>
      <w:hyperlink r:id="rId42" w:history="1">
        <w:r w:rsidR="00E716BC" w:rsidRPr="00E716BC">
          <w:rPr>
            <w:rFonts w:ascii="David" w:hAnsi="David" w:cs="David"/>
            <w:color w:val="0000FF"/>
            <w:sz w:val="24"/>
            <w:szCs w:val="24"/>
            <w:u w:val="single"/>
            <w:rtl/>
          </w:rPr>
          <w:t>ע"פ 6332-22</w:t>
        </w:r>
      </w:hyperlink>
      <w:r>
        <w:rPr>
          <w:rFonts w:ascii="David" w:hAnsi="David" w:cs="David"/>
          <w:sz w:val="24"/>
          <w:szCs w:val="24"/>
          <w:rtl/>
        </w:rPr>
        <w:t xml:space="preserve"> </w:t>
      </w:r>
      <w:r>
        <w:rPr>
          <w:rFonts w:ascii="David" w:hAnsi="David" w:cs="David"/>
          <w:b/>
          <w:bCs/>
          <w:sz w:val="24"/>
          <w:szCs w:val="24"/>
          <w:rtl/>
        </w:rPr>
        <w:t>אסף פדידה נ' מדינת ישראל</w:t>
      </w:r>
      <w:r>
        <w:rPr>
          <w:rFonts w:ascii="David" w:hAnsi="David" w:cs="David"/>
          <w:sz w:val="24"/>
          <w:szCs w:val="24"/>
          <w:rtl/>
        </w:rPr>
        <w:t xml:space="preserve"> (16.2.2023), שם</w:t>
      </w:r>
      <w:r>
        <w:rPr>
          <w:rFonts w:ascii="David" w:hAnsi="David"/>
          <w:rtl/>
        </w:rPr>
        <w:t xml:space="preserve"> </w:t>
      </w:r>
      <w:r>
        <w:rPr>
          <w:rFonts w:ascii="David" w:hAnsi="David" w:cs="David"/>
          <w:sz w:val="24"/>
          <w:szCs w:val="24"/>
          <w:rtl/>
        </w:rPr>
        <w:t xml:space="preserve">נדון נאשם בגין החזקת אקדח הזנקה מוסב ובו מחסנית שהוחבאו בתיק מתחת למושב המשאית בה נהג. נקבע מתחם עונש הולם הנע בין 11 ל-30 חודשי מאסר בפועל והנאשם נדון ל-11 חודשי מאסר, בהינתן סוג הנשק שאינו התקפי אך טעון במחסנית. ערעור לבית המשפט העליון התקבל ועונשו הוקל לתשעה חודשי מאסר לריצוי בעבודות שירות, בין היתר </w:t>
      </w:r>
      <w:r>
        <w:rPr>
          <w:rFonts w:ascii="David" w:hAnsi="David" w:cs="David"/>
          <w:b/>
          <w:bCs/>
          <w:sz w:val="24"/>
          <w:szCs w:val="24"/>
          <w:rtl/>
        </w:rPr>
        <w:t>לאור הקשיים הראייתיים</w:t>
      </w:r>
      <w:r>
        <w:rPr>
          <w:rFonts w:ascii="David" w:hAnsi="David" w:cs="David"/>
          <w:sz w:val="24"/>
          <w:szCs w:val="24"/>
          <w:rtl/>
        </w:rPr>
        <w:t xml:space="preserve">, שיקולי שיקום מיוחדים ונסיבות חייו הקשות, תוך שצוין, כי </w:t>
      </w:r>
      <w:r>
        <w:rPr>
          <w:rFonts w:ascii="David" w:hAnsi="David" w:cs="David"/>
          <w:b/>
          <w:bCs/>
          <w:color w:val="000000"/>
          <w:sz w:val="24"/>
          <w:szCs w:val="24"/>
          <w:rtl/>
        </w:rPr>
        <w:t>מדובר במקרה חריג.</w:t>
      </w:r>
      <w:r>
        <w:rPr>
          <w:rFonts w:ascii="David" w:hAnsi="David" w:cs="David"/>
          <w:color w:val="000000"/>
          <w:sz w:val="24"/>
          <w:szCs w:val="24"/>
          <w:rtl/>
        </w:rPr>
        <w:t xml:space="preserve"> </w:t>
      </w:r>
    </w:p>
    <w:p w14:paraId="3B601160" w14:textId="77777777" w:rsidR="00DA7307" w:rsidRDefault="00DA7307" w:rsidP="00DA7307">
      <w:pPr>
        <w:pStyle w:val="a9"/>
        <w:rPr>
          <w:rFonts w:ascii="David" w:hAnsi="David" w:cs="David"/>
          <w:sz w:val="24"/>
          <w:szCs w:val="24"/>
        </w:rPr>
      </w:pPr>
    </w:p>
    <w:p w14:paraId="6F877480" w14:textId="77777777" w:rsidR="00DA7307" w:rsidRDefault="00DA7307" w:rsidP="00DA7307">
      <w:pPr>
        <w:pStyle w:val="a9"/>
        <w:numPr>
          <w:ilvl w:val="0"/>
          <w:numId w:val="2"/>
        </w:numPr>
        <w:spacing w:line="360" w:lineRule="auto"/>
        <w:jc w:val="both"/>
        <w:rPr>
          <w:rFonts w:ascii="David" w:hAnsi="David" w:cs="David"/>
          <w:color w:val="000000"/>
          <w:sz w:val="24"/>
          <w:szCs w:val="24"/>
          <w:rtl/>
        </w:rPr>
      </w:pPr>
      <w:r>
        <w:rPr>
          <w:rFonts w:ascii="David" w:hAnsi="David" w:cs="David"/>
          <w:color w:val="000000"/>
          <w:sz w:val="24"/>
          <w:szCs w:val="24"/>
          <w:rtl/>
        </w:rPr>
        <w:t>ב</w:t>
      </w:r>
      <w:hyperlink r:id="rId43" w:history="1">
        <w:r w:rsidR="00E716BC" w:rsidRPr="00E716BC">
          <w:rPr>
            <w:rFonts w:ascii="David" w:hAnsi="David" w:cs="David"/>
            <w:color w:val="0000FF"/>
            <w:sz w:val="24"/>
            <w:szCs w:val="24"/>
            <w:u w:val="single"/>
            <w:rtl/>
          </w:rPr>
          <w:t>ת"פ 36267-12-23</w:t>
        </w:r>
      </w:hyperlink>
      <w:r>
        <w:rPr>
          <w:rFonts w:ascii="David" w:hAnsi="David" w:cs="David"/>
          <w:color w:val="000000"/>
          <w:sz w:val="24"/>
          <w:szCs w:val="24"/>
          <w:rtl/>
        </w:rPr>
        <w:t xml:space="preserve"> (שלום אשקלון) </w:t>
      </w:r>
      <w:r>
        <w:rPr>
          <w:rFonts w:ascii="David" w:hAnsi="David" w:cs="David"/>
          <w:b/>
          <w:bCs/>
          <w:color w:val="000000"/>
          <w:sz w:val="24"/>
          <w:szCs w:val="24"/>
          <w:rtl/>
        </w:rPr>
        <w:t>מדינת ישראל נ' חטב</w:t>
      </w:r>
      <w:r>
        <w:rPr>
          <w:rFonts w:ascii="David" w:hAnsi="David" w:cs="David"/>
          <w:color w:val="000000"/>
          <w:sz w:val="24"/>
          <w:szCs w:val="24"/>
          <w:rtl/>
        </w:rPr>
        <w:t xml:space="preserve"> (25.11.2024), נדון נאשם שהחזיק בביתו בתוך ארון בגדים באקדח ומחסנית תואמת ובה 11 כדורי 9 מ"מ בתוך תיק נשיאה, עטוף בגרב ובכפפה. נקבע מתחם עונש הולם הנע בין 11 חודשי מאסר לבין 36 חודשי מאסר בפועל ונגזר עונש בן 12 חודשי מאסר בפועל. בשונה מהמקרה שבפניי, אין מדובר באקדח טעון במחסנית עם כדורים. </w:t>
      </w:r>
    </w:p>
    <w:p w14:paraId="3A8D5088" w14:textId="77777777" w:rsidR="00DA7307" w:rsidRPr="00DA7307" w:rsidRDefault="00DA7307" w:rsidP="00DA7307">
      <w:pPr>
        <w:pStyle w:val="a9"/>
        <w:rPr>
          <w:rFonts w:ascii="David" w:hAnsi="David" w:cs="David"/>
          <w:b/>
          <w:bCs/>
          <w:sz w:val="24"/>
          <w:szCs w:val="24"/>
        </w:rPr>
      </w:pPr>
    </w:p>
    <w:p w14:paraId="5A5738F6"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b/>
          <w:bCs/>
          <w:sz w:val="24"/>
          <w:szCs w:val="24"/>
          <w:rtl/>
        </w:rPr>
        <w:t>לאור עקרון ההלימה, לאחר שנתתי דעתי לערכים החברתיים המוגנים, למידת הפגיעה בהם, לנסיבות ביצוע העבירה ולמדיניות הענישה הנוהגת, אני קובעת כי מתחם העונש ההולם נע בין  15 ל- 30 חודשי מאסר בפועל, מאסר מותנה וקנס</w:t>
      </w:r>
      <w:r>
        <w:rPr>
          <w:rFonts w:ascii="David" w:hAnsi="David" w:cs="David"/>
          <w:sz w:val="24"/>
          <w:szCs w:val="24"/>
          <w:rtl/>
        </w:rPr>
        <w:t xml:space="preserve">. </w:t>
      </w:r>
    </w:p>
    <w:p w14:paraId="5F31211D" w14:textId="77777777" w:rsidR="00DA7307" w:rsidRPr="001140C3" w:rsidRDefault="00DA7307" w:rsidP="00DA7307">
      <w:pPr>
        <w:pStyle w:val="a9"/>
        <w:rPr>
          <w:rFonts w:ascii="David" w:hAnsi="David" w:cs="David"/>
          <w:sz w:val="24"/>
          <w:szCs w:val="24"/>
          <w:rtl/>
        </w:rPr>
      </w:pPr>
    </w:p>
    <w:p w14:paraId="7AD03703" w14:textId="77777777" w:rsidR="00DA7307" w:rsidRPr="003F4593" w:rsidRDefault="00DA7307" w:rsidP="00DA7307">
      <w:pPr>
        <w:pStyle w:val="a9"/>
        <w:spacing w:line="360" w:lineRule="auto"/>
        <w:jc w:val="both"/>
        <w:rPr>
          <w:rFonts w:ascii="David" w:hAnsi="David" w:cs="David"/>
          <w:sz w:val="24"/>
          <w:szCs w:val="24"/>
          <w:rtl/>
        </w:rPr>
      </w:pPr>
    </w:p>
    <w:p w14:paraId="20DB7A5C" w14:textId="77777777" w:rsidR="00DA7307" w:rsidRPr="003F4593" w:rsidRDefault="00DA7307" w:rsidP="00DA7307">
      <w:pPr>
        <w:pStyle w:val="a9"/>
        <w:spacing w:after="0" w:line="360" w:lineRule="auto"/>
        <w:jc w:val="both"/>
        <w:rPr>
          <w:rFonts w:ascii="Calibri Light" w:hAnsi="Calibri Light" w:cs="Calibri Light"/>
          <w:sz w:val="24"/>
          <w:szCs w:val="24"/>
          <w:rtl/>
        </w:rPr>
      </w:pPr>
      <w:r w:rsidRPr="003F4593">
        <w:rPr>
          <w:rFonts w:ascii="Calibri Light" w:hAnsi="Calibri Light" w:cs="Times New Roman" w:hint="cs"/>
          <w:sz w:val="24"/>
          <w:szCs w:val="24"/>
          <w:rtl/>
        </w:rPr>
        <w:t>גזירת</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העונש</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בגדרי</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המתחם</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נסיבות</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שאינן</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קשורות</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בביצוע</w:t>
      </w:r>
      <w:r w:rsidRPr="003F4593">
        <w:rPr>
          <w:rFonts w:ascii="Calibri Light" w:hAnsi="Calibri Light" w:cs="Calibri Light"/>
          <w:sz w:val="24"/>
          <w:szCs w:val="24"/>
          <w:rtl/>
        </w:rPr>
        <w:t xml:space="preserve"> </w:t>
      </w:r>
      <w:r w:rsidRPr="003F4593">
        <w:rPr>
          <w:rFonts w:ascii="Calibri Light" w:hAnsi="Calibri Light" w:cs="Times New Roman" w:hint="cs"/>
          <w:sz w:val="24"/>
          <w:szCs w:val="24"/>
          <w:rtl/>
        </w:rPr>
        <w:t>העבירה</w:t>
      </w:r>
      <w:r w:rsidRPr="003F4593">
        <w:rPr>
          <w:rFonts w:ascii="Calibri Light" w:hAnsi="Calibri Light" w:cs="Calibri Light"/>
          <w:sz w:val="24"/>
          <w:szCs w:val="24"/>
          <w:rtl/>
        </w:rPr>
        <w:t xml:space="preserve"> </w:t>
      </w:r>
    </w:p>
    <w:p w14:paraId="1EF1D019" w14:textId="77777777" w:rsidR="00DA7307" w:rsidRPr="00DA7307" w:rsidRDefault="00DA7307" w:rsidP="00DA7307">
      <w:pPr>
        <w:spacing w:line="360" w:lineRule="auto"/>
        <w:jc w:val="both"/>
        <w:rPr>
          <w:rFonts w:ascii="Calibri Light" w:hAnsi="Calibri Light" w:cs="Calibri Light"/>
          <w:rtl/>
        </w:rPr>
      </w:pPr>
    </w:p>
    <w:p w14:paraId="3DC91D28"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הנאשם יליד 1974, לחובתו עבר פלילי הטומן בחובו הרשעה קודמת מיום 30.5.2019 בגין עבירות של ניסיון פציעה כשהעבריין מזוין וניסיון פציעה. אמנם עסקינן בהרשעה שהתיישנה, אך לא נמחקה בגין עבירת אלימות. </w:t>
      </w:r>
    </w:p>
    <w:p w14:paraId="67706BB5" w14:textId="77777777" w:rsidR="00DA7307" w:rsidRDefault="00DA7307" w:rsidP="00DA7307">
      <w:pPr>
        <w:pStyle w:val="a9"/>
        <w:spacing w:line="360" w:lineRule="auto"/>
        <w:jc w:val="both"/>
        <w:rPr>
          <w:rFonts w:ascii="David" w:hAnsi="David" w:cs="David"/>
          <w:sz w:val="24"/>
          <w:szCs w:val="24"/>
        </w:rPr>
      </w:pPr>
    </w:p>
    <w:p w14:paraId="5EE0F956"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הנאשם, לא ניהל משפט, הודה, הביע חרטה על מעשיו ויש לזקוף זאת לזכותו. </w:t>
      </w:r>
    </w:p>
    <w:p w14:paraId="77CA385F" w14:textId="77777777" w:rsidR="00DA7307" w:rsidRDefault="00DA7307" w:rsidP="00DA7307">
      <w:pPr>
        <w:pStyle w:val="a9"/>
        <w:rPr>
          <w:rFonts w:ascii="David" w:hAnsi="David" w:cs="David"/>
          <w:sz w:val="24"/>
          <w:szCs w:val="24"/>
        </w:rPr>
      </w:pPr>
    </w:p>
    <w:p w14:paraId="23E19670"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עוד התרשמתי מעדותה של רעיית</w:t>
      </w:r>
      <w:r>
        <w:rPr>
          <w:rFonts w:ascii="David" w:hAnsi="David" w:cs="David" w:hint="cs"/>
          <w:sz w:val="24"/>
          <w:szCs w:val="24"/>
          <w:rtl/>
        </w:rPr>
        <w:t xml:space="preserve"> הנאשם</w:t>
      </w:r>
      <w:r>
        <w:rPr>
          <w:rFonts w:ascii="David" w:hAnsi="David" w:cs="David"/>
          <w:sz w:val="24"/>
          <w:szCs w:val="24"/>
          <w:rtl/>
        </w:rPr>
        <w:t xml:space="preserve"> אודות אירוע האלימות שחוו בביתם</w:t>
      </w:r>
      <w:r>
        <w:rPr>
          <w:rFonts w:ascii="David" w:hAnsi="David" w:cs="David" w:hint="cs"/>
          <w:sz w:val="24"/>
          <w:szCs w:val="24"/>
          <w:rtl/>
        </w:rPr>
        <w:t>,</w:t>
      </w:r>
      <w:r>
        <w:rPr>
          <w:rFonts w:ascii="David" w:hAnsi="David" w:cs="David"/>
          <w:sz w:val="24"/>
          <w:szCs w:val="24"/>
          <w:rtl/>
        </w:rPr>
        <w:t xml:space="preserve"> הכולל שימוש בנשק ובאלימות כלפי הנאשם ובאי ביתו, </w:t>
      </w:r>
      <w:r>
        <w:rPr>
          <w:rFonts w:ascii="David" w:hAnsi="David" w:cs="David" w:hint="cs"/>
          <w:sz w:val="24"/>
          <w:szCs w:val="24"/>
          <w:rtl/>
        </w:rPr>
        <w:t xml:space="preserve">כשלושה חודשים </w:t>
      </w:r>
      <w:r>
        <w:rPr>
          <w:rFonts w:ascii="David" w:hAnsi="David" w:cs="David"/>
          <w:sz w:val="24"/>
          <w:szCs w:val="24"/>
          <w:rtl/>
        </w:rPr>
        <w:t>עובר למועד ביצוע העבירה, כמו גם הפציעה שנגרמה לנאשם אשר הצריכה ניתוח בידו וטיפול באמצעות סיכות בראשו (</w:t>
      </w:r>
      <w:r>
        <w:rPr>
          <w:rFonts w:ascii="David" w:hAnsi="David" w:cs="David"/>
          <w:b/>
          <w:bCs/>
          <w:sz w:val="24"/>
          <w:szCs w:val="24"/>
          <w:rtl/>
        </w:rPr>
        <w:t>טל/2</w:t>
      </w:r>
      <w:r>
        <w:rPr>
          <w:rFonts w:ascii="David" w:hAnsi="David" w:cs="David"/>
          <w:sz w:val="24"/>
          <w:szCs w:val="24"/>
          <w:rtl/>
        </w:rPr>
        <w:t xml:space="preserve">). </w:t>
      </w:r>
    </w:p>
    <w:p w14:paraId="20551F54" w14:textId="77777777" w:rsidR="00DA7307" w:rsidRDefault="00DA7307" w:rsidP="00DA7307">
      <w:pPr>
        <w:pStyle w:val="a9"/>
        <w:spacing w:line="360" w:lineRule="auto"/>
        <w:jc w:val="both"/>
        <w:rPr>
          <w:rFonts w:ascii="David" w:hAnsi="David" w:cs="David"/>
          <w:sz w:val="24"/>
          <w:szCs w:val="24"/>
          <w:rtl/>
        </w:rPr>
      </w:pPr>
    </w:p>
    <w:p w14:paraId="7C9FAEC8" w14:textId="77777777" w:rsidR="00DA7307" w:rsidRDefault="00DA7307" w:rsidP="00DA7307">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כן נתתי דעתי לכך שהנאשם נתון בתנאי מעצר מיום 25.5.2024 . </w:t>
      </w:r>
    </w:p>
    <w:p w14:paraId="1501239F" w14:textId="77777777" w:rsidR="00DA7307" w:rsidRDefault="00DA7307" w:rsidP="00DA7307">
      <w:pPr>
        <w:pStyle w:val="a9"/>
        <w:rPr>
          <w:rFonts w:ascii="David" w:hAnsi="David" w:cs="David"/>
          <w:sz w:val="24"/>
          <w:szCs w:val="24"/>
        </w:rPr>
      </w:pPr>
    </w:p>
    <w:p w14:paraId="67C05311" w14:textId="77777777" w:rsidR="00DA7307" w:rsidRDefault="00DA7307" w:rsidP="00DA730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לנוכח האמור, באיזון בין השיקולים לחומרא ולקולא מצאתי למקם את עונשו של הנאשם בחלקו התחתון של המתחם </w:t>
      </w:r>
    </w:p>
    <w:p w14:paraId="583F97E1" w14:textId="77777777" w:rsidR="00DA7307" w:rsidRDefault="00DA7307" w:rsidP="00DA7307">
      <w:pPr>
        <w:pStyle w:val="a9"/>
        <w:rPr>
          <w:rFonts w:ascii="David" w:hAnsi="David" w:cs="David"/>
          <w:sz w:val="24"/>
          <w:szCs w:val="24"/>
          <w:rtl/>
        </w:rPr>
      </w:pPr>
    </w:p>
    <w:p w14:paraId="1AB27160" w14:textId="77777777" w:rsidR="00DA7307" w:rsidRDefault="00DA7307" w:rsidP="00DA7307">
      <w:pPr>
        <w:pStyle w:val="a9"/>
        <w:rPr>
          <w:rFonts w:ascii="David" w:hAnsi="David" w:cs="David"/>
          <w:b/>
          <w:bCs/>
          <w:sz w:val="24"/>
          <w:szCs w:val="24"/>
          <w:u w:val="double"/>
          <w:rtl/>
        </w:rPr>
      </w:pPr>
    </w:p>
    <w:p w14:paraId="4AB43329" w14:textId="77777777" w:rsidR="00DA7307" w:rsidRPr="003F4593" w:rsidRDefault="00DA7307" w:rsidP="00DA7307">
      <w:pPr>
        <w:pStyle w:val="a9"/>
        <w:numPr>
          <w:ilvl w:val="0"/>
          <w:numId w:val="1"/>
        </w:numPr>
        <w:rPr>
          <w:rFonts w:ascii="David" w:hAnsi="David" w:cs="David"/>
          <w:b/>
          <w:bCs/>
          <w:sz w:val="24"/>
          <w:szCs w:val="24"/>
          <w:u w:val="double"/>
        </w:rPr>
      </w:pPr>
      <w:r w:rsidRPr="003F4593">
        <w:rPr>
          <w:rFonts w:ascii="David" w:hAnsi="David" w:cs="David" w:hint="cs"/>
          <w:b/>
          <w:bCs/>
          <w:sz w:val="24"/>
          <w:szCs w:val="24"/>
          <w:u w:val="double"/>
          <w:rtl/>
        </w:rPr>
        <w:t>סוף דבר:</w:t>
      </w:r>
      <w:r w:rsidRPr="003F4593">
        <w:rPr>
          <w:rFonts w:ascii="David" w:hAnsi="David" w:cs="David"/>
          <w:b/>
          <w:bCs/>
          <w:sz w:val="24"/>
          <w:szCs w:val="24"/>
          <w:u w:val="double"/>
          <w:rtl/>
        </w:rPr>
        <w:t xml:space="preserve"> </w:t>
      </w:r>
    </w:p>
    <w:p w14:paraId="7E1B8A13" w14:textId="77777777" w:rsidR="00DA7307" w:rsidRDefault="00DA7307" w:rsidP="00DA7307">
      <w:pPr>
        <w:pStyle w:val="a9"/>
        <w:rPr>
          <w:rFonts w:ascii="David" w:hAnsi="David" w:cs="David"/>
          <w:sz w:val="24"/>
          <w:szCs w:val="24"/>
        </w:rPr>
      </w:pPr>
    </w:p>
    <w:p w14:paraId="018D0779" w14:textId="77777777" w:rsidR="00DA7307" w:rsidRDefault="00DA7307" w:rsidP="00DA7307">
      <w:pPr>
        <w:spacing w:line="360" w:lineRule="auto"/>
        <w:ind w:firstLine="360"/>
        <w:jc w:val="both"/>
        <w:rPr>
          <w:rFonts w:ascii="David" w:hAnsi="David"/>
          <w:rtl/>
        </w:rPr>
      </w:pPr>
      <w:r>
        <w:rPr>
          <w:rFonts w:ascii="David" w:hAnsi="David"/>
          <w:b/>
          <w:bCs/>
          <w:rtl/>
        </w:rPr>
        <w:t>אני גוזרת את עונשו של הנאשם כדלקמן</w:t>
      </w:r>
      <w:r>
        <w:rPr>
          <w:rFonts w:ascii="David" w:hAnsi="David"/>
          <w:rtl/>
        </w:rPr>
        <w:t xml:space="preserve">: </w:t>
      </w:r>
    </w:p>
    <w:p w14:paraId="1A645725" w14:textId="77777777" w:rsidR="00DA7307" w:rsidRDefault="00DA7307" w:rsidP="00DA7307">
      <w:pPr>
        <w:spacing w:line="360" w:lineRule="auto"/>
        <w:jc w:val="both"/>
        <w:rPr>
          <w:rFonts w:ascii="David" w:hAnsi="David"/>
          <w:rtl/>
        </w:rPr>
      </w:pPr>
    </w:p>
    <w:p w14:paraId="166FE409" w14:textId="77777777" w:rsidR="00DA7307" w:rsidRDefault="00DA7307" w:rsidP="00DA7307">
      <w:pPr>
        <w:pStyle w:val="a9"/>
        <w:numPr>
          <w:ilvl w:val="0"/>
          <w:numId w:val="4"/>
        </w:numPr>
        <w:spacing w:line="360" w:lineRule="auto"/>
        <w:jc w:val="both"/>
        <w:rPr>
          <w:rFonts w:ascii="David" w:hAnsi="David" w:cs="David"/>
          <w:sz w:val="24"/>
          <w:szCs w:val="24"/>
          <w:rtl/>
        </w:rPr>
      </w:pPr>
      <w:r>
        <w:rPr>
          <w:rFonts w:ascii="David" w:hAnsi="David" w:cs="David"/>
          <w:sz w:val="24"/>
          <w:szCs w:val="24"/>
          <w:rtl/>
        </w:rPr>
        <w:t xml:space="preserve">מאסר בפועל למשך  16 חודשים בניכוי ימי מעצרו לפי רישומי שב"ס. </w:t>
      </w:r>
    </w:p>
    <w:p w14:paraId="5D8BF815" w14:textId="77777777" w:rsidR="00DA7307" w:rsidRDefault="00DA7307" w:rsidP="00DA7307">
      <w:pPr>
        <w:pStyle w:val="a9"/>
        <w:spacing w:line="360" w:lineRule="auto"/>
        <w:jc w:val="both"/>
        <w:rPr>
          <w:rFonts w:ascii="David" w:hAnsi="David" w:cs="David"/>
          <w:sz w:val="24"/>
          <w:szCs w:val="24"/>
        </w:rPr>
      </w:pPr>
      <w:r>
        <w:rPr>
          <w:rFonts w:ascii="David" w:hAnsi="David" w:cs="David"/>
          <w:sz w:val="24"/>
          <w:szCs w:val="24"/>
          <w:rtl/>
        </w:rPr>
        <w:t xml:space="preserve"> </w:t>
      </w:r>
    </w:p>
    <w:p w14:paraId="5DB938C6" w14:textId="77777777" w:rsidR="00DA7307" w:rsidRDefault="00DA7307" w:rsidP="00DA7307">
      <w:pPr>
        <w:pStyle w:val="a9"/>
        <w:numPr>
          <w:ilvl w:val="0"/>
          <w:numId w:val="4"/>
        </w:numPr>
        <w:spacing w:line="360" w:lineRule="auto"/>
        <w:jc w:val="both"/>
        <w:rPr>
          <w:rFonts w:ascii="David" w:hAnsi="David" w:cs="David"/>
          <w:sz w:val="24"/>
          <w:szCs w:val="24"/>
        </w:rPr>
      </w:pPr>
      <w:r>
        <w:rPr>
          <w:rFonts w:ascii="David" w:hAnsi="David" w:cs="David"/>
          <w:sz w:val="24"/>
          <w:szCs w:val="24"/>
          <w:rtl/>
        </w:rPr>
        <w:t>מאסר מותנה למשך שמונה חודשים והתנאי הוא כי הנאשם לא יעבור עבירת נשק מסוג פשע מיום שחרורו ממאסר.</w:t>
      </w:r>
    </w:p>
    <w:p w14:paraId="25C3DEBF" w14:textId="77777777" w:rsidR="00DA7307" w:rsidRPr="000B119F" w:rsidRDefault="00DA7307" w:rsidP="00DA7307">
      <w:pPr>
        <w:pStyle w:val="a9"/>
        <w:spacing w:line="360" w:lineRule="auto"/>
        <w:jc w:val="both"/>
        <w:rPr>
          <w:rFonts w:ascii="David" w:hAnsi="David" w:cs="David"/>
          <w:sz w:val="24"/>
          <w:szCs w:val="24"/>
        </w:rPr>
      </w:pPr>
    </w:p>
    <w:p w14:paraId="6644FE8E" w14:textId="77777777" w:rsidR="00DA7307" w:rsidRDefault="00DA7307" w:rsidP="00DA7307">
      <w:pPr>
        <w:pStyle w:val="a9"/>
        <w:numPr>
          <w:ilvl w:val="0"/>
          <w:numId w:val="4"/>
        </w:numPr>
        <w:spacing w:line="360" w:lineRule="auto"/>
        <w:jc w:val="both"/>
        <w:rPr>
          <w:rFonts w:ascii="David" w:hAnsi="David" w:cs="David"/>
          <w:sz w:val="24"/>
          <w:szCs w:val="24"/>
        </w:rPr>
      </w:pPr>
      <w:r w:rsidRPr="000B119F">
        <w:rPr>
          <w:rFonts w:ascii="David" w:hAnsi="David" w:cs="David"/>
          <w:sz w:val="24"/>
          <w:szCs w:val="24"/>
          <w:rtl/>
        </w:rPr>
        <w:t>קנס בסך 5000 ₪ או</w:t>
      </w:r>
      <w:r w:rsidR="00E716BC">
        <w:rPr>
          <w:rFonts w:ascii="David" w:hAnsi="David" w:cs="David"/>
          <w:sz w:val="24"/>
          <w:szCs w:val="24"/>
          <w:rtl/>
        </w:rPr>
        <w:t xml:space="preserve"> </w:t>
      </w:r>
      <w:r w:rsidRPr="000B119F">
        <w:rPr>
          <w:rFonts w:ascii="David" w:hAnsi="David" w:cs="David"/>
          <w:sz w:val="24"/>
          <w:szCs w:val="24"/>
          <w:rtl/>
        </w:rPr>
        <w:t xml:space="preserve">30 ימי מאסר תמורתו. הקנס ישולם ב-5 תשלומים חודשיים שווים ורצופים, החל מיום 1.4.2025 ובכל ראשון בחודש שלאחריו. לא ישולם איזה מהתשלומים במועדו, תעמוד יתרת הקנס לפירעון מידי. </w:t>
      </w:r>
    </w:p>
    <w:p w14:paraId="7FE67E20" w14:textId="77777777" w:rsidR="00DA7307" w:rsidRDefault="00DA7307" w:rsidP="00DA7307">
      <w:pPr>
        <w:spacing w:line="360" w:lineRule="auto"/>
        <w:jc w:val="both"/>
        <w:rPr>
          <w:rFonts w:ascii="David" w:hAnsi="David"/>
          <w:rtl/>
        </w:rPr>
      </w:pPr>
    </w:p>
    <w:p w14:paraId="48818B15" w14:textId="77777777" w:rsidR="00DA7307" w:rsidRDefault="00DA7307" w:rsidP="00DA7307">
      <w:pPr>
        <w:spacing w:line="360" w:lineRule="auto"/>
        <w:jc w:val="both"/>
        <w:rPr>
          <w:rFonts w:ascii="David" w:hAnsi="David"/>
          <w:rtl/>
        </w:rPr>
      </w:pPr>
    </w:p>
    <w:p w14:paraId="2CC18F67" w14:textId="77777777" w:rsidR="00DA7307" w:rsidRPr="003F4593" w:rsidRDefault="00DA7307" w:rsidP="00DA7307">
      <w:pPr>
        <w:spacing w:line="360" w:lineRule="auto"/>
        <w:jc w:val="both"/>
        <w:rPr>
          <w:rFonts w:ascii="David" w:hAnsi="David"/>
          <w:rtl/>
        </w:rPr>
      </w:pPr>
    </w:p>
    <w:p w14:paraId="18A7360A" w14:textId="77777777" w:rsidR="00DA7307" w:rsidRDefault="00DA7307" w:rsidP="00DA7307">
      <w:pPr>
        <w:spacing w:line="360" w:lineRule="auto"/>
        <w:ind w:left="720"/>
        <w:jc w:val="both"/>
        <w:rPr>
          <w:rFonts w:ascii="David" w:hAnsi="David"/>
          <w:sz w:val="22"/>
          <w:szCs w:val="22"/>
        </w:rPr>
      </w:pPr>
      <w:r>
        <w:rPr>
          <w:rFonts w:ascii="David" w:hAnsi="David"/>
          <w:rtl/>
        </w:rPr>
        <w:t>מוסבר לנאשם כי ניתן לשלם את הקנס כעבור שלושה ימים מיום מתן גזר הדין לחשבון המרכז לגביית קנסות, אגרות והוצאות ברשות האכיפה והגביה באחת מהדרכים הבאות:</w:t>
      </w:r>
    </w:p>
    <w:p w14:paraId="61D0EC61" w14:textId="77777777" w:rsidR="00DA7307" w:rsidRPr="00663E96" w:rsidRDefault="00DA7307" w:rsidP="00DA7307">
      <w:pPr>
        <w:spacing w:line="360" w:lineRule="auto"/>
        <w:ind w:left="720"/>
        <w:jc w:val="both"/>
        <w:rPr>
          <w:rFonts w:ascii="David" w:hAnsi="David"/>
          <w:rtl/>
        </w:rPr>
      </w:pPr>
    </w:p>
    <w:p w14:paraId="270941C5" w14:textId="77777777" w:rsidR="00DA7307" w:rsidRDefault="00DA7307" w:rsidP="00DA7307">
      <w:pPr>
        <w:numPr>
          <w:ilvl w:val="0"/>
          <w:numId w:val="5"/>
        </w:numPr>
        <w:spacing w:line="360" w:lineRule="auto"/>
        <w:jc w:val="both"/>
        <w:rPr>
          <w:rFonts w:ascii="David" w:hAnsi="David"/>
        </w:rPr>
      </w:pPr>
      <w:r>
        <w:rPr>
          <w:rFonts w:ascii="David" w:hAnsi="David"/>
          <w:rtl/>
        </w:rPr>
        <w:t xml:space="preserve">כרטיס אשראי באתר המקוון של רשות האכיפה והגביה </w:t>
      </w:r>
      <w:hyperlink r:id="rId44" w:history="1">
        <w:r>
          <w:rPr>
            <w:rStyle w:val="Hyperlink"/>
            <w:rFonts w:ascii="David" w:hAnsi="David"/>
          </w:rPr>
          <w:t>www.eca.gov.il</w:t>
        </w:r>
      </w:hyperlink>
      <w:r>
        <w:rPr>
          <w:rFonts w:ascii="David" w:hAnsi="David"/>
          <w:rtl/>
        </w:rPr>
        <w:t xml:space="preserve">; </w:t>
      </w:r>
    </w:p>
    <w:p w14:paraId="292CF810" w14:textId="77777777" w:rsidR="00DA7307" w:rsidRDefault="00DA7307" w:rsidP="00DA7307">
      <w:pPr>
        <w:numPr>
          <w:ilvl w:val="0"/>
          <w:numId w:val="5"/>
        </w:numPr>
        <w:spacing w:line="360" w:lineRule="auto"/>
        <w:jc w:val="both"/>
        <w:rPr>
          <w:rFonts w:ascii="David" w:hAnsi="David"/>
          <w:rtl/>
        </w:rPr>
      </w:pPr>
      <w:r>
        <w:rPr>
          <w:rFonts w:ascii="David" w:hAnsi="David"/>
          <w:rtl/>
        </w:rPr>
        <w:t xml:space="preserve">מוקד שירות טלפוני בשירות עצמי (מרכז גביה) 35592* או בטלפון 073-2055000; </w:t>
      </w:r>
    </w:p>
    <w:p w14:paraId="3D353AF4" w14:textId="77777777" w:rsidR="00DA7307" w:rsidRDefault="00DA7307" w:rsidP="00DA7307">
      <w:pPr>
        <w:numPr>
          <w:ilvl w:val="0"/>
          <w:numId w:val="5"/>
        </w:numPr>
        <w:spacing w:line="360" w:lineRule="auto"/>
        <w:jc w:val="both"/>
        <w:rPr>
          <w:rFonts w:ascii="David" w:hAnsi="David"/>
        </w:rPr>
      </w:pPr>
      <w:r>
        <w:rPr>
          <w:rFonts w:ascii="David" w:hAnsi="David"/>
          <w:rtl/>
        </w:rPr>
        <w:t xml:space="preserve">במזומן בכל סניף של בנק דואר בהצגת תעודת זהות בלבד (אין צורך בשוברים). </w:t>
      </w:r>
    </w:p>
    <w:p w14:paraId="3E2384DF" w14:textId="77777777" w:rsidR="00DA7307" w:rsidRPr="000B119F" w:rsidRDefault="00DA7307" w:rsidP="00DA7307">
      <w:pPr>
        <w:spacing w:line="360" w:lineRule="auto"/>
        <w:jc w:val="both"/>
        <w:rPr>
          <w:rFonts w:ascii="David" w:hAnsi="David"/>
        </w:rPr>
      </w:pPr>
    </w:p>
    <w:p w14:paraId="73AD3DDE" w14:textId="77777777" w:rsidR="00DA7307" w:rsidRDefault="00DA7307" w:rsidP="00DA7307">
      <w:pPr>
        <w:pStyle w:val="a9"/>
        <w:spacing w:line="360" w:lineRule="auto"/>
        <w:jc w:val="both"/>
        <w:rPr>
          <w:rFonts w:ascii="David" w:hAnsi="David" w:cs="David"/>
          <w:b/>
          <w:bCs/>
          <w:sz w:val="24"/>
          <w:szCs w:val="24"/>
          <w:rtl/>
        </w:rPr>
      </w:pPr>
      <w:r>
        <w:rPr>
          <w:rFonts w:ascii="David" w:hAnsi="David" w:cs="David"/>
          <w:b/>
          <w:bCs/>
          <w:sz w:val="24"/>
          <w:szCs w:val="24"/>
          <w:rtl/>
        </w:rPr>
        <w:t>הנשק והתחמושת יושמדו.</w:t>
      </w:r>
    </w:p>
    <w:p w14:paraId="582B6C34" w14:textId="77777777" w:rsidR="00DA7307" w:rsidRDefault="00DA7307" w:rsidP="00DA7307">
      <w:pPr>
        <w:pStyle w:val="a9"/>
        <w:spacing w:line="360" w:lineRule="auto"/>
        <w:jc w:val="both"/>
        <w:rPr>
          <w:rFonts w:ascii="David" w:hAnsi="David" w:cs="David"/>
          <w:b/>
          <w:bCs/>
          <w:sz w:val="24"/>
          <w:szCs w:val="24"/>
        </w:rPr>
      </w:pPr>
      <w:r>
        <w:rPr>
          <w:rFonts w:ascii="David" w:hAnsi="David" w:cs="David"/>
          <w:b/>
          <w:bCs/>
          <w:sz w:val="24"/>
          <w:szCs w:val="24"/>
          <w:rtl/>
        </w:rPr>
        <w:t xml:space="preserve">צו כללי למוצגים. </w:t>
      </w:r>
    </w:p>
    <w:p w14:paraId="14E2D8CA" w14:textId="77777777" w:rsidR="00DA7307" w:rsidRDefault="00DA7307" w:rsidP="00DA7307">
      <w:pPr>
        <w:pStyle w:val="a9"/>
        <w:spacing w:line="360" w:lineRule="auto"/>
        <w:jc w:val="both"/>
        <w:rPr>
          <w:rFonts w:ascii="David" w:hAnsi="David" w:cs="David"/>
          <w:b/>
          <w:bCs/>
          <w:sz w:val="24"/>
          <w:szCs w:val="24"/>
          <w:rtl/>
        </w:rPr>
      </w:pPr>
      <w:r>
        <w:rPr>
          <w:rFonts w:ascii="David" w:hAnsi="David" w:cs="David"/>
          <w:b/>
          <w:bCs/>
          <w:sz w:val="24"/>
          <w:szCs w:val="24"/>
          <w:rtl/>
        </w:rPr>
        <w:t>זכות ערעור לבית משפט המחוזי מרכז – לוד תוך 45 יום.</w:t>
      </w:r>
    </w:p>
    <w:p w14:paraId="5DA38550" w14:textId="77777777" w:rsidR="00DA7307" w:rsidRDefault="00DA7307" w:rsidP="00DA7307">
      <w:pPr>
        <w:pStyle w:val="a9"/>
        <w:spacing w:line="360" w:lineRule="auto"/>
        <w:jc w:val="both"/>
        <w:rPr>
          <w:rFonts w:ascii="David" w:hAnsi="David" w:cs="David"/>
          <w:b/>
          <w:bCs/>
          <w:sz w:val="24"/>
          <w:szCs w:val="24"/>
          <w:rtl/>
        </w:rPr>
      </w:pPr>
    </w:p>
    <w:p w14:paraId="653E3649" w14:textId="77777777" w:rsidR="00DA7307" w:rsidRDefault="00DA7307" w:rsidP="00DA7307">
      <w:pPr>
        <w:pStyle w:val="a9"/>
        <w:spacing w:line="360" w:lineRule="auto"/>
        <w:jc w:val="both"/>
        <w:rPr>
          <w:rFonts w:ascii="David" w:hAnsi="David" w:cs="David"/>
          <w:b/>
          <w:bCs/>
          <w:sz w:val="24"/>
          <w:szCs w:val="24"/>
          <w:rtl/>
        </w:rPr>
      </w:pPr>
      <w:r>
        <w:rPr>
          <w:rFonts w:ascii="David" w:hAnsi="David" w:cs="David"/>
          <w:b/>
          <w:bCs/>
          <w:sz w:val="24"/>
          <w:szCs w:val="24"/>
          <w:rtl/>
        </w:rPr>
        <w:t>התיק סגור.</w:t>
      </w:r>
    </w:p>
    <w:p w14:paraId="1EB581C3" w14:textId="77777777" w:rsidR="00DA7307" w:rsidRPr="00DA7307" w:rsidRDefault="00DA7307" w:rsidP="00DA7307">
      <w:pPr>
        <w:rPr>
          <w:rFonts w:ascii="Calibri" w:hAnsi="Calibri" w:cs="Arial"/>
          <w:sz w:val="22"/>
          <w:szCs w:val="22"/>
          <w:rtl/>
        </w:rPr>
      </w:pPr>
      <w:r>
        <w:rPr>
          <w:rtl/>
        </w:rPr>
        <w:tab/>
      </w:r>
    </w:p>
    <w:p w14:paraId="343FD741" w14:textId="77777777" w:rsidR="00DA7307" w:rsidRPr="00E716BC" w:rsidRDefault="00E716BC" w:rsidP="00DA7307">
      <w:pPr>
        <w:rPr>
          <w:rFonts w:ascii="Arial" w:hAnsi="Arial"/>
          <w:b/>
          <w:bCs/>
          <w:color w:val="FFFFFF"/>
          <w:sz w:val="2"/>
          <w:szCs w:val="2"/>
          <w:rtl/>
        </w:rPr>
      </w:pPr>
      <w:r w:rsidRPr="00E716BC">
        <w:rPr>
          <w:rFonts w:ascii="Arial" w:hAnsi="Arial"/>
          <w:b/>
          <w:bCs/>
          <w:color w:val="FFFFFF"/>
          <w:sz w:val="2"/>
          <w:szCs w:val="2"/>
          <w:rtl/>
        </w:rPr>
        <w:t>5129371</w:t>
      </w:r>
    </w:p>
    <w:p w14:paraId="1031A20C" w14:textId="77777777" w:rsidR="00DA7307" w:rsidRPr="00E716BC" w:rsidRDefault="00E716BC" w:rsidP="00DA7307">
      <w:pPr>
        <w:rPr>
          <w:rFonts w:ascii="Arial" w:hAnsi="Arial"/>
          <w:b/>
          <w:bCs/>
          <w:color w:val="FFFFFF"/>
          <w:sz w:val="2"/>
          <w:szCs w:val="2"/>
          <w:rtl/>
        </w:rPr>
      </w:pPr>
      <w:r w:rsidRPr="00E716BC">
        <w:rPr>
          <w:rFonts w:ascii="Arial" w:hAnsi="Arial"/>
          <w:b/>
          <w:bCs/>
          <w:color w:val="FFFFFF"/>
          <w:sz w:val="2"/>
          <w:szCs w:val="2"/>
          <w:rtl/>
        </w:rPr>
        <w:t>54678313</w:t>
      </w:r>
    </w:p>
    <w:p w14:paraId="5B225A22" w14:textId="77777777" w:rsidR="00DA7307" w:rsidRPr="000F2247" w:rsidRDefault="00DA7307" w:rsidP="00DA7307">
      <w:pPr>
        <w:rPr>
          <w:rFonts w:ascii="Arial" w:hAnsi="Arial"/>
          <w:b/>
          <w:bCs/>
          <w:sz w:val="26"/>
          <w:szCs w:val="26"/>
          <w:rtl/>
        </w:rPr>
      </w:pPr>
    </w:p>
    <w:p w14:paraId="4FE8B7E5" w14:textId="77777777" w:rsidR="00DA7307" w:rsidRPr="000F2247" w:rsidRDefault="00E716BC" w:rsidP="00DA730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 טבת תשפ"ה, 09 ינואר 2025, במעמד הצדדים. </w:t>
      </w:r>
      <w:bookmarkEnd w:id="8"/>
      <w:r w:rsidR="00DA7307">
        <w:rPr>
          <w:rFonts w:ascii="Arial" w:hAnsi="Arial"/>
          <w:b/>
          <w:bCs/>
          <w:sz w:val="26"/>
          <w:szCs w:val="26"/>
          <w:rtl/>
        </w:rPr>
        <w:tab/>
      </w:r>
      <w:r w:rsidR="00DA7307">
        <w:rPr>
          <w:rFonts w:ascii="Arial" w:hAnsi="Arial"/>
          <w:b/>
          <w:bCs/>
          <w:sz w:val="26"/>
          <w:szCs w:val="26"/>
          <w:rtl/>
        </w:rPr>
        <w:tab/>
      </w:r>
      <w:r w:rsidR="00DA7307">
        <w:rPr>
          <w:rFonts w:ascii="Arial" w:hAnsi="Arial"/>
          <w:b/>
          <w:bCs/>
          <w:sz w:val="26"/>
          <w:szCs w:val="26"/>
          <w:rtl/>
        </w:rPr>
        <w:tab/>
      </w:r>
      <w:r w:rsidR="00DA7307">
        <w:rPr>
          <w:rFonts w:ascii="Arial" w:hAnsi="Arial"/>
          <w:b/>
          <w:bCs/>
          <w:sz w:val="26"/>
          <w:szCs w:val="26"/>
          <w:rtl/>
        </w:rPr>
        <w:tab/>
      </w:r>
      <w:r w:rsidR="00DA7307">
        <w:rPr>
          <w:rFonts w:ascii="Arial" w:hAnsi="Arial"/>
          <w:b/>
          <w:bCs/>
          <w:sz w:val="26"/>
          <w:szCs w:val="26"/>
          <w:rtl/>
        </w:rPr>
        <w:tab/>
      </w:r>
      <w:r w:rsidR="00DA7307">
        <w:rPr>
          <w:rFonts w:ascii="Arial" w:hAnsi="Arial"/>
          <w:b/>
          <w:bCs/>
          <w:sz w:val="26"/>
          <w:szCs w:val="26"/>
          <w:rtl/>
        </w:rPr>
        <w:tab/>
      </w:r>
      <w:r w:rsidR="00DA7307">
        <w:rPr>
          <w:rFonts w:ascii="Arial" w:hAnsi="Arial"/>
          <w:b/>
          <w:bCs/>
          <w:sz w:val="26"/>
          <w:szCs w:val="26"/>
          <w:rtl/>
        </w:rPr>
        <w:tab/>
      </w:r>
      <w:r w:rsidR="00DA7307">
        <w:rPr>
          <w:rFonts w:ascii="Arial" w:hAnsi="Arial" w:hint="cs"/>
          <w:b/>
          <w:bCs/>
          <w:sz w:val="26"/>
          <w:szCs w:val="26"/>
          <w:rtl/>
        </w:rPr>
        <w:t xml:space="preserve">         </w:t>
      </w:r>
    </w:p>
    <w:p w14:paraId="2DE3BB76" w14:textId="77777777" w:rsidR="00DA7307" w:rsidRPr="000F2247" w:rsidRDefault="00DA7307" w:rsidP="00E716B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49B6D98" w14:textId="77777777" w:rsidR="00DA7307" w:rsidRPr="00E87060" w:rsidRDefault="00E87060" w:rsidP="00DA7307">
      <w:pPr>
        <w:jc w:val="center"/>
        <w:rPr>
          <w:rFonts w:ascii="Arial" w:hAnsi="Arial"/>
          <w:b/>
          <w:bCs/>
          <w:color w:val="FFFFFF"/>
          <w:sz w:val="2"/>
          <w:szCs w:val="2"/>
          <w:rtl/>
        </w:rPr>
      </w:pPr>
      <w:r w:rsidRPr="00E87060">
        <w:rPr>
          <w:rFonts w:ascii="Arial" w:hAnsi="Arial"/>
          <w:b/>
          <w:bCs/>
          <w:color w:val="FFFFFF"/>
          <w:sz w:val="2"/>
          <w:szCs w:val="2"/>
          <w:rtl/>
        </w:rPr>
        <w:t>5129371</w:t>
      </w:r>
    </w:p>
    <w:p w14:paraId="29C81DE3" w14:textId="77777777" w:rsidR="006C2924" w:rsidRPr="00E87060" w:rsidRDefault="00E87060" w:rsidP="00E716BC">
      <w:pPr>
        <w:keepNext/>
        <w:rPr>
          <w:rFonts w:ascii="David" w:hAnsi="David"/>
          <w:color w:val="FFFFFF"/>
          <w:sz w:val="2"/>
          <w:szCs w:val="2"/>
          <w:rtl/>
        </w:rPr>
      </w:pPr>
      <w:r w:rsidRPr="00E87060">
        <w:rPr>
          <w:rFonts w:ascii="David" w:hAnsi="David"/>
          <w:color w:val="FFFFFF"/>
          <w:sz w:val="2"/>
          <w:szCs w:val="2"/>
          <w:rtl/>
        </w:rPr>
        <w:t>54678313</w:t>
      </w:r>
    </w:p>
    <w:p w14:paraId="7D2F53BF" w14:textId="77777777" w:rsidR="00E716BC" w:rsidRDefault="00E716BC" w:rsidP="00E716BC">
      <w:pPr>
        <w:rPr>
          <w:rtl/>
        </w:rPr>
      </w:pPr>
    </w:p>
    <w:p w14:paraId="1BACAEC4" w14:textId="77777777" w:rsidR="00E716BC" w:rsidRDefault="00E716BC" w:rsidP="00E716BC">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AB949BA" w14:textId="77777777" w:rsidR="00E87060" w:rsidRPr="00E87060" w:rsidRDefault="00E87060" w:rsidP="00E87060">
      <w:pPr>
        <w:keepNext/>
        <w:rPr>
          <w:rFonts w:ascii="David" w:hAnsi="David"/>
          <w:color w:val="000000"/>
          <w:sz w:val="22"/>
          <w:szCs w:val="22"/>
          <w:rtl/>
        </w:rPr>
      </w:pPr>
    </w:p>
    <w:p w14:paraId="414E4B13" w14:textId="77777777" w:rsidR="00E87060" w:rsidRPr="00E87060" w:rsidRDefault="00E87060" w:rsidP="00E87060">
      <w:pPr>
        <w:keepNext/>
        <w:rPr>
          <w:rFonts w:ascii="David" w:hAnsi="David"/>
          <w:color w:val="000000"/>
          <w:sz w:val="22"/>
          <w:szCs w:val="22"/>
          <w:rtl/>
        </w:rPr>
      </w:pPr>
      <w:r w:rsidRPr="00E87060">
        <w:rPr>
          <w:rFonts w:ascii="David" w:hAnsi="David"/>
          <w:color w:val="000000"/>
          <w:sz w:val="22"/>
          <w:szCs w:val="22"/>
          <w:rtl/>
        </w:rPr>
        <w:t>דורית סבן 54678313-/</w:t>
      </w:r>
    </w:p>
    <w:p w14:paraId="73A2DDF5" w14:textId="77777777" w:rsidR="00E716BC" w:rsidRPr="00E716BC" w:rsidRDefault="00E87060" w:rsidP="00E87060">
      <w:pPr>
        <w:rPr>
          <w:color w:val="0000FF"/>
          <w:u w:val="single"/>
        </w:rPr>
      </w:pPr>
      <w:r w:rsidRPr="00E87060">
        <w:rPr>
          <w:color w:val="000000"/>
          <w:u w:val="single"/>
          <w:rtl/>
        </w:rPr>
        <w:t>נוסח מסמך זה כפוף לשינויי ניסוח ועריכה</w:t>
      </w:r>
    </w:p>
    <w:sectPr w:rsidR="00E716BC" w:rsidRPr="00E716BC" w:rsidSect="00E8706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889C2" w14:textId="77777777" w:rsidR="00477030" w:rsidRDefault="00477030" w:rsidP="00D259BC">
      <w:r>
        <w:separator/>
      </w:r>
    </w:p>
  </w:endnote>
  <w:endnote w:type="continuationSeparator" w:id="0">
    <w:p w14:paraId="06EA828C" w14:textId="77777777" w:rsidR="00477030" w:rsidRDefault="00477030" w:rsidP="00D25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51E93" w14:textId="77777777" w:rsidR="00E87060" w:rsidRDefault="00E87060" w:rsidP="00E870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A2C957" w14:textId="77777777" w:rsidR="00797D0A" w:rsidRPr="00E87060" w:rsidRDefault="00E87060" w:rsidP="00E87060">
    <w:pPr>
      <w:pStyle w:val="a5"/>
      <w:pBdr>
        <w:top w:val="single" w:sz="4" w:space="1" w:color="auto"/>
        <w:between w:val="single" w:sz="4" w:space="0" w:color="auto"/>
      </w:pBdr>
      <w:spacing w:after="60"/>
      <w:jc w:val="center"/>
      <w:rPr>
        <w:rFonts w:ascii="FrankRuehl" w:hAnsi="FrankRuehl" w:cs="FrankRuehl"/>
        <w:color w:val="000000"/>
      </w:rPr>
    </w:pPr>
    <w:r w:rsidRPr="00E8706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1577D" w14:textId="77777777" w:rsidR="00E87060" w:rsidRDefault="00E87060" w:rsidP="00E870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1BDA">
      <w:rPr>
        <w:rFonts w:ascii="FrankRuehl" w:hAnsi="FrankRuehl" w:cs="FrankRuehl"/>
        <w:noProof/>
        <w:rtl/>
      </w:rPr>
      <w:t>1</w:t>
    </w:r>
    <w:r>
      <w:rPr>
        <w:rFonts w:ascii="FrankRuehl" w:hAnsi="FrankRuehl" w:cs="FrankRuehl"/>
        <w:rtl/>
      </w:rPr>
      <w:fldChar w:fldCharType="end"/>
    </w:r>
  </w:p>
  <w:p w14:paraId="1776557E" w14:textId="77777777" w:rsidR="00797D0A" w:rsidRPr="00E87060" w:rsidRDefault="00E87060" w:rsidP="00E87060">
    <w:pPr>
      <w:pStyle w:val="a5"/>
      <w:pBdr>
        <w:top w:val="single" w:sz="4" w:space="1" w:color="auto"/>
        <w:between w:val="single" w:sz="4" w:space="0" w:color="auto"/>
      </w:pBdr>
      <w:spacing w:after="60"/>
      <w:jc w:val="center"/>
      <w:rPr>
        <w:rFonts w:ascii="FrankRuehl" w:hAnsi="FrankRuehl" w:cs="FrankRuehl"/>
        <w:color w:val="000000"/>
      </w:rPr>
    </w:pPr>
    <w:r w:rsidRPr="00E87060">
      <w:rPr>
        <w:rFonts w:ascii="FrankRuehl" w:hAnsi="FrankRuehl" w:cs="FrankRuehl"/>
        <w:color w:val="000000"/>
      </w:rPr>
      <w:pict w14:anchorId="4D15E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26E11" w14:textId="77777777" w:rsidR="00477030" w:rsidRDefault="00477030" w:rsidP="00D259BC">
      <w:r>
        <w:separator/>
      </w:r>
    </w:p>
  </w:footnote>
  <w:footnote w:type="continuationSeparator" w:id="0">
    <w:p w14:paraId="050DD72F" w14:textId="77777777" w:rsidR="00477030" w:rsidRDefault="00477030" w:rsidP="00D25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887D6" w14:textId="77777777" w:rsidR="00E716BC" w:rsidRPr="00E87060" w:rsidRDefault="00E87060" w:rsidP="00E870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10335-06-24</w:t>
    </w:r>
    <w:r>
      <w:rPr>
        <w:rFonts w:ascii="David" w:hAnsi="David"/>
        <w:color w:val="000000"/>
        <w:sz w:val="22"/>
        <w:szCs w:val="22"/>
        <w:rtl/>
      </w:rPr>
      <w:tab/>
      <w:t xml:space="preserve"> מדינת ישראל נ' סעיד אבו עאמר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6E634" w14:textId="77777777" w:rsidR="00E716BC" w:rsidRPr="00E87060" w:rsidRDefault="00E87060" w:rsidP="00E8706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10335-06-24</w:t>
    </w:r>
    <w:r>
      <w:rPr>
        <w:rFonts w:ascii="David" w:hAnsi="David"/>
        <w:color w:val="000000"/>
        <w:sz w:val="22"/>
        <w:szCs w:val="22"/>
        <w:rtl/>
      </w:rPr>
      <w:tab/>
      <w:t xml:space="preserve"> מדינת ישראל נ' סעיד אבו עאמר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0CED"/>
    <w:multiLevelType w:val="hybridMultilevel"/>
    <w:tmpl w:val="DC1CA25C"/>
    <w:lvl w:ilvl="0" w:tplc="A9886D98">
      <w:start w:val="1"/>
      <w:numFmt w:val="hebrew1"/>
      <w:lvlText w:val="%1."/>
      <w:lvlJc w:val="left"/>
      <w:pPr>
        <w:ind w:left="720" w:hanging="360"/>
      </w:pPr>
    </w:lvl>
    <w:lvl w:ilvl="1" w:tplc="F0A0BA4C">
      <w:start w:val="1"/>
      <w:numFmt w:val="lowerLetter"/>
      <w:lvlText w:val="%2."/>
      <w:lvlJc w:val="left"/>
      <w:pPr>
        <w:ind w:left="1440" w:hanging="360"/>
      </w:pPr>
    </w:lvl>
    <w:lvl w:ilvl="2" w:tplc="8FF42B8A">
      <w:start w:val="1"/>
      <w:numFmt w:val="lowerRoman"/>
      <w:lvlText w:val="%3."/>
      <w:lvlJc w:val="right"/>
      <w:pPr>
        <w:ind w:left="2160" w:hanging="180"/>
      </w:pPr>
    </w:lvl>
    <w:lvl w:ilvl="3" w:tplc="C12404B2">
      <w:start w:val="1"/>
      <w:numFmt w:val="decimal"/>
      <w:lvlText w:val="%4."/>
      <w:lvlJc w:val="left"/>
      <w:pPr>
        <w:ind w:left="2880" w:hanging="360"/>
      </w:pPr>
    </w:lvl>
    <w:lvl w:ilvl="4" w:tplc="98545A24">
      <w:start w:val="1"/>
      <w:numFmt w:val="lowerLetter"/>
      <w:lvlText w:val="%5."/>
      <w:lvlJc w:val="left"/>
      <w:pPr>
        <w:ind w:left="3600" w:hanging="360"/>
      </w:pPr>
    </w:lvl>
    <w:lvl w:ilvl="5" w:tplc="7DFCC33C">
      <w:start w:val="1"/>
      <w:numFmt w:val="lowerRoman"/>
      <w:lvlText w:val="%6."/>
      <w:lvlJc w:val="right"/>
      <w:pPr>
        <w:ind w:left="4320" w:hanging="180"/>
      </w:pPr>
    </w:lvl>
    <w:lvl w:ilvl="6" w:tplc="59543DE2">
      <w:start w:val="1"/>
      <w:numFmt w:val="decimal"/>
      <w:lvlText w:val="%7."/>
      <w:lvlJc w:val="left"/>
      <w:pPr>
        <w:ind w:left="5040" w:hanging="360"/>
      </w:pPr>
    </w:lvl>
    <w:lvl w:ilvl="7" w:tplc="56E642A0">
      <w:start w:val="1"/>
      <w:numFmt w:val="lowerLetter"/>
      <w:lvlText w:val="%8."/>
      <w:lvlJc w:val="left"/>
      <w:pPr>
        <w:ind w:left="5760" w:hanging="360"/>
      </w:pPr>
    </w:lvl>
    <w:lvl w:ilvl="8" w:tplc="88CC8CB0">
      <w:start w:val="1"/>
      <w:numFmt w:val="lowerRoman"/>
      <w:lvlText w:val="%9."/>
      <w:lvlJc w:val="right"/>
      <w:pPr>
        <w:ind w:left="6480" w:hanging="180"/>
      </w:pPr>
    </w:lvl>
  </w:abstractNum>
  <w:abstractNum w:abstractNumId="1" w15:restartNumberingAfterBreak="0">
    <w:nsid w:val="40F666FE"/>
    <w:multiLevelType w:val="hybridMultilevel"/>
    <w:tmpl w:val="04EC2C68"/>
    <w:lvl w:ilvl="0" w:tplc="CBF034F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5A684F"/>
    <w:multiLevelType w:val="hybridMultilevel"/>
    <w:tmpl w:val="0E589FDC"/>
    <w:lvl w:ilvl="0" w:tplc="22CC3236">
      <w:start w:val="1"/>
      <w:numFmt w:val="hebrew1"/>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8925C7"/>
    <w:multiLevelType w:val="hybridMultilevel"/>
    <w:tmpl w:val="CCC2E1A8"/>
    <w:lvl w:ilvl="0" w:tplc="BB44BF06">
      <w:start w:val="1"/>
      <w:numFmt w:val="decimal"/>
      <w:lvlText w:val="%1."/>
      <w:lvlJc w:val="left"/>
      <w:pPr>
        <w:ind w:left="720" w:hanging="360"/>
      </w:pPr>
      <w:rPr>
        <w:b/>
        <w:bCs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3FC0EC3"/>
    <w:multiLevelType w:val="hybridMultilevel"/>
    <w:tmpl w:val="82E4F8D2"/>
    <w:lvl w:ilvl="0" w:tplc="3694176A">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799032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45957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8740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9241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56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7307"/>
    <w:rsid w:val="00322869"/>
    <w:rsid w:val="00477030"/>
    <w:rsid w:val="004F4F4E"/>
    <w:rsid w:val="005559CA"/>
    <w:rsid w:val="006C2924"/>
    <w:rsid w:val="00797D0A"/>
    <w:rsid w:val="007D5275"/>
    <w:rsid w:val="00831BDA"/>
    <w:rsid w:val="00C02D8F"/>
    <w:rsid w:val="00D259BC"/>
    <w:rsid w:val="00DA7307"/>
    <w:rsid w:val="00E716BC"/>
    <w:rsid w:val="00E87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3D84C1"/>
  <w15:chartTrackingRefBased/>
  <w15:docId w15:val="{FDE0487C-4B7B-4069-B2E5-4CAF17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73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7307"/>
    <w:pPr>
      <w:tabs>
        <w:tab w:val="center" w:pos="4153"/>
        <w:tab w:val="right" w:pos="8306"/>
      </w:tabs>
    </w:pPr>
  </w:style>
  <w:style w:type="character" w:customStyle="1" w:styleId="a4">
    <w:name w:val="כותרת עליונה תו"/>
    <w:link w:val="a3"/>
    <w:rsid w:val="00DA7307"/>
    <w:rPr>
      <w:rFonts w:ascii="Times New Roman" w:eastAsia="Times New Roman" w:hAnsi="Times New Roman" w:cs="David"/>
      <w:sz w:val="24"/>
      <w:szCs w:val="24"/>
    </w:rPr>
  </w:style>
  <w:style w:type="paragraph" w:styleId="a5">
    <w:name w:val="footer"/>
    <w:basedOn w:val="a"/>
    <w:link w:val="a6"/>
    <w:rsid w:val="00DA7307"/>
    <w:pPr>
      <w:tabs>
        <w:tab w:val="center" w:pos="4153"/>
        <w:tab w:val="right" w:pos="8306"/>
      </w:tabs>
    </w:pPr>
  </w:style>
  <w:style w:type="character" w:customStyle="1" w:styleId="a6">
    <w:name w:val="כותרת תחתונה תו"/>
    <w:link w:val="a5"/>
    <w:rsid w:val="00DA7307"/>
    <w:rPr>
      <w:rFonts w:ascii="Times New Roman" w:eastAsia="Times New Roman" w:hAnsi="Times New Roman" w:cs="David"/>
      <w:sz w:val="24"/>
      <w:szCs w:val="24"/>
    </w:rPr>
  </w:style>
  <w:style w:type="character" w:styleId="a7">
    <w:name w:val="page number"/>
    <w:rsid w:val="00DA7307"/>
  </w:style>
  <w:style w:type="character" w:styleId="Hyperlink">
    <w:name w:val="Hyperlink"/>
    <w:rsid w:val="00DA7307"/>
    <w:rPr>
      <w:color w:val="0000FF"/>
      <w:u w:val="single"/>
    </w:rPr>
  </w:style>
  <w:style w:type="character" w:customStyle="1" w:styleId="a8">
    <w:name w:val="פיסקת רשימה תו"/>
    <w:link w:val="a9"/>
    <w:locked/>
    <w:rsid w:val="00DA7307"/>
  </w:style>
  <w:style w:type="paragraph" w:styleId="a9">
    <w:name w:val="List Paragraph"/>
    <w:basedOn w:val="a"/>
    <w:link w:val="a8"/>
    <w:qFormat/>
    <w:rsid w:val="00DA7307"/>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817891" TargetMode="External"/><Relationship Id="rId26" Type="http://schemas.openxmlformats.org/officeDocument/2006/relationships/hyperlink" Target="http://www.nevo.co.il/case/28400048" TargetMode="External"/><Relationship Id="rId39" Type="http://schemas.openxmlformats.org/officeDocument/2006/relationships/hyperlink" Target="http://www.nevo.co.il/case/25760654" TargetMode="External"/><Relationship Id="rId21" Type="http://schemas.openxmlformats.org/officeDocument/2006/relationships/hyperlink" Target="http://www.nevo.co.il/case/27925239" TargetMode="External"/><Relationship Id="rId34" Type="http://schemas.openxmlformats.org/officeDocument/2006/relationships/hyperlink" Target="http://www.nevo.co.il/case/29379221" TargetMode="External"/><Relationship Id="rId42" Type="http://schemas.openxmlformats.org/officeDocument/2006/relationships/hyperlink" Target="http://www.nevo.co.il/case/2896359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1771409" TargetMode="External"/><Relationship Id="rId29" Type="http://schemas.openxmlformats.org/officeDocument/2006/relationships/hyperlink" Target="http://www.nevo.co.il/case/3005316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9655260" TargetMode="External"/><Relationship Id="rId32" Type="http://schemas.openxmlformats.org/officeDocument/2006/relationships/hyperlink" Target="http://www.nevo.co.il/case/28257427" TargetMode="External"/><Relationship Id="rId37" Type="http://schemas.openxmlformats.org/officeDocument/2006/relationships/hyperlink" Target="http://www.nevo.co.il/case/27399392" TargetMode="External"/><Relationship Id="rId40" Type="http://schemas.openxmlformats.org/officeDocument/2006/relationships/hyperlink" Target="http://www.nevo.co.il/case/27472496"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7115374" TargetMode="External"/><Relationship Id="rId23" Type="http://schemas.openxmlformats.org/officeDocument/2006/relationships/hyperlink" Target="http://www.nevo.co.il/case/5878120" TargetMode="External"/><Relationship Id="rId28" Type="http://schemas.openxmlformats.org/officeDocument/2006/relationships/hyperlink" Target="http://www.nevo.co.il/case/31987712" TargetMode="External"/><Relationship Id="rId36" Type="http://schemas.openxmlformats.org/officeDocument/2006/relationships/hyperlink" Target="http://www.nevo.co.il/case/33147894"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6888657" TargetMode="External"/><Relationship Id="rId31" Type="http://schemas.openxmlformats.org/officeDocument/2006/relationships/hyperlink" Target="http://www.nevo.co.il/case/25528737"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13023134"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8883087" TargetMode="External"/><Relationship Id="rId35" Type="http://schemas.openxmlformats.org/officeDocument/2006/relationships/hyperlink" Target="http://www.nevo.co.il/case/30699728" TargetMode="External"/><Relationship Id="rId43" Type="http://schemas.openxmlformats.org/officeDocument/2006/relationships/hyperlink" Target="http://www.nevo.co.il/case/30279529" TargetMode="External"/><Relationship Id="rId48" Type="http://schemas.openxmlformats.org/officeDocument/2006/relationships/footer" Target="footer1.xml"/><Relationship Id="rId8" Type="http://schemas.openxmlformats.org/officeDocument/2006/relationships/hyperlink" Target="http://www.nevo.co.il/law/70301/144.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case/13093744" TargetMode="External"/><Relationship Id="rId25" Type="http://schemas.openxmlformats.org/officeDocument/2006/relationships/hyperlink" Target="http://www.nevo.co.il/case/28513828" TargetMode="External"/><Relationship Id="rId33" Type="http://schemas.openxmlformats.org/officeDocument/2006/relationships/hyperlink" Target="http://www.nevo.co.il/case/26756301" TargetMode="External"/><Relationship Id="rId38" Type="http://schemas.openxmlformats.org/officeDocument/2006/relationships/hyperlink" Target="http://www.nevo.co.il/case/27648787" TargetMode="External"/><Relationship Id="rId46" Type="http://schemas.openxmlformats.org/officeDocument/2006/relationships/header" Target="header1.xml"/><Relationship Id="rId20" Type="http://schemas.openxmlformats.org/officeDocument/2006/relationships/hyperlink" Target="http://www.nevo.co.il/case/27513376" TargetMode="External"/><Relationship Id="rId41" Type="http://schemas.openxmlformats.org/officeDocument/2006/relationships/hyperlink" Target="http://www.nevo.co.il/case/274557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2975</Words>
  <Characters>14876</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17816</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7864368</vt:i4>
      </vt:variant>
      <vt:variant>
        <vt:i4>111</vt:i4>
      </vt:variant>
      <vt:variant>
        <vt:i4>0</vt:i4>
      </vt:variant>
      <vt:variant>
        <vt:i4>5</vt:i4>
      </vt:variant>
      <vt:variant>
        <vt:lpwstr>http://www.eca.gov.il/</vt:lpwstr>
      </vt:variant>
      <vt:variant>
        <vt:lpwstr/>
      </vt:variant>
      <vt:variant>
        <vt:i4>3801206</vt:i4>
      </vt:variant>
      <vt:variant>
        <vt:i4>108</vt:i4>
      </vt:variant>
      <vt:variant>
        <vt:i4>0</vt:i4>
      </vt:variant>
      <vt:variant>
        <vt:i4>5</vt:i4>
      </vt:variant>
      <vt:variant>
        <vt:lpwstr>http://www.nevo.co.il/case/30279529</vt:lpwstr>
      </vt:variant>
      <vt:variant>
        <vt:lpwstr/>
      </vt:variant>
      <vt:variant>
        <vt:i4>3211391</vt:i4>
      </vt:variant>
      <vt:variant>
        <vt:i4>105</vt:i4>
      </vt:variant>
      <vt:variant>
        <vt:i4>0</vt:i4>
      </vt:variant>
      <vt:variant>
        <vt:i4>5</vt:i4>
      </vt:variant>
      <vt:variant>
        <vt:lpwstr>http://www.nevo.co.il/case/28963593</vt:lpwstr>
      </vt:variant>
      <vt:variant>
        <vt:lpwstr/>
      </vt:variant>
      <vt:variant>
        <vt:i4>3342449</vt:i4>
      </vt:variant>
      <vt:variant>
        <vt:i4>102</vt:i4>
      </vt:variant>
      <vt:variant>
        <vt:i4>0</vt:i4>
      </vt:variant>
      <vt:variant>
        <vt:i4>5</vt:i4>
      </vt:variant>
      <vt:variant>
        <vt:lpwstr>http://www.nevo.co.il/case/27455704</vt:lpwstr>
      </vt:variant>
      <vt:variant>
        <vt:lpwstr/>
      </vt:variant>
      <vt:variant>
        <vt:i4>3997808</vt:i4>
      </vt:variant>
      <vt:variant>
        <vt:i4>99</vt:i4>
      </vt:variant>
      <vt:variant>
        <vt:i4>0</vt:i4>
      </vt:variant>
      <vt:variant>
        <vt:i4>5</vt:i4>
      </vt:variant>
      <vt:variant>
        <vt:lpwstr>http://www.nevo.co.il/case/27472496</vt:lpwstr>
      </vt:variant>
      <vt:variant>
        <vt:lpwstr/>
      </vt:variant>
      <vt:variant>
        <vt:i4>3145841</vt:i4>
      </vt:variant>
      <vt:variant>
        <vt:i4>96</vt:i4>
      </vt:variant>
      <vt:variant>
        <vt:i4>0</vt:i4>
      </vt:variant>
      <vt:variant>
        <vt:i4>5</vt:i4>
      </vt:variant>
      <vt:variant>
        <vt:lpwstr>http://www.nevo.co.il/case/25760654</vt:lpwstr>
      </vt:variant>
      <vt:variant>
        <vt:lpwstr/>
      </vt:variant>
      <vt:variant>
        <vt:i4>3407984</vt:i4>
      </vt:variant>
      <vt:variant>
        <vt:i4>93</vt:i4>
      </vt:variant>
      <vt:variant>
        <vt:i4>0</vt:i4>
      </vt:variant>
      <vt:variant>
        <vt:i4>5</vt:i4>
      </vt:variant>
      <vt:variant>
        <vt:lpwstr>http://www.nevo.co.il/case/27648787</vt:lpwstr>
      </vt:variant>
      <vt:variant>
        <vt:lpwstr/>
      </vt:variant>
      <vt:variant>
        <vt:i4>3211385</vt:i4>
      </vt:variant>
      <vt:variant>
        <vt:i4>90</vt:i4>
      </vt:variant>
      <vt:variant>
        <vt:i4>0</vt:i4>
      </vt:variant>
      <vt:variant>
        <vt:i4>5</vt:i4>
      </vt:variant>
      <vt:variant>
        <vt:lpwstr>http://www.nevo.co.il/case/27399392</vt:lpwstr>
      </vt:variant>
      <vt:variant>
        <vt:lpwstr/>
      </vt:variant>
      <vt:variant>
        <vt:i4>3932283</vt:i4>
      </vt:variant>
      <vt:variant>
        <vt:i4>87</vt:i4>
      </vt:variant>
      <vt:variant>
        <vt:i4>0</vt:i4>
      </vt:variant>
      <vt:variant>
        <vt:i4>5</vt:i4>
      </vt:variant>
      <vt:variant>
        <vt:lpwstr>http://www.nevo.co.il/case/33147894</vt:lpwstr>
      </vt:variant>
      <vt:variant>
        <vt:lpwstr/>
      </vt:variant>
      <vt:variant>
        <vt:i4>4063354</vt:i4>
      </vt:variant>
      <vt:variant>
        <vt:i4>84</vt:i4>
      </vt:variant>
      <vt:variant>
        <vt:i4>0</vt:i4>
      </vt:variant>
      <vt:variant>
        <vt:i4>5</vt:i4>
      </vt:variant>
      <vt:variant>
        <vt:lpwstr>http://www.nevo.co.il/case/30699728</vt:lpwstr>
      </vt:variant>
      <vt:variant>
        <vt:lpwstr/>
      </vt:variant>
      <vt:variant>
        <vt:i4>3801208</vt:i4>
      </vt:variant>
      <vt:variant>
        <vt:i4>81</vt:i4>
      </vt:variant>
      <vt:variant>
        <vt:i4>0</vt:i4>
      </vt:variant>
      <vt:variant>
        <vt:i4>5</vt:i4>
      </vt:variant>
      <vt:variant>
        <vt:lpwstr>http://www.nevo.co.il/case/29379221</vt:lpwstr>
      </vt:variant>
      <vt:variant>
        <vt:lpwstr/>
      </vt:variant>
      <vt:variant>
        <vt:i4>3342452</vt:i4>
      </vt:variant>
      <vt:variant>
        <vt:i4>78</vt:i4>
      </vt:variant>
      <vt:variant>
        <vt:i4>0</vt:i4>
      </vt:variant>
      <vt:variant>
        <vt:i4>5</vt:i4>
      </vt:variant>
      <vt:variant>
        <vt:lpwstr>http://www.nevo.co.il/case/26756301</vt:lpwstr>
      </vt:variant>
      <vt:variant>
        <vt:lpwstr/>
      </vt:variant>
      <vt:variant>
        <vt:i4>3473533</vt:i4>
      </vt:variant>
      <vt:variant>
        <vt:i4>75</vt:i4>
      </vt:variant>
      <vt:variant>
        <vt:i4>0</vt:i4>
      </vt:variant>
      <vt:variant>
        <vt:i4>5</vt:i4>
      </vt:variant>
      <vt:variant>
        <vt:lpwstr>http://www.nevo.co.il/case/28257427</vt:lpwstr>
      </vt:variant>
      <vt:variant>
        <vt:lpwstr/>
      </vt:variant>
      <vt:variant>
        <vt:i4>3932276</vt:i4>
      </vt:variant>
      <vt:variant>
        <vt:i4>72</vt:i4>
      </vt:variant>
      <vt:variant>
        <vt:i4>0</vt:i4>
      </vt:variant>
      <vt:variant>
        <vt:i4>5</vt:i4>
      </vt:variant>
      <vt:variant>
        <vt:lpwstr>http://www.nevo.co.il/case/25528737</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3539056</vt:i4>
      </vt:variant>
      <vt:variant>
        <vt:i4>66</vt:i4>
      </vt:variant>
      <vt:variant>
        <vt:i4>0</vt:i4>
      </vt:variant>
      <vt:variant>
        <vt:i4>5</vt:i4>
      </vt:variant>
      <vt:variant>
        <vt:lpwstr>http://www.nevo.co.il/case/30053166</vt:lpwstr>
      </vt:variant>
      <vt:variant>
        <vt:lpwstr/>
      </vt:variant>
      <vt:variant>
        <vt:i4>3932282</vt:i4>
      </vt:variant>
      <vt:variant>
        <vt:i4>63</vt:i4>
      </vt:variant>
      <vt:variant>
        <vt:i4>0</vt:i4>
      </vt:variant>
      <vt:variant>
        <vt:i4>5</vt:i4>
      </vt:variant>
      <vt:variant>
        <vt:lpwstr>http://www.nevo.co.il/case/31987712</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3276924</vt:i4>
      </vt:variant>
      <vt:variant>
        <vt:i4>57</vt:i4>
      </vt:variant>
      <vt:variant>
        <vt:i4>0</vt:i4>
      </vt:variant>
      <vt:variant>
        <vt:i4>5</vt:i4>
      </vt:variant>
      <vt:variant>
        <vt:lpwstr>http://www.nevo.co.il/case/28400048</vt:lpwstr>
      </vt:variant>
      <vt:variant>
        <vt:lpwstr/>
      </vt:variant>
      <vt:variant>
        <vt:i4>3539061</vt:i4>
      </vt:variant>
      <vt:variant>
        <vt:i4>54</vt:i4>
      </vt:variant>
      <vt:variant>
        <vt:i4>0</vt:i4>
      </vt:variant>
      <vt:variant>
        <vt:i4>5</vt:i4>
      </vt:variant>
      <vt:variant>
        <vt:lpwstr>http://www.nevo.co.il/case/28513828</vt:lpwstr>
      </vt:variant>
      <vt:variant>
        <vt:lpwstr/>
      </vt:variant>
      <vt:variant>
        <vt:i4>3604602</vt:i4>
      </vt:variant>
      <vt:variant>
        <vt:i4>51</vt:i4>
      </vt:variant>
      <vt:variant>
        <vt:i4>0</vt:i4>
      </vt:variant>
      <vt:variant>
        <vt:i4>5</vt:i4>
      </vt:variant>
      <vt:variant>
        <vt:lpwstr>http://www.nevo.co.il/case/29655260</vt:lpwstr>
      </vt:variant>
      <vt:variant>
        <vt:lpwstr/>
      </vt:variant>
      <vt:variant>
        <vt:i4>3342454</vt:i4>
      </vt:variant>
      <vt:variant>
        <vt:i4>48</vt:i4>
      </vt:variant>
      <vt:variant>
        <vt:i4>0</vt:i4>
      </vt:variant>
      <vt:variant>
        <vt:i4>5</vt:i4>
      </vt:variant>
      <vt:variant>
        <vt:lpwstr>http://www.nevo.co.il/case/5878120</vt:lpwstr>
      </vt:variant>
      <vt:variant>
        <vt:lpwstr/>
      </vt:variant>
      <vt:variant>
        <vt:i4>3211380</vt:i4>
      </vt:variant>
      <vt:variant>
        <vt:i4>45</vt:i4>
      </vt:variant>
      <vt:variant>
        <vt:i4>0</vt:i4>
      </vt:variant>
      <vt:variant>
        <vt:i4>5</vt:i4>
      </vt:variant>
      <vt:variant>
        <vt:lpwstr>http://www.nevo.co.il/case/13023134</vt:lpwstr>
      </vt:variant>
      <vt:variant>
        <vt:lpwstr/>
      </vt:variant>
      <vt:variant>
        <vt:i4>3997811</vt:i4>
      </vt:variant>
      <vt:variant>
        <vt:i4>42</vt:i4>
      </vt:variant>
      <vt:variant>
        <vt:i4>0</vt:i4>
      </vt:variant>
      <vt:variant>
        <vt:i4>5</vt:i4>
      </vt:variant>
      <vt:variant>
        <vt:lpwstr>http://www.nevo.co.il/case/27925239</vt:lpwstr>
      </vt:variant>
      <vt:variant>
        <vt:lpwstr/>
      </vt:variant>
      <vt:variant>
        <vt:i4>3342449</vt:i4>
      </vt:variant>
      <vt:variant>
        <vt:i4>39</vt:i4>
      </vt:variant>
      <vt:variant>
        <vt:i4>0</vt:i4>
      </vt:variant>
      <vt:variant>
        <vt:i4>5</vt:i4>
      </vt:variant>
      <vt:variant>
        <vt:lpwstr>http://www.nevo.co.il/case/27513376</vt:lpwstr>
      </vt:variant>
      <vt:variant>
        <vt:lpwstr/>
      </vt:variant>
      <vt:variant>
        <vt:i4>3604604</vt:i4>
      </vt:variant>
      <vt:variant>
        <vt:i4>36</vt:i4>
      </vt:variant>
      <vt:variant>
        <vt:i4>0</vt:i4>
      </vt:variant>
      <vt:variant>
        <vt:i4>5</vt:i4>
      </vt:variant>
      <vt:variant>
        <vt:lpwstr>http://www.nevo.co.il/case/26888657</vt:lpwstr>
      </vt:variant>
      <vt:variant>
        <vt:lpwstr/>
      </vt:variant>
      <vt:variant>
        <vt:i4>3407997</vt:i4>
      </vt:variant>
      <vt:variant>
        <vt:i4>33</vt:i4>
      </vt:variant>
      <vt:variant>
        <vt:i4>0</vt:i4>
      </vt:variant>
      <vt:variant>
        <vt:i4>5</vt:i4>
      </vt:variant>
      <vt:variant>
        <vt:lpwstr>http://www.nevo.co.il/case/20817891</vt:lpwstr>
      </vt:variant>
      <vt:variant>
        <vt:lpwstr/>
      </vt:variant>
      <vt:variant>
        <vt:i4>3539065</vt:i4>
      </vt:variant>
      <vt:variant>
        <vt:i4>30</vt:i4>
      </vt:variant>
      <vt:variant>
        <vt:i4>0</vt:i4>
      </vt:variant>
      <vt:variant>
        <vt:i4>5</vt:i4>
      </vt:variant>
      <vt:variant>
        <vt:lpwstr>http://www.nevo.co.il/case/13093744</vt:lpwstr>
      </vt:variant>
      <vt:variant>
        <vt:lpwstr/>
      </vt:variant>
      <vt:variant>
        <vt:i4>3407990</vt:i4>
      </vt:variant>
      <vt:variant>
        <vt:i4>27</vt:i4>
      </vt:variant>
      <vt:variant>
        <vt:i4>0</vt:i4>
      </vt:variant>
      <vt:variant>
        <vt:i4>5</vt:i4>
      </vt:variant>
      <vt:variant>
        <vt:lpwstr>http://www.nevo.co.il/case/21771409</vt:lpwstr>
      </vt:variant>
      <vt:variant>
        <vt:lpwstr/>
      </vt:variant>
      <vt:variant>
        <vt:i4>3211377</vt:i4>
      </vt:variant>
      <vt:variant>
        <vt:i4>24</vt:i4>
      </vt:variant>
      <vt:variant>
        <vt:i4>0</vt:i4>
      </vt:variant>
      <vt:variant>
        <vt:i4>5</vt:i4>
      </vt:variant>
      <vt:variant>
        <vt:lpwstr>http://www.nevo.co.il/case/27115374</vt:lpwstr>
      </vt:variant>
      <vt:variant>
        <vt:lpwstr/>
      </vt:variant>
      <vt:variant>
        <vt:i4>3539061</vt:i4>
      </vt:variant>
      <vt:variant>
        <vt:i4>21</vt:i4>
      </vt:variant>
      <vt:variant>
        <vt:i4>0</vt:i4>
      </vt:variant>
      <vt:variant>
        <vt:i4>5</vt:i4>
      </vt:variant>
      <vt:variant>
        <vt:lpwstr>http://www.nevo.co.il/case/28513828</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10335</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סעיד אבו עאמר;ויאם אבו עאמר- נדון</vt:lpwstr>
  </property>
  <property fmtid="{D5CDD505-2E9C-101B-9397-08002B2CF9AE}" pid="10" name="LAWYER">
    <vt:lpwstr>נועה עוזרי;שני מורן</vt:lpwstr>
  </property>
  <property fmtid="{D5CDD505-2E9C-101B-9397-08002B2CF9AE}" pid="11" name="JUDGE">
    <vt:lpwstr>דורית סבן</vt:lpwstr>
  </property>
  <property fmtid="{D5CDD505-2E9C-101B-9397-08002B2CF9AE}" pid="12" name="CITY">
    <vt:lpwstr>רמ'</vt:lpwstr>
  </property>
  <property fmtid="{D5CDD505-2E9C-101B-9397-08002B2CF9AE}" pid="13" name="DATE">
    <vt:lpwstr>20250109</vt:lpwstr>
  </property>
  <property fmtid="{D5CDD505-2E9C-101B-9397-08002B2CF9AE}" pid="14" name="TYPE_N_DATE">
    <vt:lpwstr>38020250109</vt:lpwstr>
  </property>
  <property fmtid="{D5CDD505-2E9C-101B-9397-08002B2CF9AE}" pid="15" name="CASESLISTTMP1">
    <vt:lpwstr>28513828:2;27115374;21771409;13093744;20817891;26888657;27513376;27925239;13023134;5878120;29655260;28400048;26913995;31987712;30053166;28883087;25528737;28257427;26756301;29379221;30699728;33147894;27399392;27648787;25760654;27472496;27455704;28963593</vt:lpwstr>
  </property>
  <property fmtid="{D5CDD505-2E9C-101B-9397-08002B2CF9AE}" pid="16" name="CASESLISTTMP2">
    <vt:lpwstr>30279529</vt:lpwstr>
  </property>
  <property fmtid="{D5CDD505-2E9C-101B-9397-08002B2CF9AE}" pid="17" name="CASENOTES1">
    <vt:lpwstr>ProcID=209&amp;PartA=4197&amp;PartB=05&amp;PartC=22</vt:lpwstr>
  </property>
  <property fmtid="{D5CDD505-2E9C-101B-9397-08002B2CF9AE}" pid="18" name="WORDNUMPAGES">
    <vt:lpwstr>10</vt:lpwstr>
  </property>
  <property fmtid="{D5CDD505-2E9C-101B-9397-08002B2CF9AE}" pid="19" name="TYPE_ABS_DATE">
    <vt:lpwstr>380020250109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70301/144.a;499.a.1</vt:lpwstr>
  </property>
</Properties>
</file>