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859BD" w:rsidRPr="004D49AE" w14:paraId="0099174C" w14:textId="77777777" w:rsidTr="000976DE">
        <w:trPr>
          <w:trHeight w:hRule="exact" w:val="418"/>
          <w:jc w:val="center"/>
        </w:trPr>
        <w:tc>
          <w:tcPr>
            <w:tcW w:w="8721" w:type="dxa"/>
            <w:gridSpan w:val="2"/>
          </w:tcPr>
          <w:p w14:paraId="5278D53B" w14:textId="77777777" w:rsidR="007859BD" w:rsidRPr="004D49AE" w:rsidRDefault="007859BD" w:rsidP="00780A00">
            <w:pPr>
              <w:pStyle w:val="a3"/>
              <w:jc w:val="center"/>
              <w:rPr>
                <w:rFonts w:ascii="Tahoma" w:hAnsi="Tahoma" w:cs="Tahoma"/>
                <w:color w:val="000080"/>
                <w:rtl/>
              </w:rPr>
            </w:pPr>
            <w:bookmarkStart w:id="0" w:name="LastJudge"/>
            <w:r w:rsidRPr="004D49AE">
              <w:rPr>
                <w:rFonts w:ascii="Tahoma" w:hAnsi="Tahoma" w:cs="Tahoma"/>
                <w:b/>
                <w:bCs/>
                <w:color w:val="000080"/>
                <w:rtl/>
              </w:rPr>
              <w:t>בית משפט השלום בחיפה</w:t>
            </w:r>
          </w:p>
        </w:tc>
      </w:tr>
      <w:tr w:rsidR="007859BD" w:rsidRPr="004D49AE" w14:paraId="6D37FDB7" w14:textId="77777777" w:rsidTr="000976DE">
        <w:trPr>
          <w:trHeight w:val="337"/>
          <w:jc w:val="center"/>
        </w:trPr>
        <w:tc>
          <w:tcPr>
            <w:tcW w:w="5059" w:type="dxa"/>
          </w:tcPr>
          <w:p w14:paraId="0C1F7071" w14:textId="77777777" w:rsidR="007859BD" w:rsidRPr="004D49AE" w:rsidRDefault="007859BD" w:rsidP="00780A00">
            <w:pPr>
              <w:rPr>
                <w:rFonts w:cs="FrankRuehl"/>
                <w:sz w:val="28"/>
                <w:szCs w:val="28"/>
                <w:rtl/>
              </w:rPr>
            </w:pPr>
            <w:r w:rsidRPr="004D49AE">
              <w:rPr>
                <w:rFonts w:cs="FrankRuehl"/>
                <w:sz w:val="28"/>
                <w:szCs w:val="28"/>
                <w:rtl/>
              </w:rPr>
              <w:t>ת"פ</w:t>
            </w:r>
            <w:r w:rsidRPr="004D49AE">
              <w:rPr>
                <w:rFonts w:cs="FrankRuehl" w:hint="cs"/>
                <w:sz w:val="28"/>
                <w:szCs w:val="28"/>
                <w:rtl/>
              </w:rPr>
              <w:t xml:space="preserve"> </w:t>
            </w:r>
            <w:r w:rsidRPr="004D49AE">
              <w:rPr>
                <w:rFonts w:cs="FrankRuehl"/>
                <w:sz w:val="28"/>
                <w:szCs w:val="28"/>
                <w:rtl/>
              </w:rPr>
              <w:t>18094-06-24</w:t>
            </w:r>
            <w:r w:rsidRPr="004D49AE">
              <w:rPr>
                <w:rFonts w:cs="FrankRuehl" w:hint="cs"/>
                <w:sz w:val="28"/>
                <w:szCs w:val="28"/>
                <w:rtl/>
              </w:rPr>
              <w:t xml:space="preserve"> </w:t>
            </w:r>
            <w:r w:rsidRPr="004D49AE">
              <w:rPr>
                <w:rFonts w:cs="FrankRuehl"/>
                <w:sz w:val="28"/>
                <w:szCs w:val="28"/>
                <w:rtl/>
              </w:rPr>
              <w:t>מדינת ישראל נ' זבידאת(עציר)</w:t>
            </w:r>
          </w:p>
          <w:p w14:paraId="2D294A83" w14:textId="77777777" w:rsidR="007859BD" w:rsidRPr="004D49AE" w:rsidRDefault="007859BD" w:rsidP="00780A00">
            <w:pPr>
              <w:pStyle w:val="a3"/>
              <w:rPr>
                <w:rFonts w:cs="FrankRuehl"/>
                <w:sz w:val="28"/>
                <w:szCs w:val="28"/>
                <w:rtl/>
              </w:rPr>
            </w:pPr>
          </w:p>
        </w:tc>
        <w:tc>
          <w:tcPr>
            <w:tcW w:w="3662" w:type="dxa"/>
          </w:tcPr>
          <w:p w14:paraId="241C500E" w14:textId="77777777" w:rsidR="007859BD" w:rsidRPr="004D49AE" w:rsidRDefault="007859BD" w:rsidP="00780A00">
            <w:pPr>
              <w:pStyle w:val="a3"/>
              <w:jc w:val="right"/>
              <w:rPr>
                <w:rFonts w:cs="FrankRuehl"/>
                <w:sz w:val="28"/>
                <w:szCs w:val="28"/>
                <w:rtl/>
              </w:rPr>
            </w:pPr>
          </w:p>
        </w:tc>
      </w:tr>
    </w:tbl>
    <w:p w14:paraId="180D48C3" w14:textId="77777777" w:rsidR="007859BD" w:rsidRPr="004D49AE" w:rsidRDefault="007859BD" w:rsidP="007859BD">
      <w:pPr>
        <w:pStyle w:val="a3"/>
        <w:rPr>
          <w:rtl/>
        </w:rPr>
      </w:pPr>
      <w:r w:rsidRPr="004D49AE">
        <w:rPr>
          <w:rFonts w:hint="cs"/>
          <w:rtl/>
        </w:rPr>
        <w:t xml:space="preserve"> </w:t>
      </w:r>
    </w:p>
    <w:p w14:paraId="50AD12AB" w14:textId="77777777" w:rsidR="007859BD" w:rsidRPr="004D49AE" w:rsidRDefault="007859BD" w:rsidP="007859BD">
      <w:pPr>
        <w:rPr>
          <w:rtl/>
        </w:rPr>
      </w:pPr>
    </w:p>
    <w:p w14:paraId="1AB1FBF2" w14:textId="77777777" w:rsidR="007859BD" w:rsidRPr="004D49AE" w:rsidRDefault="007859BD" w:rsidP="007859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859BD" w:rsidRPr="004D49AE" w14:paraId="338850C2" w14:textId="77777777" w:rsidTr="007859BD">
        <w:trPr>
          <w:trHeight w:val="295"/>
          <w:jc w:val="center"/>
        </w:trPr>
        <w:tc>
          <w:tcPr>
            <w:tcW w:w="923" w:type="dxa"/>
            <w:tcBorders>
              <w:top w:val="nil"/>
              <w:left w:val="nil"/>
              <w:bottom w:val="nil"/>
              <w:right w:val="nil"/>
            </w:tcBorders>
            <w:shd w:val="clear" w:color="auto" w:fill="auto"/>
          </w:tcPr>
          <w:p w14:paraId="391B33E1" w14:textId="77777777" w:rsidR="007859BD" w:rsidRPr="004D49AE" w:rsidRDefault="007859BD" w:rsidP="007859BD">
            <w:pPr>
              <w:jc w:val="both"/>
              <w:rPr>
                <w:rFonts w:ascii="David" w:hAnsi="David"/>
                <w:sz w:val="26"/>
                <w:szCs w:val="26"/>
              </w:rPr>
            </w:pPr>
            <w:r w:rsidRPr="004D49AE">
              <w:rPr>
                <w:rFonts w:ascii="David" w:hAnsi="David" w:hint="cs"/>
                <w:sz w:val="26"/>
                <w:szCs w:val="26"/>
                <w:rtl/>
              </w:rPr>
              <w:t>ל</w:t>
            </w:r>
            <w:r w:rsidRPr="004D49A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3A204B8" w14:textId="77777777" w:rsidR="007859BD" w:rsidRPr="004D49AE" w:rsidRDefault="007859BD" w:rsidP="00780A00">
            <w:pPr>
              <w:rPr>
                <w:rFonts w:ascii="David" w:hAnsi="David"/>
                <w:b/>
                <w:bCs/>
                <w:sz w:val="26"/>
                <w:szCs w:val="26"/>
                <w:rtl/>
              </w:rPr>
            </w:pPr>
            <w:r w:rsidRPr="004D49AE">
              <w:rPr>
                <w:rFonts w:ascii="David" w:hAnsi="David"/>
                <w:b/>
                <w:bCs/>
                <w:sz w:val="26"/>
                <w:szCs w:val="26"/>
                <w:rtl/>
              </w:rPr>
              <w:t>כבוד השופטת  מריה פיקוס בוגדאנוב</w:t>
            </w:r>
          </w:p>
          <w:p w14:paraId="599BF9B5" w14:textId="77777777" w:rsidR="007859BD" w:rsidRPr="004D49AE" w:rsidRDefault="007859BD" w:rsidP="00780A00">
            <w:pPr>
              <w:rPr>
                <w:rFonts w:ascii="David" w:hAnsi="David"/>
                <w:sz w:val="26"/>
                <w:szCs w:val="26"/>
                <w:rtl/>
              </w:rPr>
            </w:pPr>
          </w:p>
          <w:p w14:paraId="4FC7800D" w14:textId="77777777" w:rsidR="007859BD" w:rsidRPr="004D49AE" w:rsidRDefault="007859BD" w:rsidP="007859BD">
            <w:pPr>
              <w:jc w:val="both"/>
              <w:rPr>
                <w:rFonts w:ascii="David" w:hAnsi="David"/>
                <w:sz w:val="26"/>
                <w:szCs w:val="26"/>
              </w:rPr>
            </w:pPr>
          </w:p>
        </w:tc>
      </w:tr>
      <w:tr w:rsidR="007859BD" w:rsidRPr="004D49AE" w14:paraId="65B18AF5" w14:textId="77777777" w:rsidTr="007859BD">
        <w:trPr>
          <w:trHeight w:val="355"/>
          <w:jc w:val="center"/>
        </w:trPr>
        <w:tc>
          <w:tcPr>
            <w:tcW w:w="923" w:type="dxa"/>
            <w:tcBorders>
              <w:top w:val="nil"/>
              <w:left w:val="nil"/>
              <w:bottom w:val="nil"/>
              <w:right w:val="nil"/>
            </w:tcBorders>
            <w:shd w:val="clear" w:color="auto" w:fill="auto"/>
          </w:tcPr>
          <w:p w14:paraId="0F8EFABF" w14:textId="77777777" w:rsidR="007859BD" w:rsidRPr="004D49AE" w:rsidRDefault="007859BD" w:rsidP="007859BD">
            <w:pPr>
              <w:jc w:val="both"/>
              <w:rPr>
                <w:rFonts w:ascii="David" w:hAnsi="David"/>
                <w:sz w:val="26"/>
                <w:szCs w:val="26"/>
              </w:rPr>
            </w:pPr>
            <w:bookmarkStart w:id="1" w:name="FirstAppellant"/>
            <w:r w:rsidRPr="004D49AE">
              <w:rPr>
                <w:rFonts w:ascii="David" w:hAnsi="David"/>
                <w:sz w:val="26"/>
                <w:szCs w:val="26"/>
                <w:rtl/>
              </w:rPr>
              <w:t>בעניין:</w:t>
            </w:r>
          </w:p>
        </w:tc>
        <w:tc>
          <w:tcPr>
            <w:tcW w:w="3219" w:type="dxa"/>
            <w:tcBorders>
              <w:top w:val="nil"/>
              <w:left w:val="nil"/>
              <w:bottom w:val="nil"/>
              <w:right w:val="nil"/>
            </w:tcBorders>
            <w:shd w:val="clear" w:color="auto" w:fill="auto"/>
          </w:tcPr>
          <w:p w14:paraId="7B3623CF" w14:textId="77777777" w:rsidR="007859BD" w:rsidRPr="004D49AE" w:rsidRDefault="007859BD" w:rsidP="007859BD">
            <w:pPr>
              <w:suppressLineNumbers/>
            </w:pPr>
            <w:r w:rsidRPr="004D49AE">
              <w:rPr>
                <w:rFonts w:ascii="Arial" w:hAnsi="Arial" w:hint="cs"/>
                <w:b/>
                <w:bCs/>
                <w:sz w:val="26"/>
                <w:szCs w:val="26"/>
                <w:rtl/>
              </w:rPr>
              <w:t>ה</w:t>
            </w:r>
            <w:r w:rsidRPr="004D49AE">
              <w:rPr>
                <w:rFonts w:ascii="Arial" w:hAnsi="Arial"/>
                <w:b/>
                <w:bCs/>
                <w:sz w:val="26"/>
                <w:szCs w:val="26"/>
                <w:rtl/>
              </w:rPr>
              <w:t>מאשימה</w:t>
            </w:r>
          </w:p>
          <w:p w14:paraId="6708C5C4" w14:textId="77777777" w:rsidR="007859BD" w:rsidRPr="004D49AE" w:rsidRDefault="007859BD" w:rsidP="00780A00">
            <w:pPr>
              <w:rPr>
                <w:rFonts w:ascii="David" w:hAnsi="David"/>
                <w:sz w:val="26"/>
                <w:szCs w:val="26"/>
              </w:rPr>
            </w:pPr>
          </w:p>
        </w:tc>
        <w:tc>
          <w:tcPr>
            <w:tcW w:w="4678" w:type="dxa"/>
            <w:tcBorders>
              <w:top w:val="nil"/>
              <w:left w:val="nil"/>
              <w:bottom w:val="nil"/>
              <w:right w:val="nil"/>
            </w:tcBorders>
            <w:shd w:val="clear" w:color="auto" w:fill="auto"/>
            <w:vAlign w:val="center"/>
          </w:tcPr>
          <w:p w14:paraId="5697DCEC" w14:textId="77777777" w:rsidR="007859BD" w:rsidRPr="004D49AE" w:rsidRDefault="007859BD" w:rsidP="007859BD">
            <w:pPr>
              <w:suppressLineNumbers/>
            </w:pPr>
            <w:r w:rsidRPr="004D49AE">
              <w:rPr>
                <w:rFonts w:ascii="Arial" w:hAnsi="Arial"/>
                <w:b/>
                <w:bCs/>
                <w:sz w:val="26"/>
                <w:szCs w:val="26"/>
                <w:rtl/>
              </w:rPr>
              <w:t>מדינת ישראל</w:t>
            </w:r>
            <w:r w:rsidRPr="004D49AE">
              <w:rPr>
                <w:rFonts w:ascii="Arial" w:hAnsi="Arial" w:hint="cs"/>
                <w:b/>
                <w:bCs/>
                <w:sz w:val="26"/>
                <w:szCs w:val="26"/>
                <w:rtl/>
              </w:rPr>
              <w:t xml:space="preserve">  </w:t>
            </w:r>
          </w:p>
          <w:p w14:paraId="1B033915" w14:textId="77777777" w:rsidR="007859BD" w:rsidRPr="004D49AE" w:rsidRDefault="007859BD" w:rsidP="00780A00">
            <w:pPr>
              <w:rPr>
                <w:rFonts w:ascii="David" w:hAnsi="David"/>
                <w:sz w:val="26"/>
                <w:szCs w:val="26"/>
              </w:rPr>
            </w:pPr>
          </w:p>
        </w:tc>
      </w:tr>
      <w:bookmarkEnd w:id="1"/>
      <w:tr w:rsidR="007859BD" w:rsidRPr="004D49AE" w14:paraId="77AB5DED" w14:textId="77777777" w:rsidTr="007859BD">
        <w:trPr>
          <w:trHeight w:val="355"/>
          <w:jc w:val="center"/>
        </w:trPr>
        <w:tc>
          <w:tcPr>
            <w:tcW w:w="923" w:type="dxa"/>
            <w:tcBorders>
              <w:top w:val="nil"/>
              <w:left w:val="nil"/>
              <w:bottom w:val="nil"/>
              <w:right w:val="nil"/>
            </w:tcBorders>
            <w:shd w:val="clear" w:color="auto" w:fill="auto"/>
          </w:tcPr>
          <w:p w14:paraId="672CB8E9" w14:textId="77777777" w:rsidR="007859BD" w:rsidRPr="004D49AE" w:rsidRDefault="007859BD" w:rsidP="007859B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BEAFAA" w14:textId="77777777" w:rsidR="007859BD" w:rsidRPr="004D49AE" w:rsidRDefault="007859BD" w:rsidP="007859BD">
            <w:pPr>
              <w:jc w:val="center"/>
              <w:rPr>
                <w:rFonts w:ascii="David" w:hAnsi="David"/>
                <w:b/>
                <w:bCs/>
                <w:sz w:val="26"/>
                <w:szCs w:val="26"/>
                <w:rtl/>
              </w:rPr>
            </w:pPr>
          </w:p>
          <w:p w14:paraId="6365F19C" w14:textId="77777777" w:rsidR="007859BD" w:rsidRPr="004D49AE" w:rsidRDefault="007859BD" w:rsidP="007859BD">
            <w:pPr>
              <w:jc w:val="center"/>
              <w:rPr>
                <w:rFonts w:ascii="David" w:hAnsi="David"/>
                <w:b/>
                <w:bCs/>
                <w:sz w:val="26"/>
                <w:szCs w:val="26"/>
                <w:rtl/>
              </w:rPr>
            </w:pPr>
            <w:r w:rsidRPr="004D49AE">
              <w:rPr>
                <w:rFonts w:ascii="David" w:hAnsi="David"/>
                <w:b/>
                <w:bCs/>
                <w:sz w:val="26"/>
                <w:szCs w:val="26"/>
                <w:rtl/>
              </w:rPr>
              <w:t>נגד</w:t>
            </w:r>
          </w:p>
          <w:p w14:paraId="58F2DA3E" w14:textId="77777777" w:rsidR="007859BD" w:rsidRPr="004D49AE" w:rsidRDefault="007859BD" w:rsidP="007859BD">
            <w:pPr>
              <w:jc w:val="both"/>
              <w:rPr>
                <w:rFonts w:ascii="David" w:hAnsi="David"/>
                <w:sz w:val="26"/>
                <w:szCs w:val="26"/>
              </w:rPr>
            </w:pPr>
          </w:p>
        </w:tc>
      </w:tr>
      <w:tr w:rsidR="007859BD" w:rsidRPr="004D49AE" w14:paraId="5E41EADB" w14:textId="77777777" w:rsidTr="007859BD">
        <w:trPr>
          <w:trHeight w:val="355"/>
          <w:jc w:val="center"/>
        </w:trPr>
        <w:tc>
          <w:tcPr>
            <w:tcW w:w="923" w:type="dxa"/>
            <w:tcBorders>
              <w:top w:val="nil"/>
              <w:left w:val="nil"/>
              <w:bottom w:val="nil"/>
              <w:right w:val="nil"/>
            </w:tcBorders>
            <w:shd w:val="clear" w:color="auto" w:fill="auto"/>
          </w:tcPr>
          <w:p w14:paraId="043F5266" w14:textId="77777777" w:rsidR="007859BD" w:rsidRPr="004D49AE" w:rsidRDefault="007859BD" w:rsidP="00780A00">
            <w:pPr>
              <w:rPr>
                <w:rFonts w:ascii="David" w:hAnsi="David"/>
                <w:sz w:val="26"/>
                <w:szCs w:val="26"/>
                <w:rtl/>
              </w:rPr>
            </w:pPr>
          </w:p>
        </w:tc>
        <w:tc>
          <w:tcPr>
            <w:tcW w:w="3219" w:type="dxa"/>
            <w:tcBorders>
              <w:top w:val="nil"/>
              <w:left w:val="nil"/>
              <w:bottom w:val="nil"/>
              <w:right w:val="nil"/>
            </w:tcBorders>
            <w:shd w:val="clear" w:color="auto" w:fill="auto"/>
          </w:tcPr>
          <w:p w14:paraId="0C48CBEE" w14:textId="77777777" w:rsidR="007859BD" w:rsidRPr="004D49AE" w:rsidRDefault="007859BD" w:rsidP="00780A00">
            <w:pPr>
              <w:rPr>
                <w:rFonts w:ascii="Arial" w:hAnsi="Arial"/>
                <w:b/>
                <w:bCs/>
                <w:sz w:val="26"/>
                <w:szCs w:val="26"/>
                <w:rtl/>
              </w:rPr>
            </w:pPr>
            <w:r w:rsidRPr="004D49A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C417C4" w14:textId="77777777" w:rsidR="007859BD" w:rsidRPr="004D49AE" w:rsidRDefault="007859BD" w:rsidP="007859BD">
            <w:pPr>
              <w:suppressLineNumbers/>
            </w:pPr>
            <w:r w:rsidRPr="004D49AE">
              <w:rPr>
                <w:rFonts w:ascii="Arial" w:hAnsi="Arial"/>
                <w:b/>
                <w:bCs/>
                <w:sz w:val="26"/>
                <w:szCs w:val="26"/>
                <w:rtl/>
              </w:rPr>
              <w:t>עובדה זבידאת (עציר)</w:t>
            </w:r>
            <w:r w:rsidRPr="004D49AE">
              <w:rPr>
                <w:rFonts w:ascii="Arial" w:hAnsi="Arial" w:hint="cs"/>
                <w:b/>
                <w:bCs/>
                <w:sz w:val="26"/>
                <w:szCs w:val="26"/>
                <w:rtl/>
              </w:rPr>
              <w:t xml:space="preserve">  </w:t>
            </w:r>
          </w:p>
          <w:p w14:paraId="00D09DC9" w14:textId="77777777" w:rsidR="007859BD" w:rsidRPr="004D49AE" w:rsidRDefault="007859BD" w:rsidP="00780A00">
            <w:pPr>
              <w:rPr>
                <w:rFonts w:ascii="David" w:hAnsi="David"/>
                <w:sz w:val="26"/>
                <w:szCs w:val="26"/>
              </w:rPr>
            </w:pPr>
          </w:p>
        </w:tc>
      </w:tr>
    </w:tbl>
    <w:p w14:paraId="21DBAE4D" w14:textId="77777777" w:rsidR="004D49AE" w:rsidRPr="004D49AE" w:rsidRDefault="004D49AE" w:rsidP="004D49AE">
      <w:pPr>
        <w:spacing w:before="120" w:after="120" w:line="240" w:lineRule="exact"/>
        <w:ind w:left="283" w:hanging="283"/>
        <w:jc w:val="both"/>
        <w:rPr>
          <w:rFonts w:ascii="FrankRuehl" w:hAnsi="FrankRuehl" w:cs="FrankRuehl"/>
          <w:rtl/>
        </w:rPr>
      </w:pPr>
    </w:p>
    <w:p w14:paraId="03BA7DA5" w14:textId="77777777" w:rsidR="000976DE" w:rsidRPr="000976DE" w:rsidRDefault="000976DE" w:rsidP="000976DE">
      <w:pPr>
        <w:spacing w:before="120" w:after="120" w:line="240" w:lineRule="exact"/>
        <w:ind w:left="283" w:hanging="283"/>
        <w:jc w:val="both"/>
        <w:rPr>
          <w:rFonts w:ascii="FrankRuehl" w:hAnsi="FrankRuehl" w:cs="FrankRuehl"/>
          <w:rtl/>
        </w:rPr>
      </w:pPr>
      <w:bookmarkStart w:id="2" w:name="LawTable"/>
      <w:bookmarkEnd w:id="2"/>
      <w:r w:rsidRPr="000976DE">
        <w:rPr>
          <w:rFonts w:ascii="FrankRuehl" w:hAnsi="FrankRuehl" w:cs="FrankRuehl"/>
          <w:rtl/>
        </w:rPr>
        <w:t xml:space="preserve">חקיקה שאוזכרה: </w:t>
      </w:r>
    </w:p>
    <w:p w14:paraId="2472C2DD" w14:textId="77777777" w:rsidR="000976DE" w:rsidRPr="000976DE" w:rsidRDefault="000976DE" w:rsidP="000976DE">
      <w:pPr>
        <w:spacing w:before="120" w:after="120" w:line="240" w:lineRule="exact"/>
        <w:ind w:left="283" w:hanging="283"/>
        <w:jc w:val="both"/>
        <w:rPr>
          <w:rFonts w:ascii="FrankRuehl" w:hAnsi="FrankRuehl" w:cs="FrankRuehl"/>
          <w:color w:val="0000FF"/>
          <w:rtl/>
        </w:rPr>
      </w:pPr>
      <w:hyperlink r:id="rId7" w:history="1">
        <w:r w:rsidRPr="000976DE">
          <w:rPr>
            <w:rStyle w:val="Hyperlink"/>
            <w:rFonts w:ascii="FrankRuehl" w:hAnsi="FrankRuehl" w:cs="FrankRuehl"/>
            <w:u w:val="none"/>
            <w:rtl/>
          </w:rPr>
          <w:t>חוק העונשין, תשל"ז-1977</w:t>
        </w:r>
      </w:hyperlink>
      <w:r w:rsidRPr="000976DE">
        <w:rPr>
          <w:rFonts w:ascii="FrankRuehl" w:hAnsi="FrankRuehl" w:cs="FrankRuehl"/>
          <w:color w:val="0000FF"/>
          <w:rtl/>
        </w:rPr>
        <w:t xml:space="preserve">: סע'  </w:t>
      </w:r>
      <w:hyperlink r:id="rId8" w:history="1">
        <w:r w:rsidRPr="000976DE">
          <w:rPr>
            <w:rStyle w:val="Hyperlink"/>
            <w:rFonts w:ascii="FrankRuehl" w:hAnsi="FrankRuehl" w:cs="FrankRuehl"/>
            <w:u w:val="none"/>
          </w:rPr>
          <w:t>29</w:t>
        </w:r>
      </w:hyperlink>
      <w:r w:rsidRPr="000976DE">
        <w:rPr>
          <w:rFonts w:ascii="FrankRuehl" w:hAnsi="FrankRuehl" w:cs="FrankRuehl"/>
          <w:color w:val="0000FF"/>
          <w:rtl/>
        </w:rPr>
        <w:t xml:space="preserve">, </w:t>
      </w:r>
      <w:hyperlink r:id="rId9" w:history="1">
        <w:r w:rsidRPr="000976DE">
          <w:rPr>
            <w:rStyle w:val="Hyperlink"/>
            <w:rFonts w:ascii="FrankRuehl" w:hAnsi="FrankRuehl" w:cs="FrankRuehl"/>
            <w:u w:val="none"/>
          </w:rPr>
          <w:t>40</w:t>
        </w:r>
        <w:r w:rsidRPr="000976DE">
          <w:rPr>
            <w:rStyle w:val="Hyperlink"/>
            <w:rFonts w:ascii="FrankRuehl" w:hAnsi="FrankRuehl" w:cs="FrankRuehl"/>
            <w:u w:val="none"/>
            <w:rtl/>
          </w:rPr>
          <w:t>ג</w:t>
        </w:r>
      </w:hyperlink>
      <w:r w:rsidRPr="000976DE">
        <w:rPr>
          <w:rFonts w:ascii="FrankRuehl" w:hAnsi="FrankRuehl" w:cs="FrankRuehl"/>
          <w:color w:val="0000FF"/>
          <w:rtl/>
        </w:rPr>
        <w:t xml:space="preserve">(א), </w:t>
      </w:r>
      <w:hyperlink r:id="rId10" w:history="1">
        <w:r w:rsidRPr="000976DE">
          <w:rPr>
            <w:rStyle w:val="Hyperlink"/>
            <w:rFonts w:ascii="FrankRuehl" w:hAnsi="FrankRuehl" w:cs="FrankRuehl"/>
            <w:u w:val="none"/>
          </w:rPr>
          <w:t>144</w:t>
        </w:r>
      </w:hyperlink>
      <w:r w:rsidRPr="000976DE">
        <w:rPr>
          <w:rFonts w:ascii="FrankRuehl" w:hAnsi="FrankRuehl" w:cs="FrankRuehl"/>
          <w:color w:val="0000FF"/>
          <w:rtl/>
        </w:rPr>
        <w:t xml:space="preserve">(א), </w:t>
      </w:r>
      <w:hyperlink r:id="rId11" w:history="1">
        <w:r w:rsidRPr="000976DE">
          <w:rPr>
            <w:rStyle w:val="Hyperlink"/>
            <w:rFonts w:ascii="FrankRuehl" w:hAnsi="FrankRuehl" w:cs="FrankRuehl"/>
            <w:u w:val="none"/>
          </w:rPr>
          <w:t xml:space="preserve">144 </w:t>
        </w:r>
      </w:hyperlink>
      <w:r w:rsidRPr="000976DE">
        <w:rPr>
          <w:rFonts w:ascii="FrankRuehl" w:hAnsi="FrankRuehl" w:cs="FrankRuehl"/>
          <w:color w:val="0000FF"/>
          <w:rtl/>
        </w:rPr>
        <w:t xml:space="preserve">(ב), </w:t>
      </w:r>
      <w:hyperlink r:id="rId12" w:history="1">
        <w:r w:rsidRPr="000976DE">
          <w:rPr>
            <w:rStyle w:val="Hyperlink"/>
            <w:rFonts w:ascii="FrankRuehl" w:hAnsi="FrankRuehl" w:cs="FrankRuehl"/>
            <w:u w:val="none"/>
          </w:rPr>
          <w:t>144</w:t>
        </w:r>
      </w:hyperlink>
      <w:r w:rsidRPr="000976DE">
        <w:rPr>
          <w:rFonts w:ascii="FrankRuehl" w:hAnsi="FrankRuehl" w:cs="FrankRuehl"/>
          <w:color w:val="0000FF"/>
          <w:rtl/>
        </w:rPr>
        <w:t>(ז)</w:t>
      </w:r>
    </w:p>
    <w:p w14:paraId="61AA5A4C" w14:textId="77777777" w:rsidR="007859BD" w:rsidRPr="000976DE" w:rsidRDefault="007859BD" w:rsidP="000976DE">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59BD" w:rsidRPr="0098543B" w14:paraId="5F3ED5BE" w14:textId="77777777" w:rsidTr="007859BD">
        <w:trPr>
          <w:trHeight w:val="355"/>
          <w:jc w:val="center"/>
        </w:trPr>
        <w:tc>
          <w:tcPr>
            <w:tcW w:w="8820" w:type="dxa"/>
            <w:tcBorders>
              <w:top w:val="nil"/>
              <w:left w:val="nil"/>
              <w:bottom w:val="nil"/>
              <w:right w:val="nil"/>
            </w:tcBorders>
            <w:shd w:val="clear" w:color="auto" w:fill="auto"/>
          </w:tcPr>
          <w:p w14:paraId="5F56F06C" w14:textId="77777777" w:rsidR="004D49AE" w:rsidRPr="004D49AE" w:rsidRDefault="004D49AE" w:rsidP="004D49AE">
            <w:pPr>
              <w:jc w:val="center"/>
              <w:rPr>
                <w:rFonts w:ascii="David" w:hAnsi="David"/>
                <w:b/>
                <w:bCs/>
                <w:sz w:val="32"/>
                <w:szCs w:val="32"/>
                <w:u w:val="single"/>
                <w:rtl/>
              </w:rPr>
            </w:pPr>
            <w:bookmarkStart w:id="4" w:name="PsakDin" w:colFirst="0" w:colLast="0"/>
            <w:bookmarkEnd w:id="0"/>
            <w:r w:rsidRPr="004D49AE">
              <w:rPr>
                <w:rFonts w:ascii="David" w:hAnsi="David"/>
                <w:b/>
                <w:bCs/>
                <w:sz w:val="32"/>
                <w:szCs w:val="32"/>
                <w:u w:val="single"/>
                <w:rtl/>
              </w:rPr>
              <w:t>גזר דין</w:t>
            </w:r>
          </w:p>
          <w:p w14:paraId="25523EC5" w14:textId="77777777" w:rsidR="007859BD" w:rsidRPr="004D49AE" w:rsidRDefault="007859BD" w:rsidP="004D49AE">
            <w:pPr>
              <w:jc w:val="center"/>
              <w:rPr>
                <w:rFonts w:ascii="David" w:hAnsi="David"/>
                <w:bCs/>
                <w:sz w:val="32"/>
                <w:szCs w:val="32"/>
                <w:u w:val="single"/>
                <w:rtl/>
              </w:rPr>
            </w:pPr>
          </w:p>
        </w:tc>
      </w:tr>
      <w:bookmarkEnd w:id="4"/>
    </w:tbl>
    <w:p w14:paraId="089AD37C" w14:textId="77777777" w:rsidR="007859BD" w:rsidRPr="0098543B" w:rsidRDefault="007859BD" w:rsidP="007859BD">
      <w:pPr>
        <w:rPr>
          <w:rFonts w:ascii="Arial" w:hAnsi="Arial"/>
          <w:b/>
          <w:bCs/>
          <w:sz w:val="26"/>
          <w:szCs w:val="26"/>
          <w:rtl/>
        </w:rPr>
      </w:pPr>
    </w:p>
    <w:p w14:paraId="36B00062" w14:textId="77777777" w:rsidR="007859BD" w:rsidRPr="0098543B" w:rsidRDefault="007859BD" w:rsidP="007859BD">
      <w:pPr>
        <w:rPr>
          <w:rFonts w:ascii="Arial" w:hAnsi="Arial"/>
          <w:b/>
          <w:bCs/>
          <w:sz w:val="26"/>
          <w:szCs w:val="26"/>
          <w:rtl/>
        </w:rPr>
      </w:pPr>
    </w:p>
    <w:p w14:paraId="190B7C42" w14:textId="77777777" w:rsidR="007859BD" w:rsidRPr="0098543B" w:rsidRDefault="007859BD" w:rsidP="007859BD">
      <w:pPr>
        <w:spacing w:before="240" w:after="240" w:line="360" w:lineRule="auto"/>
        <w:jc w:val="both"/>
        <w:rPr>
          <w:rFonts w:ascii="Arial" w:hAnsi="Arial"/>
          <w:rtl/>
        </w:rPr>
      </w:pPr>
      <w:bookmarkStart w:id="5" w:name="ABSTRACT_START"/>
      <w:bookmarkEnd w:id="5"/>
      <w:r w:rsidRPr="0098543B">
        <w:rPr>
          <w:rFonts w:ascii="Arial" w:hAnsi="Arial" w:hint="cs"/>
          <w:rtl/>
        </w:rPr>
        <w:t xml:space="preserve">הנאשם הורשע, על סמך הודאתו, בביצוע עבירות בנשק (החזקה) בניגוד </w:t>
      </w:r>
      <w:hyperlink r:id="rId13" w:history="1">
        <w:r w:rsidR="000976DE" w:rsidRPr="000976DE">
          <w:rPr>
            <w:rStyle w:val="Hyperlink"/>
            <w:rFonts w:ascii="Arial" w:hAnsi="Arial" w:hint="eastAsia"/>
            <w:rtl/>
          </w:rPr>
          <w:t>לסעיף</w:t>
        </w:r>
        <w:r w:rsidR="000976DE" w:rsidRPr="000976DE">
          <w:rPr>
            <w:rStyle w:val="Hyperlink"/>
            <w:rFonts w:ascii="Arial" w:hAnsi="Arial"/>
            <w:rtl/>
          </w:rPr>
          <w:t xml:space="preserve"> 144(א)</w:t>
        </w:r>
      </w:hyperlink>
      <w:r w:rsidRPr="0098543B">
        <w:rPr>
          <w:rFonts w:ascii="Arial" w:hAnsi="Arial" w:hint="cs"/>
          <w:rtl/>
        </w:rPr>
        <w:t xml:space="preserve"> רישא + סיפא ל</w:t>
      </w:r>
      <w:hyperlink r:id="rId14" w:history="1">
        <w:r w:rsidR="004D49AE" w:rsidRPr="004D49AE">
          <w:rPr>
            <w:rFonts w:ascii="Arial" w:hAnsi="Arial"/>
            <w:color w:val="0000FF"/>
            <w:u w:val="single"/>
            <w:rtl/>
          </w:rPr>
          <w:t>חוק העונשין</w:t>
        </w:r>
      </w:hyperlink>
      <w:r w:rsidRPr="0098543B">
        <w:rPr>
          <w:rFonts w:ascii="Arial" w:hAnsi="Arial" w:hint="cs"/>
          <w:rtl/>
        </w:rPr>
        <w:t xml:space="preserve">, תשל"ז </w:t>
      </w:r>
      <w:r w:rsidRPr="0098543B">
        <w:rPr>
          <w:rFonts w:ascii="Arial" w:hAnsi="Arial"/>
          <w:rtl/>
        </w:rPr>
        <w:t>–</w:t>
      </w:r>
      <w:r w:rsidRPr="0098543B">
        <w:rPr>
          <w:rFonts w:ascii="Arial" w:hAnsi="Arial" w:hint="cs"/>
          <w:rtl/>
        </w:rPr>
        <w:t xml:space="preserve"> 1977 </w:t>
      </w:r>
      <w:bookmarkStart w:id="6" w:name="ABSTRACT_END"/>
      <w:bookmarkEnd w:id="6"/>
      <w:r w:rsidRPr="0098543B">
        <w:rPr>
          <w:rFonts w:ascii="Arial" w:hAnsi="Arial" w:hint="cs"/>
          <w:rtl/>
        </w:rPr>
        <w:t>(להלן: "</w:t>
      </w:r>
      <w:r w:rsidRPr="0098543B">
        <w:rPr>
          <w:rFonts w:ascii="Arial" w:hAnsi="Arial" w:hint="cs"/>
          <w:b/>
          <w:bCs/>
          <w:rtl/>
        </w:rPr>
        <w:t>חוק העונשין</w:t>
      </w:r>
      <w:r w:rsidRPr="0098543B">
        <w:rPr>
          <w:rFonts w:ascii="Arial" w:hAnsi="Arial" w:hint="cs"/>
          <w:rtl/>
        </w:rPr>
        <w:t xml:space="preserve">"). </w:t>
      </w:r>
    </w:p>
    <w:p w14:paraId="68AA9C7B" w14:textId="77777777" w:rsidR="007859BD" w:rsidRPr="0098543B" w:rsidRDefault="007859BD" w:rsidP="007859BD">
      <w:pPr>
        <w:spacing w:before="240" w:after="240" w:line="360" w:lineRule="auto"/>
        <w:jc w:val="both"/>
        <w:rPr>
          <w:rFonts w:ascii="Arial" w:hAnsi="Arial"/>
          <w:b/>
          <w:bCs/>
          <w:rtl/>
        </w:rPr>
      </w:pPr>
      <w:r w:rsidRPr="0098543B">
        <w:rPr>
          <w:rFonts w:ascii="Arial" w:hAnsi="Arial" w:hint="cs"/>
          <w:b/>
          <w:bCs/>
          <w:rtl/>
        </w:rPr>
        <w:t>עובדות כתב האישום בתמצית:</w:t>
      </w:r>
    </w:p>
    <w:p w14:paraId="744216D6"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בתאריך 20.5.24 סמוך לשעה 19:30, החזיק הנאשם בביתו בסכנין, בתוך מגבת מאחורי מגירה בארון בחדר השינה, אקדח גלוק מספר סידורי הטבוע על גוף הנשק "</w:t>
      </w:r>
      <w:r w:rsidRPr="0098543B">
        <w:rPr>
          <w:rFonts w:ascii="David" w:hAnsi="David"/>
          <w:rtl/>
        </w:rPr>
        <w:t>193</w:t>
      </w:r>
      <w:r w:rsidRPr="0098543B">
        <w:rPr>
          <w:rFonts w:ascii="David" w:hAnsi="David"/>
        </w:rPr>
        <w:t>CPN</w:t>
      </w:r>
      <w:r w:rsidRPr="0098543B">
        <w:rPr>
          <w:rFonts w:ascii="Arial" w:hAnsi="Arial" w:hint="cs"/>
          <w:rtl/>
        </w:rPr>
        <w:t>" ומספר סידורי נוסף הטבוע על הקנה, ואקדח גלוק מספר סידורי "</w:t>
      </w:r>
      <w:r w:rsidRPr="0098543B">
        <w:rPr>
          <w:rFonts w:ascii="David" w:hAnsi="David"/>
          <w:rtl/>
        </w:rPr>
        <w:t>879</w:t>
      </w:r>
      <w:r w:rsidRPr="0098543B">
        <w:rPr>
          <w:rFonts w:ascii="David" w:hAnsi="David"/>
        </w:rPr>
        <w:t>AGHU</w:t>
      </w:r>
      <w:r w:rsidRPr="0098543B">
        <w:rPr>
          <w:rFonts w:ascii="Arial" w:hAnsi="Arial" w:hint="cs"/>
          <w:rtl/>
        </w:rPr>
        <w:t>" (להלן: "</w:t>
      </w:r>
      <w:r w:rsidRPr="0098543B">
        <w:rPr>
          <w:rFonts w:ascii="Arial" w:hAnsi="Arial" w:hint="cs"/>
          <w:b/>
          <w:bCs/>
          <w:rtl/>
        </w:rPr>
        <w:t>האקדחים</w:t>
      </w:r>
      <w:r w:rsidRPr="0098543B">
        <w:rPr>
          <w:rFonts w:ascii="Arial" w:hAnsi="Arial" w:hint="cs"/>
          <w:rtl/>
        </w:rPr>
        <w:t xml:space="preserve">").  </w:t>
      </w:r>
    </w:p>
    <w:p w14:paraId="26730F1F"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בנוסף, החזיק הנאשם בצמוד לאקדחים, 2 מחסניות תואמות ובתוכן 30 כדורים בקליבר 9 מ"מ ו- 32 כדורים בקליבר 9 מ"מ. </w:t>
      </w:r>
    </w:p>
    <w:p w14:paraId="2717EA03" w14:textId="77777777" w:rsidR="007859BD" w:rsidRPr="0098543B" w:rsidRDefault="007859BD" w:rsidP="007859BD">
      <w:pPr>
        <w:spacing w:before="240" w:after="240" w:line="360" w:lineRule="auto"/>
        <w:jc w:val="both"/>
        <w:rPr>
          <w:rFonts w:ascii="Arial" w:hAnsi="Arial"/>
          <w:b/>
          <w:bCs/>
          <w:rtl/>
        </w:rPr>
      </w:pPr>
      <w:r w:rsidRPr="0098543B">
        <w:rPr>
          <w:rFonts w:ascii="Arial" w:hAnsi="Arial" w:hint="cs"/>
          <w:b/>
          <w:bCs/>
          <w:rtl/>
        </w:rPr>
        <w:t xml:space="preserve">ראיות לעונש: </w:t>
      </w:r>
    </w:p>
    <w:p w14:paraId="5B792F15"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המאשימה הגישה גיליון הרשעות קודמות של הנאשם הכולל הרשעה אחת בגין עבירות אלימות כלפי בת זוג. </w:t>
      </w:r>
    </w:p>
    <w:p w14:paraId="53102918"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lastRenderedPageBreak/>
        <w:t xml:space="preserve">מטעם ההגנה העידה אשת הנאשם אשר סיפרה על הקושי לגדל שלושה ילדים, כאשר הנאשם עצור ואינו יכול לסייע לה או לאמו הסובלת מנכות. </w:t>
      </w:r>
    </w:p>
    <w:p w14:paraId="2E057036"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כמו כן, הגיש ב"כ הנאשם מסמכים של מל"ל בנוגע לקצבת נכות אותה מקבלת אמו של הנאשם (טע/2) ומסמך בנוגע לטיפול אותו עובר בנו של הנאשם (טע/3). </w:t>
      </w:r>
    </w:p>
    <w:p w14:paraId="21AE9013" w14:textId="77777777" w:rsidR="007859BD" w:rsidRPr="0098543B" w:rsidRDefault="007859BD" w:rsidP="007859BD">
      <w:pPr>
        <w:spacing w:before="240" w:after="240" w:line="360" w:lineRule="auto"/>
        <w:jc w:val="both"/>
        <w:rPr>
          <w:rFonts w:ascii="Arial" w:hAnsi="Arial"/>
          <w:b/>
          <w:bCs/>
          <w:rtl/>
        </w:rPr>
      </w:pPr>
      <w:r w:rsidRPr="0098543B">
        <w:rPr>
          <w:rFonts w:ascii="Arial" w:hAnsi="Arial" w:hint="cs"/>
          <w:b/>
          <w:bCs/>
          <w:rtl/>
        </w:rPr>
        <w:t xml:space="preserve">טיעוני הצדדים לעונש: </w:t>
      </w:r>
    </w:p>
    <w:p w14:paraId="40D9F52E"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ב"כ המאשימה בטיעוניה בכתב (טע/1) ובעל פה, טענה כי הערכים החברתיים שנפגעו מביצוע העבירה על ידי הנאשם הם שמירה על שלום הציבור ובטחונו, ועל חיי אדם מפני המשתמשים בנשק באופן בלתי חוקי. </w:t>
      </w:r>
    </w:p>
    <w:p w14:paraId="049FBC1B"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עוד נטען, כי  במעשי הנאשם ישנן נסיבות לחומרה המתבטאות בעובדה כי הנאשם החזיק שני כלי נשק לצד מחסניות ותחמושת. </w:t>
      </w:r>
    </w:p>
    <w:p w14:paraId="7F001BD7"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עוד נטען, כי אמנם לא בוצע שימוש בנשק, אך הנזק הפוטנציאלי שעלול היה להיגרם הוא נזק בגוף ובנפש, כאשר נשק שמוחזק באופן בלתי חוקי עלול להגיע לידיים עברייניות. </w:t>
      </w:r>
    </w:p>
    <w:p w14:paraId="4239049C"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ב"כ המאשימה הפנתה לפסיקה ממנה ביקשה ללמוד על מדיניות הענישה הנוהגת, תוך הדגשה כי מדיניות הענישה הנוהגת היא רק אחד מהשיקולים ששוקל בית המשפט ועתרה לקבוע כי מתחם העונש ההולם נע בין 30 ל- 54 חודשי מאסר בפועל. </w:t>
      </w:r>
    </w:p>
    <w:p w14:paraId="2072B81B"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באשר לעונשו של הנאשם, בתוך מתחם העונש ההולם, המאשימה ביקשה לקבוע את עונשו ברף האמצעי של המתחם, נוכח עברו הפלילי של הנאשם והצורך בהרתעה, לצד מאסר על תנאי מרתיע וקנס. </w:t>
      </w:r>
      <w:r w:rsidRPr="0098543B">
        <w:rPr>
          <w:rFonts w:ascii="Arial" w:hAnsi="Arial" w:hint="cs"/>
        </w:rPr>
        <w:t xml:space="preserve"> </w:t>
      </w:r>
    </w:p>
    <w:p w14:paraId="6C0D98B5"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ב"כ הנאשם ביקש לקבוע כי מתחם העונש ההולם בנסיבות תיק זה נע בין 10 ל- 15 חודשי מאסר בפועל, והדגיש כי העונש מינימום שקבע המחוקק יכול להיות בחלקו על תנאי. ב"כ הנאשם הפנה לפסיקה וביקש ללמוד ממנה לגבי מדיניות הענישה הנוהגת במקרים דומים. </w:t>
      </w:r>
    </w:p>
    <w:p w14:paraId="60A83ABC"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 xml:space="preserve">באשר לעונשו של הנאשם, בתוך מתחם העונש ההולם, ב"כ הנאשם הדגיש כי דובר במי שהודה בהזדמנות הראשונה, נטל אחריות על מעשיו והביע חרטה. עוד נטען, כי העונש שיוטל יפגע קשה בתא המשפחתי של הנאשם, שהוא אב ל- 3 ילדים, ואשר תומך גם באמו הנכה. עוד נטען, כי זוהי הפעם הראשונה שהנאשם עצור מאחורי סורג ובריח, כי הוא עד כה ניהל אורח חיים נורמטיבי למעט הרשעה אחת בגין אלימות במשפחה, וחווית המעצר קשה לו. </w:t>
      </w:r>
    </w:p>
    <w:p w14:paraId="30E21630" w14:textId="77777777" w:rsidR="007859BD" w:rsidRPr="0098543B" w:rsidRDefault="007859BD" w:rsidP="007859BD">
      <w:pPr>
        <w:spacing w:before="240" w:after="240" w:line="360" w:lineRule="auto"/>
        <w:jc w:val="both"/>
        <w:rPr>
          <w:rFonts w:ascii="Arial" w:hAnsi="Arial"/>
          <w:rtl/>
        </w:rPr>
      </w:pPr>
      <w:r w:rsidRPr="0098543B">
        <w:rPr>
          <w:rFonts w:ascii="Arial" w:hAnsi="Arial" w:hint="cs"/>
          <w:rtl/>
        </w:rPr>
        <w:t>הנאשם הביע חרטה על מעשיו.</w:t>
      </w:r>
    </w:p>
    <w:p w14:paraId="6C7A0BBF" w14:textId="77777777" w:rsidR="007859BD" w:rsidRPr="0098543B" w:rsidRDefault="007859BD" w:rsidP="007859BD">
      <w:pPr>
        <w:spacing w:before="240" w:after="240" w:line="360" w:lineRule="auto"/>
        <w:jc w:val="both"/>
        <w:rPr>
          <w:rFonts w:ascii="Arial" w:hAnsi="Arial"/>
          <w:b/>
          <w:bCs/>
        </w:rPr>
      </w:pPr>
      <w:r w:rsidRPr="0098543B">
        <w:rPr>
          <w:rFonts w:ascii="Arial" w:hAnsi="Arial"/>
          <w:b/>
          <w:bCs/>
          <w:rtl/>
        </w:rPr>
        <w:t>דיון והכרעה :</w:t>
      </w:r>
    </w:p>
    <w:p w14:paraId="21219633" w14:textId="77777777" w:rsidR="007859BD" w:rsidRPr="007859BD" w:rsidRDefault="007859BD" w:rsidP="007859BD">
      <w:pPr>
        <w:spacing w:before="120" w:after="160" w:line="360" w:lineRule="auto"/>
        <w:jc w:val="both"/>
        <w:rPr>
          <w:rFonts w:ascii="Calibri" w:eastAsia="Calibri" w:hAnsi="Calibri"/>
        </w:rPr>
      </w:pPr>
      <w:r w:rsidRPr="007859BD">
        <w:rPr>
          <w:rFonts w:ascii="Calibri" w:eastAsia="Calibri" w:hAnsi="Calibri"/>
          <w:rtl/>
        </w:rPr>
        <w:lastRenderedPageBreak/>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5" w:history="1">
        <w:r w:rsidR="004D49AE" w:rsidRPr="004D49AE">
          <w:rPr>
            <w:rFonts w:ascii="Calibri" w:eastAsia="Calibri" w:hAnsi="Calibri" w:hint="cs"/>
            <w:color w:val="0000FF"/>
            <w:u w:val="single"/>
            <w:rtl/>
          </w:rPr>
          <w:t>ע</w:t>
        </w:r>
        <w:r w:rsidR="004D49AE" w:rsidRPr="004D49AE">
          <w:rPr>
            <w:rFonts w:ascii="Calibri" w:eastAsia="Calibri" w:hAnsi="Calibri"/>
            <w:color w:val="0000FF"/>
            <w:u w:val="single"/>
            <w:rtl/>
          </w:rPr>
          <w:t>"</w:t>
        </w:r>
        <w:r w:rsidR="004D49AE" w:rsidRPr="004D49AE">
          <w:rPr>
            <w:rFonts w:ascii="Calibri" w:eastAsia="Calibri" w:hAnsi="Calibri" w:hint="cs"/>
            <w:color w:val="0000FF"/>
            <w:u w:val="single"/>
            <w:rtl/>
          </w:rPr>
          <w:t>פ</w:t>
        </w:r>
        <w:r w:rsidR="004D49AE" w:rsidRPr="004D49AE">
          <w:rPr>
            <w:rFonts w:ascii="Calibri" w:eastAsia="Calibri" w:hAnsi="Calibri"/>
            <w:color w:val="0000FF"/>
            <w:u w:val="single"/>
            <w:rtl/>
          </w:rPr>
          <w:t xml:space="preserve"> 8641/12</w:t>
        </w:r>
      </w:hyperlink>
      <w:r w:rsidRPr="007859BD">
        <w:rPr>
          <w:rFonts w:ascii="Calibri" w:eastAsia="Calibri" w:hAnsi="Calibri"/>
          <w:rtl/>
        </w:rPr>
        <w:t xml:space="preserve"> </w:t>
      </w:r>
      <w:r w:rsidRPr="007859BD">
        <w:rPr>
          <w:rFonts w:ascii="Calibri" w:eastAsia="Calibri" w:hAnsi="Calibri"/>
          <w:b/>
          <w:bCs/>
          <w:rtl/>
        </w:rPr>
        <w:t>מוחמד סעד נ' מ"י</w:t>
      </w:r>
      <w:r w:rsidRPr="007859BD">
        <w:rPr>
          <w:rFonts w:ascii="Calibri" w:eastAsia="Calibri" w:hAnsi="Calibri"/>
          <w:rtl/>
        </w:rPr>
        <w:t xml:space="preserve"> (5.8.13)).</w:t>
      </w:r>
    </w:p>
    <w:p w14:paraId="208BE717" w14:textId="77777777" w:rsidR="007859BD" w:rsidRPr="0098543B" w:rsidRDefault="007859BD" w:rsidP="007859BD">
      <w:pPr>
        <w:spacing w:before="240" w:after="240" w:line="360" w:lineRule="auto"/>
        <w:jc w:val="both"/>
        <w:rPr>
          <w:rFonts w:ascii="David" w:hAnsi="David"/>
          <w:rtl/>
        </w:rPr>
      </w:pPr>
      <w:r w:rsidRPr="0098543B">
        <w:rPr>
          <w:rFonts w:ascii="David" w:hAnsi="David"/>
          <w:b/>
          <w:bCs/>
          <w:rtl/>
        </w:rPr>
        <w:t>הערך החברתי המוגן</w:t>
      </w:r>
      <w:r w:rsidRPr="0098543B">
        <w:rPr>
          <w:rFonts w:ascii="David" w:hAnsi="David"/>
          <w:rtl/>
        </w:rPr>
        <w:t xml:space="preserve"> שנפגע ממעשי הנאשם הוא הערך של הגנה על חיי אדם והגנה על תחושת הביטחון של הציבור. </w:t>
      </w:r>
      <w:r w:rsidRPr="0098543B">
        <w:rPr>
          <w:rFonts w:ascii="David" w:hAnsi="David" w:hint="cs"/>
          <w:rtl/>
        </w:rPr>
        <w:t xml:space="preserve"> </w:t>
      </w:r>
    </w:p>
    <w:p w14:paraId="322D188D" w14:textId="77777777" w:rsidR="007859BD" w:rsidRPr="0098543B" w:rsidRDefault="007859BD" w:rsidP="007859BD">
      <w:pPr>
        <w:spacing w:before="240" w:after="240" w:line="360" w:lineRule="auto"/>
        <w:jc w:val="both"/>
        <w:rPr>
          <w:rFonts w:ascii="David" w:hAnsi="David"/>
          <w:rtl/>
        </w:rPr>
      </w:pPr>
      <w:r w:rsidRPr="0098543B">
        <w:rPr>
          <w:rFonts w:ascii="David" w:hAnsi="David"/>
          <w:rtl/>
        </w:rPr>
        <w:t>ב</w:t>
      </w:r>
      <w:r w:rsidRPr="0098543B">
        <w:rPr>
          <w:rFonts w:ascii="David" w:hAnsi="David" w:hint="cs"/>
          <w:rtl/>
        </w:rPr>
        <w:t xml:space="preserve">תי משפט חזרו והדגישו את החומרה היתרה </w:t>
      </w:r>
      <w:r w:rsidRPr="0098543B">
        <w:rPr>
          <w:rFonts w:ascii="David" w:hAnsi="David"/>
          <w:rtl/>
        </w:rPr>
        <w:t>שיש לראות בביצוע עבירות בנשק,</w:t>
      </w:r>
      <w:r w:rsidRPr="0098543B">
        <w:rPr>
          <w:rFonts w:ascii="David" w:hAnsi="David" w:hint="cs"/>
          <w:rtl/>
        </w:rPr>
        <w:t xml:space="preserve"> גם אם לא נעשה בהם שימוש בפועל. </w:t>
      </w:r>
    </w:p>
    <w:p w14:paraId="07139FBC" w14:textId="77777777" w:rsidR="007859BD" w:rsidRPr="0098543B" w:rsidRDefault="007859BD" w:rsidP="007859BD">
      <w:pPr>
        <w:spacing w:before="240" w:after="240" w:line="360" w:lineRule="auto"/>
        <w:jc w:val="both"/>
        <w:rPr>
          <w:rFonts w:ascii="David" w:hAnsi="David"/>
          <w:b/>
          <w:bCs/>
        </w:rPr>
      </w:pPr>
      <w:r w:rsidRPr="0098543B">
        <w:rPr>
          <w:rFonts w:ascii="David" w:hAnsi="David" w:hint="cs"/>
          <w:rtl/>
        </w:rPr>
        <w:t xml:space="preserve">לעניין זה ראה </w:t>
      </w:r>
      <w:hyperlink r:id="rId16" w:history="1">
        <w:r w:rsidR="004D49AE" w:rsidRPr="004D49AE">
          <w:rPr>
            <w:rFonts w:ascii="David" w:hAnsi="David"/>
            <w:color w:val="0000FF"/>
            <w:u w:val="single"/>
            <w:rtl/>
          </w:rPr>
          <w:t>ע"פ 1945/13</w:t>
        </w:r>
      </w:hyperlink>
      <w:r w:rsidRPr="0098543B">
        <w:rPr>
          <w:rFonts w:ascii="David" w:hAnsi="David"/>
          <w:rtl/>
        </w:rPr>
        <w:t xml:space="preserve"> </w:t>
      </w:r>
      <w:r w:rsidRPr="0098543B">
        <w:rPr>
          <w:rFonts w:ascii="David" w:hAnsi="David"/>
          <w:b/>
          <w:bCs/>
          <w:rtl/>
        </w:rPr>
        <w:t xml:space="preserve">מדינת ישראל נ' עבד אל כרים סלימאן, </w:t>
      </w:r>
      <w:r w:rsidRPr="0098543B">
        <w:rPr>
          <w:rFonts w:ascii="David" w:hAnsi="David"/>
          <w:rtl/>
        </w:rPr>
        <w:t>(19.1.14)</w:t>
      </w:r>
      <w:r w:rsidRPr="0098543B">
        <w:rPr>
          <w:rFonts w:ascii="David" w:hAnsi="David" w:hint="cs"/>
          <w:rtl/>
        </w:rPr>
        <w:t xml:space="preserve"> שם נקבעה</w:t>
      </w:r>
      <w:r w:rsidRPr="0098543B">
        <w:rPr>
          <w:rFonts w:ascii="David" w:hAnsi="David"/>
          <w:rtl/>
        </w:rPr>
        <w:t xml:space="preserve"> מדיניות ברורה:</w:t>
      </w:r>
    </w:p>
    <w:p w14:paraId="16E39FDA" w14:textId="77777777" w:rsidR="007859BD" w:rsidRPr="0098543B" w:rsidRDefault="007859BD" w:rsidP="007859BD">
      <w:pPr>
        <w:spacing w:before="240" w:after="240" w:line="360" w:lineRule="auto"/>
        <w:ind w:left="850"/>
        <w:jc w:val="both"/>
        <w:rPr>
          <w:rFonts w:ascii="David" w:hAnsi="David"/>
          <w:b/>
          <w:bCs/>
          <w:rtl/>
        </w:rPr>
      </w:pPr>
      <w:r w:rsidRPr="0098543B">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35783CA5" w14:textId="77777777" w:rsidR="007859BD" w:rsidRPr="0098543B" w:rsidRDefault="007859BD" w:rsidP="007859BD">
      <w:pPr>
        <w:spacing w:before="240" w:after="240" w:line="360" w:lineRule="auto"/>
        <w:jc w:val="both"/>
        <w:rPr>
          <w:rFonts w:ascii="David" w:hAnsi="David"/>
          <w:rtl/>
        </w:rPr>
      </w:pPr>
      <w:r w:rsidRPr="0098543B">
        <w:rPr>
          <w:rFonts w:ascii="David" w:hAnsi="David"/>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17" w:history="1">
        <w:r w:rsidR="000976DE" w:rsidRPr="000976DE">
          <w:rPr>
            <w:rStyle w:val="Hyperlink"/>
            <w:rFonts w:ascii="David" w:hAnsi="David"/>
            <w:rtl/>
          </w:rPr>
          <w:t>סעיף 144(ז)</w:t>
        </w:r>
      </w:hyperlink>
      <w:r w:rsidRPr="0098543B">
        <w:rPr>
          <w:rFonts w:ascii="David" w:hAnsi="David"/>
          <w:rtl/>
        </w:rPr>
        <w:t xml:space="preserve"> ל</w:t>
      </w:r>
      <w:hyperlink r:id="rId18" w:history="1">
        <w:r w:rsidR="004D49AE" w:rsidRPr="004D49AE">
          <w:rPr>
            <w:rFonts w:ascii="David" w:hAnsi="David"/>
            <w:color w:val="0000FF"/>
            <w:u w:val="single"/>
            <w:rtl/>
          </w:rPr>
          <w:t>חוק העונשין</w:t>
        </w:r>
      </w:hyperlink>
      <w:r w:rsidRPr="0098543B">
        <w:rPr>
          <w:rFonts w:ascii="David" w:hAnsi="David"/>
          <w:rtl/>
        </w:rPr>
        <w:t xml:space="preserve">, (תיקון מס' 140 - הוראת שעה), התשפ"ב-2021).  </w:t>
      </w:r>
    </w:p>
    <w:p w14:paraId="60BB6699" w14:textId="77777777" w:rsidR="007859BD" w:rsidRPr="0098543B" w:rsidRDefault="007859BD" w:rsidP="007859BD">
      <w:pPr>
        <w:spacing w:before="240" w:after="240" w:line="360" w:lineRule="auto"/>
        <w:jc w:val="both"/>
        <w:rPr>
          <w:rFonts w:ascii="David" w:hAnsi="David"/>
        </w:rPr>
      </w:pPr>
      <w:r w:rsidRPr="0098543B">
        <w:rPr>
          <w:rFonts w:ascii="David" w:hAnsi="David"/>
          <w:rtl/>
        </w:rPr>
        <w:t>בפסיקה נקבע, כי החזקת</w:t>
      </w:r>
      <w:r w:rsidRPr="0098543B">
        <w:rPr>
          <w:rFonts w:ascii="David" w:hAnsi="David" w:hint="cs"/>
          <w:rtl/>
        </w:rPr>
        <w:t xml:space="preserve"> נשק חם </w:t>
      </w:r>
      <w:r w:rsidRPr="0098543B">
        <w:rPr>
          <w:rFonts w:ascii="David" w:hAnsi="David"/>
          <w:rtl/>
        </w:rPr>
        <w:t>באופן</w:t>
      </w:r>
      <w:r w:rsidRPr="0098543B">
        <w:rPr>
          <w:rFonts w:ascii="David" w:hAnsi="David"/>
        </w:rPr>
        <w:t xml:space="preserve"> </w:t>
      </w:r>
      <w:r w:rsidRPr="0098543B">
        <w:rPr>
          <w:rFonts w:ascii="David" w:hAnsi="David"/>
          <w:rtl/>
        </w:rPr>
        <w:t>בלתי</w:t>
      </w:r>
      <w:r w:rsidRPr="0098543B">
        <w:rPr>
          <w:rFonts w:ascii="David" w:hAnsi="David"/>
        </w:rPr>
        <w:t xml:space="preserve"> </w:t>
      </w:r>
      <w:r w:rsidRPr="0098543B">
        <w:rPr>
          <w:rFonts w:ascii="David" w:hAnsi="David"/>
          <w:rtl/>
        </w:rPr>
        <w:t>חוקי,</w:t>
      </w:r>
      <w:r w:rsidRPr="0098543B">
        <w:rPr>
          <w:rFonts w:ascii="David" w:hAnsi="David"/>
        </w:rPr>
        <w:t xml:space="preserve"> </w:t>
      </w:r>
      <w:r w:rsidRPr="0098543B">
        <w:rPr>
          <w:rFonts w:ascii="David" w:hAnsi="David"/>
          <w:rtl/>
        </w:rPr>
        <w:t>עלול להוביל</w:t>
      </w:r>
      <w:r w:rsidRPr="0098543B">
        <w:rPr>
          <w:rFonts w:ascii="David" w:hAnsi="David"/>
        </w:rPr>
        <w:t xml:space="preserve"> </w:t>
      </w:r>
      <w:r w:rsidRPr="0098543B">
        <w:rPr>
          <w:rFonts w:ascii="David" w:hAnsi="David"/>
          <w:rtl/>
        </w:rPr>
        <w:t>לאלימות</w:t>
      </w:r>
      <w:r w:rsidRPr="0098543B">
        <w:rPr>
          <w:rFonts w:ascii="David" w:hAnsi="David"/>
        </w:rPr>
        <w:t xml:space="preserve"> </w:t>
      </w:r>
      <w:r w:rsidRPr="0098543B">
        <w:rPr>
          <w:rFonts w:ascii="David" w:hAnsi="David"/>
          <w:rtl/>
        </w:rPr>
        <w:t>קשה</w:t>
      </w:r>
      <w:r w:rsidRPr="0098543B">
        <w:rPr>
          <w:rFonts w:ascii="David" w:hAnsi="David"/>
        </w:rPr>
        <w:t xml:space="preserve"> </w:t>
      </w:r>
      <w:r w:rsidRPr="0098543B">
        <w:rPr>
          <w:rFonts w:ascii="David" w:hAnsi="David"/>
          <w:rtl/>
        </w:rPr>
        <w:t>עד</w:t>
      </w:r>
      <w:r w:rsidRPr="0098543B">
        <w:rPr>
          <w:rFonts w:ascii="David" w:hAnsi="David"/>
        </w:rPr>
        <w:t xml:space="preserve"> </w:t>
      </w:r>
      <w:r w:rsidRPr="0098543B">
        <w:rPr>
          <w:rFonts w:ascii="David" w:hAnsi="David"/>
          <w:rtl/>
        </w:rPr>
        <w:t>קטלנית. זמינות כלי</w:t>
      </w:r>
      <w:r w:rsidRPr="0098543B">
        <w:rPr>
          <w:rFonts w:ascii="David" w:hAnsi="David"/>
        </w:rPr>
        <w:t xml:space="preserve"> </w:t>
      </w:r>
      <w:r w:rsidRPr="0098543B">
        <w:rPr>
          <w:rFonts w:ascii="David" w:hAnsi="David"/>
          <w:rtl/>
        </w:rPr>
        <w:t>הנשק</w:t>
      </w:r>
      <w:r w:rsidRPr="0098543B">
        <w:rPr>
          <w:rFonts w:ascii="David" w:hAnsi="David"/>
        </w:rPr>
        <w:t xml:space="preserve"> </w:t>
      </w:r>
      <w:r w:rsidRPr="0098543B">
        <w:rPr>
          <w:rFonts w:ascii="David" w:hAnsi="David"/>
          <w:rtl/>
        </w:rPr>
        <w:t>העוברים</w:t>
      </w:r>
      <w:r w:rsidRPr="0098543B">
        <w:rPr>
          <w:rFonts w:ascii="David" w:hAnsi="David"/>
        </w:rPr>
        <w:t xml:space="preserve"> </w:t>
      </w:r>
      <w:r w:rsidRPr="0098543B">
        <w:rPr>
          <w:rFonts w:ascii="David" w:hAnsi="David"/>
          <w:rtl/>
        </w:rPr>
        <w:t>מיד</w:t>
      </w:r>
      <w:r w:rsidRPr="0098543B">
        <w:rPr>
          <w:rFonts w:ascii="David" w:hAnsi="David"/>
        </w:rPr>
        <w:t xml:space="preserve"> </w:t>
      </w:r>
      <w:r w:rsidRPr="0098543B">
        <w:rPr>
          <w:rFonts w:ascii="David" w:hAnsi="David"/>
          <w:rtl/>
        </w:rPr>
        <w:t>ליד, אם</w:t>
      </w:r>
      <w:r w:rsidRPr="0098543B">
        <w:rPr>
          <w:rFonts w:ascii="David" w:hAnsi="David"/>
        </w:rPr>
        <w:t xml:space="preserve"> </w:t>
      </w:r>
      <w:r w:rsidRPr="0098543B">
        <w:rPr>
          <w:rFonts w:ascii="David" w:hAnsi="David"/>
          <w:rtl/>
        </w:rPr>
        <w:t>לידיים</w:t>
      </w:r>
      <w:r w:rsidRPr="0098543B">
        <w:rPr>
          <w:rFonts w:ascii="David" w:hAnsi="David"/>
        </w:rPr>
        <w:t xml:space="preserve"> </w:t>
      </w:r>
      <w:r w:rsidRPr="0098543B">
        <w:rPr>
          <w:rFonts w:ascii="David" w:hAnsi="David"/>
          <w:rtl/>
        </w:rPr>
        <w:t>עוינות ואם לידיים פליליות, תורמים</w:t>
      </w:r>
      <w:r w:rsidRPr="0098543B">
        <w:rPr>
          <w:rFonts w:ascii="David" w:hAnsi="David"/>
        </w:rPr>
        <w:t xml:space="preserve"> </w:t>
      </w:r>
      <w:r w:rsidRPr="0098543B">
        <w:rPr>
          <w:rFonts w:ascii="David" w:hAnsi="David"/>
          <w:rtl/>
        </w:rPr>
        <w:t>להגדלת</w:t>
      </w:r>
      <w:r w:rsidRPr="0098543B">
        <w:rPr>
          <w:rFonts w:ascii="David" w:hAnsi="David"/>
        </w:rPr>
        <w:t xml:space="preserve"> </w:t>
      </w:r>
      <w:r w:rsidRPr="0098543B">
        <w:rPr>
          <w:rFonts w:ascii="David" w:hAnsi="David"/>
          <w:rtl/>
        </w:rPr>
        <w:t>מעגל</w:t>
      </w:r>
      <w:r w:rsidRPr="0098543B">
        <w:rPr>
          <w:rFonts w:ascii="David" w:hAnsi="David"/>
        </w:rPr>
        <w:t xml:space="preserve"> </w:t>
      </w:r>
      <w:r w:rsidRPr="0098543B">
        <w:rPr>
          <w:rFonts w:ascii="David" w:hAnsi="David"/>
          <w:rtl/>
        </w:rPr>
        <w:t>האלימות</w:t>
      </w:r>
      <w:r w:rsidRPr="0098543B">
        <w:rPr>
          <w:rFonts w:ascii="David" w:hAnsi="David"/>
        </w:rPr>
        <w:t xml:space="preserve"> </w:t>
      </w:r>
      <w:r w:rsidRPr="0098543B">
        <w:rPr>
          <w:rFonts w:ascii="David" w:hAnsi="David"/>
          <w:rtl/>
        </w:rPr>
        <w:t>ולתוצאות</w:t>
      </w:r>
      <w:r w:rsidRPr="0098543B">
        <w:rPr>
          <w:rFonts w:ascii="David" w:hAnsi="David"/>
        </w:rPr>
        <w:t xml:space="preserve"> </w:t>
      </w:r>
      <w:r w:rsidRPr="0098543B">
        <w:rPr>
          <w:rFonts w:ascii="David" w:hAnsi="David"/>
          <w:rtl/>
        </w:rPr>
        <w:t>הקשות</w:t>
      </w:r>
      <w:r w:rsidRPr="0098543B">
        <w:rPr>
          <w:rFonts w:ascii="David" w:hAnsi="David"/>
        </w:rPr>
        <w:t xml:space="preserve"> </w:t>
      </w:r>
      <w:r w:rsidRPr="0098543B">
        <w:rPr>
          <w:rFonts w:ascii="David" w:hAnsi="David"/>
          <w:rtl/>
        </w:rPr>
        <w:t>הנובעות</w:t>
      </w:r>
      <w:r w:rsidRPr="0098543B">
        <w:rPr>
          <w:rFonts w:ascii="David" w:hAnsi="David"/>
        </w:rPr>
        <w:t xml:space="preserve"> </w:t>
      </w:r>
      <w:r w:rsidRPr="0098543B">
        <w:rPr>
          <w:rFonts w:ascii="David" w:hAnsi="David"/>
          <w:rtl/>
        </w:rPr>
        <w:t xml:space="preserve">מכך. בשנים האחרונות אנו עדים לגל אלימות קשה תוך שימוש בנשק חם הגובה חיי אדם. </w:t>
      </w:r>
    </w:p>
    <w:p w14:paraId="105BE190" w14:textId="77777777" w:rsidR="007859BD" w:rsidRPr="0098543B" w:rsidRDefault="007859BD" w:rsidP="007859BD">
      <w:pPr>
        <w:spacing w:before="240" w:after="240" w:line="360" w:lineRule="auto"/>
        <w:jc w:val="both"/>
        <w:rPr>
          <w:rFonts w:ascii="David" w:hAnsi="David"/>
          <w:rtl/>
        </w:rPr>
      </w:pPr>
      <w:r w:rsidRPr="0098543B">
        <w:rPr>
          <w:rFonts w:ascii="David" w:hAnsi="David"/>
          <w:rtl/>
        </w:rPr>
        <w:t xml:space="preserve">לעניין זה ראה ע"פ 1332/04 </w:t>
      </w:r>
      <w:r w:rsidRPr="0098543B">
        <w:rPr>
          <w:rFonts w:ascii="David" w:hAnsi="David"/>
          <w:b/>
          <w:bCs/>
          <w:rtl/>
        </w:rPr>
        <w:t>מדינת ישראל נ' פס</w:t>
      </w:r>
      <w:r w:rsidRPr="0098543B">
        <w:rPr>
          <w:rFonts w:ascii="David" w:hAnsi="David"/>
          <w:rtl/>
        </w:rPr>
        <w:t>, פ"ד נח (5), 541 בעמ' 545:</w:t>
      </w:r>
    </w:p>
    <w:p w14:paraId="2FE90CF5" w14:textId="77777777" w:rsidR="007859BD" w:rsidRPr="0098543B" w:rsidRDefault="007859BD" w:rsidP="007859BD">
      <w:pPr>
        <w:spacing w:before="240" w:after="240" w:line="360" w:lineRule="auto"/>
        <w:ind w:left="850"/>
        <w:jc w:val="both"/>
        <w:rPr>
          <w:rFonts w:ascii="David" w:hAnsi="David"/>
          <w:rtl/>
        </w:rPr>
      </w:pPr>
      <w:r w:rsidRPr="0098543B">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1AA2DCF6" w14:textId="77777777" w:rsidR="007859BD" w:rsidRPr="0098543B" w:rsidRDefault="007859BD" w:rsidP="007859BD">
      <w:pPr>
        <w:spacing w:before="240" w:after="240" w:line="360" w:lineRule="auto"/>
        <w:jc w:val="both"/>
        <w:rPr>
          <w:rFonts w:ascii="David" w:hAnsi="David"/>
          <w:rtl/>
        </w:rPr>
      </w:pPr>
      <w:r w:rsidRPr="0098543B">
        <w:rPr>
          <w:rFonts w:ascii="David" w:hAnsi="David"/>
          <w:b/>
          <w:bCs/>
          <w:rtl/>
        </w:rPr>
        <w:t xml:space="preserve">באשר לנסיבות הקשורות בביצוע העבירות: </w:t>
      </w:r>
    </w:p>
    <w:p w14:paraId="7503878E" w14:textId="77777777" w:rsidR="007859BD" w:rsidRPr="0098543B" w:rsidRDefault="007859BD" w:rsidP="007859BD">
      <w:pPr>
        <w:spacing w:before="240" w:after="240" w:line="360" w:lineRule="auto"/>
        <w:jc w:val="both"/>
        <w:rPr>
          <w:rFonts w:ascii="David" w:hAnsi="David"/>
          <w:color w:val="000000"/>
          <w:rtl/>
        </w:rPr>
      </w:pPr>
      <w:r w:rsidRPr="0098543B">
        <w:rPr>
          <w:rFonts w:ascii="David" w:hAnsi="David"/>
          <w:b/>
          <w:bCs/>
          <w:rtl/>
        </w:rPr>
        <w:t>התכנון שקדם לביצוע העבירות</w:t>
      </w:r>
      <w:r w:rsidRPr="0098543B">
        <w:rPr>
          <w:rFonts w:ascii="David" w:hAnsi="David"/>
          <w:rtl/>
        </w:rPr>
        <w:t>: הנאשם החזיק שני אקדחים</w:t>
      </w:r>
      <w:r w:rsidRPr="0098543B">
        <w:rPr>
          <w:rFonts w:ascii="David" w:hAnsi="David" w:hint="cs"/>
          <w:rtl/>
        </w:rPr>
        <w:t xml:space="preserve"> בצמוד לשתי מחסניות ו- 62 כדורי תחמושת מתאימה, כשהם מוסתרים במגבת מאחורי מגירה בארון בחדר השינה.</w:t>
      </w:r>
      <w:r w:rsidRPr="0098543B">
        <w:rPr>
          <w:rFonts w:ascii="David" w:hAnsi="David" w:hint="cs"/>
        </w:rPr>
        <w:t xml:space="preserve"> </w:t>
      </w:r>
      <w:r w:rsidRPr="0098543B">
        <w:rPr>
          <w:rFonts w:ascii="David" w:hAnsi="David" w:hint="cs"/>
          <w:rtl/>
        </w:rPr>
        <w:t>מכאן, ברור שמדובר בביצוע עבירות מתוכננות היטב על ידי הנאשם.</w:t>
      </w:r>
      <w:r w:rsidRPr="0098543B">
        <w:rPr>
          <w:rFonts w:ascii="David" w:hAnsi="David" w:hint="cs"/>
          <w:color w:val="000000"/>
          <w:rtl/>
        </w:rPr>
        <w:t xml:space="preserve"> עוד יש להדגיש כי הנאשם החזיק, כאמור את האקדחים, בצמוד למחסניות עם תחמושת, בתוך חדר השינה, ועל כן הם היו בזמינות גבוהה לשימוש. </w:t>
      </w:r>
      <w:r w:rsidRPr="0098543B">
        <w:rPr>
          <w:rFonts w:ascii="David" w:hAnsi="David" w:hint="cs"/>
          <w:b/>
          <w:bCs/>
          <w:color w:val="000000"/>
          <w:rtl/>
        </w:rPr>
        <w:t xml:space="preserve"> </w:t>
      </w:r>
    </w:p>
    <w:p w14:paraId="237449A6" w14:textId="77777777" w:rsidR="007859BD" w:rsidRPr="0098543B" w:rsidRDefault="007859BD" w:rsidP="007859BD">
      <w:pPr>
        <w:spacing w:before="240" w:after="240" w:line="360" w:lineRule="auto"/>
        <w:jc w:val="both"/>
        <w:rPr>
          <w:rFonts w:ascii="David" w:hAnsi="David"/>
          <w:rtl/>
        </w:rPr>
      </w:pPr>
      <w:r w:rsidRPr="0098543B">
        <w:rPr>
          <w:rFonts w:ascii="David" w:hAnsi="David"/>
          <w:b/>
          <w:bCs/>
          <w:rtl/>
        </w:rPr>
        <w:t>הנזק שעלול היה להיגרם מביצוע העבירות:</w:t>
      </w:r>
      <w:r w:rsidRPr="0098543B">
        <w:rPr>
          <w:rFonts w:ascii="David" w:hAnsi="David"/>
          <w:rtl/>
        </w:rPr>
        <w:t xml:space="preserve"> הנאשם החזיק בשני אקדחים </w:t>
      </w:r>
      <w:r w:rsidRPr="0098543B">
        <w:rPr>
          <w:rFonts w:ascii="David" w:hAnsi="David" w:hint="cs"/>
          <w:rtl/>
        </w:rPr>
        <w:t xml:space="preserve">בצמוד למחסניות עם </w:t>
      </w:r>
      <w:r w:rsidRPr="0098543B">
        <w:rPr>
          <w:rFonts w:ascii="David" w:hAnsi="David"/>
          <w:rtl/>
        </w:rPr>
        <w:t xml:space="preserve">תחמושת תואמת. מכאן, שגם אם </w:t>
      </w:r>
      <w:r w:rsidRPr="0098543B">
        <w:rPr>
          <w:rFonts w:ascii="David" w:hAnsi="David" w:hint="cs"/>
          <w:rtl/>
        </w:rPr>
        <w:t xml:space="preserve"> לא נעשה שימוש באקדחים ולא </w:t>
      </w:r>
      <w:r w:rsidRPr="0098543B">
        <w:rPr>
          <w:rFonts w:ascii="David" w:hAnsi="David"/>
          <w:rtl/>
        </w:rPr>
        <w:t>נגרם נזק בפועל, הרי פוטנציאל הנזק הוא גדול</w:t>
      </w:r>
      <w:r w:rsidRPr="0098543B">
        <w:rPr>
          <w:rFonts w:ascii="David" w:hAnsi="David" w:hint="cs"/>
          <w:rtl/>
        </w:rPr>
        <w:t xml:space="preserve">, והיה עלול להביא לפגיעה בגוף ואף בחיי אדם, לו היה נעשה בהם שימוש. </w:t>
      </w:r>
      <w:r w:rsidRPr="0098543B">
        <w:rPr>
          <w:rFonts w:ascii="David" w:hAnsi="David" w:hint="cs"/>
        </w:rPr>
        <w:t xml:space="preserve"> </w:t>
      </w:r>
    </w:p>
    <w:p w14:paraId="3F3A30E8" w14:textId="77777777" w:rsidR="007859BD" w:rsidRPr="0098543B" w:rsidRDefault="007859BD" w:rsidP="007859BD">
      <w:pPr>
        <w:spacing w:before="240" w:after="240" w:line="360" w:lineRule="auto"/>
        <w:jc w:val="both"/>
        <w:rPr>
          <w:rFonts w:ascii="David" w:hAnsi="David"/>
          <w:rtl/>
        </w:rPr>
      </w:pPr>
      <w:r w:rsidRPr="0098543B">
        <w:rPr>
          <w:rFonts w:ascii="David" w:hAnsi="David"/>
          <w:b/>
          <w:bCs/>
          <w:rtl/>
        </w:rPr>
        <w:t>מידת הפגיעה בערכים המוגנים</w:t>
      </w:r>
      <w:r w:rsidRPr="0098543B">
        <w:rPr>
          <w:rFonts w:ascii="David" w:hAnsi="David"/>
          <w:rtl/>
        </w:rPr>
        <w:t xml:space="preserve">: בשים לב לעובדה כי מדובר בשני כלי נשק מסוג אקדח, אשר הוחזקו  </w:t>
      </w:r>
      <w:r w:rsidRPr="0098543B">
        <w:rPr>
          <w:rFonts w:ascii="David" w:hAnsi="David" w:hint="cs"/>
          <w:rtl/>
        </w:rPr>
        <w:t>בצמוד למחסניות עם תחמושת תואמת, ו</w:t>
      </w:r>
      <w:r w:rsidRPr="0098543B">
        <w:rPr>
          <w:rFonts w:ascii="David" w:hAnsi="David"/>
          <w:rtl/>
        </w:rPr>
        <w:t>בהישג יד של הנאשם</w:t>
      </w:r>
      <w:r w:rsidRPr="0098543B">
        <w:rPr>
          <w:rFonts w:ascii="David" w:hAnsi="David" w:hint="cs"/>
          <w:rtl/>
        </w:rPr>
        <w:t xml:space="preserve"> ובשים לב לנזק פוטנציאלי שעלול היה להיגרם</w:t>
      </w:r>
      <w:r w:rsidRPr="0098543B">
        <w:rPr>
          <w:rFonts w:ascii="David" w:hAnsi="David"/>
          <w:rtl/>
        </w:rPr>
        <w:t xml:space="preserve">, אני קובעת כי מידת הפגיעה בערכים המוגנים היא גבוהה. </w:t>
      </w:r>
    </w:p>
    <w:p w14:paraId="367318B0" w14:textId="77777777" w:rsidR="007859BD" w:rsidRPr="0098543B" w:rsidRDefault="007859BD" w:rsidP="007859BD">
      <w:pPr>
        <w:spacing w:before="240" w:after="240" w:line="360" w:lineRule="auto"/>
        <w:jc w:val="both"/>
        <w:rPr>
          <w:rFonts w:ascii="David" w:hAnsi="David"/>
          <w:b/>
          <w:bCs/>
          <w:rtl/>
        </w:rPr>
      </w:pPr>
      <w:r w:rsidRPr="0098543B">
        <w:rPr>
          <w:rFonts w:ascii="David" w:hAnsi="David"/>
          <w:b/>
          <w:bCs/>
          <w:rtl/>
        </w:rPr>
        <w:t>באשר למדיניות הענישה הנהוגה:</w:t>
      </w:r>
    </w:p>
    <w:p w14:paraId="7886DAB2" w14:textId="77777777" w:rsidR="007859BD" w:rsidRPr="0098543B" w:rsidRDefault="007859BD" w:rsidP="007859BD">
      <w:pPr>
        <w:spacing w:before="240" w:after="240" w:line="360" w:lineRule="auto"/>
        <w:jc w:val="both"/>
        <w:rPr>
          <w:rFonts w:ascii="David" w:hAnsi="David"/>
          <w:rtl/>
        </w:rPr>
      </w:pPr>
      <w:r w:rsidRPr="0098543B">
        <w:rPr>
          <w:rFonts w:ascii="David" w:hAnsi="David" w:hint="cs"/>
          <w:rtl/>
        </w:rPr>
        <w:t xml:space="preserve"> חלק מהפסיקה אליה הפנתה המאשימה עניינה בעבירה של נשיאת נשק, ועל כן לא ניתן ללמוד ממנה לענייננו. בנוסף, חלק מהפסיקה ניתנה לפני תיקון 113 ל</w:t>
      </w:r>
      <w:hyperlink r:id="rId19" w:history="1">
        <w:r w:rsidR="004D49AE" w:rsidRPr="004D49AE">
          <w:rPr>
            <w:rFonts w:ascii="David" w:hAnsi="David"/>
            <w:color w:val="0000FF"/>
            <w:u w:val="single"/>
            <w:rtl/>
          </w:rPr>
          <w:t>חוק העונשין</w:t>
        </w:r>
      </w:hyperlink>
      <w:r w:rsidRPr="0098543B">
        <w:rPr>
          <w:rFonts w:ascii="David" w:hAnsi="David" w:hint="cs"/>
          <w:rtl/>
        </w:rPr>
        <w:t xml:space="preserve">, ועל כן קיים קושי ללמוד ממנה לצורך קביעת המתחם. </w:t>
      </w:r>
    </w:p>
    <w:p w14:paraId="6880D8CC" w14:textId="77777777" w:rsidR="007859BD" w:rsidRPr="0098543B" w:rsidRDefault="007859BD" w:rsidP="007859BD">
      <w:pPr>
        <w:pStyle w:val="aa"/>
        <w:numPr>
          <w:ilvl w:val="0"/>
          <w:numId w:val="1"/>
        </w:numPr>
        <w:spacing w:before="240" w:after="240" w:line="360" w:lineRule="auto"/>
        <w:ind w:left="0"/>
        <w:jc w:val="both"/>
      </w:pPr>
      <w:r w:rsidRPr="0098543B">
        <w:rPr>
          <w:rFonts w:hint="cs"/>
          <w:rtl/>
        </w:rPr>
        <w:t xml:space="preserve"> </w:t>
      </w:r>
      <w:r w:rsidRPr="0098543B">
        <w:rPr>
          <w:rtl/>
        </w:rPr>
        <w:t>ב</w:t>
      </w:r>
      <w:hyperlink r:id="rId20" w:history="1">
        <w:r w:rsidR="004D49AE" w:rsidRPr="004D49AE">
          <w:rPr>
            <w:color w:val="0000FF"/>
            <w:u w:val="single"/>
            <w:rtl/>
          </w:rPr>
          <w:t>עפ"ג  23083-03-19</w:t>
        </w:r>
      </w:hyperlink>
      <w:r w:rsidRPr="0098543B">
        <w:rPr>
          <w:rtl/>
        </w:rPr>
        <w:t xml:space="preserve">  </w:t>
      </w:r>
      <w:r w:rsidRPr="0098543B">
        <w:rPr>
          <w:b/>
          <w:bCs/>
          <w:rtl/>
        </w:rPr>
        <w:t>אבו מדע'ם נ' מדינת ישראל</w:t>
      </w:r>
      <w:r w:rsidRPr="0098543B">
        <w:rPr>
          <w:rtl/>
        </w:rPr>
        <w:t xml:space="preserve">  (14.2.19), אליו הפנתה ב"כ המאשימה, הנאשמים הורשעו בביצוע עבירות של אחזקת נשק ותחמושת שלא כדין, בניגוד</w:t>
      </w:r>
      <w:r w:rsidR="004D49AE">
        <w:rPr>
          <w:rtl/>
        </w:rPr>
        <w:t xml:space="preserve"> </w:t>
      </w:r>
      <w:hyperlink r:id="rId21" w:history="1">
        <w:r w:rsidR="000976DE" w:rsidRPr="000976DE">
          <w:rPr>
            <w:rStyle w:val="Hyperlink"/>
            <w:rtl/>
          </w:rPr>
          <w:t>לסעיף 144(א)</w:t>
        </w:r>
      </w:hyperlink>
      <w:r w:rsidR="004D49AE">
        <w:rPr>
          <w:rtl/>
        </w:rPr>
        <w:t xml:space="preserve"> </w:t>
      </w:r>
      <w:r w:rsidRPr="0098543B">
        <w:rPr>
          <w:rtl/>
        </w:rPr>
        <w:t>רישא וסיפא ל</w:t>
      </w:r>
      <w:hyperlink r:id="rId22" w:history="1">
        <w:r w:rsidR="004D49AE" w:rsidRPr="004D49AE">
          <w:rPr>
            <w:color w:val="0000FF"/>
            <w:u w:val="single"/>
            <w:rtl/>
          </w:rPr>
          <w:t>חוק העונשין</w:t>
        </w:r>
      </w:hyperlink>
      <w:r w:rsidRPr="0098543B">
        <w:rPr>
          <w:rtl/>
        </w:rPr>
        <w:t>. הנאשמים החזיקו בכלי נשק חם בלתי חוקיים ובתחמושת, כדלקמן: הנאשם 1, נתפס מחזיק בביתו באקדח חצי אוטומטי, 9 מ"מ, תוצרת</w:t>
      </w:r>
      <w:r w:rsidR="004D49AE">
        <w:rPr>
          <w:rtl/>
        </w:rPr>
        <w:t xml:space="preserve"> </w:t>
      </w:r>
      <w:r w:rsidRPr="0098543B">
        <w:t>FN</w:t>
      </w:r>
      <w:r w:rsidRPr="0098543B">
        <w:rPr>
          <w:rtl/>
        </w:rPr>
        <w:t>, וכן החזיק בנוסף ב – 55 כדורים בקוטר 9 מ"מ ובשלוש מחסניות טעונות. הנאשם 2, החזיק בביתו באקדח חצי אוטומטי 9 מ"מ תוצרת "טנפגוליו", אשר אינו תקין אולם ניתן לירות ולהמית אדם באמצעותו; תת מקלע מאולתר, שלא ניתן לבצע ירי באמצעותו מכיוון שחסר פין אחורי, אולם לאחר הרכבת בורג חלף הפין, היה בידיו לבצע ירי, אשר</w:t>
      </w:r>
      <w:r w:rsidR="004D49AE">
        <w:t xml:space="preserve"> </w:t>
      </w:r>
      <w:r w:rsidRPr="0098543B">
        <w:rPr>
          <w:rtl/>
        </w:rPr>
        <w:t>בכוחו להמית אדם; אקדח תקני מסוג תופי 9 מ"מ תוצרת "וובלי סקוט"  – לגביו, נטען, כי אינו תקין משום שמנגנון התוף אינו ננעל וקיימת סכנה בטיחותית בירי. כמו כן,</w:t>
      </w:r>
      <w:r w:rsidR="004D49AE">
        <w:rPr>
          <w:rtl/>
        </w:rPr>
        <w:t xml:space="preserve">  </w:t>
      </w:r>
      <w:r w:rsidRPr="0098543B">
        <w:rPr>
          <w:rtl/>
        </w:rPr>
        <w:t xml:space="preserve">החזיק הנאשם 2 במחסנית טעונה בתחמושת 9 מ"מ. האקדחים אותם החזיק הנאשם 2 נתפסו בחדר הילדים, בעוד תת המקלע נתפס בחדר השינה של הנאשם 2. בית משפט השלום קבע </w:t>
      </w:r>
      <w:r w:rsidRPr="0098543B">
        <w:rPr>
          <w:b/>
          <w:bCs/>
          <w:rtl/>
        </w:rPr>
        <w:t>כי מתחם העונש ההולם בעניינו של נאשם 1 נע בין 15 ועד 24 חדשי מאסר בפועל ובעניינו של נאשם 2 – בין 27 ועד 54 חודשי מאסר בפועל</w:t>
      </w:r>
      <w:r w:rsidRPr="0098543B">
        <w:rPr>
          <w:rtl/>
        </w:rPr>
        <w:t xml:space="preserve">. על הנאשם 1 הושתו 18 חודשי מאסר בפועל וענישה נלווית, ועל נאשם 2 הושתו 30 חודשי מאסר בפועל וענישה נלווית. ערעור שהוגש לבית המשפט המחוזי נדחה. </w:t>
      </w:r>
      <w:r w:rsidRPr="0098543B">
        <w:rPr>
          <w:rFonts w:hint="cs"/>
          <w:rtl/>
        </w:rPr>
        <w:t xml:space="preserve"> (המאשימה הפנה לגזר דין שניתן בשלום </w:t>
      </w:r>
      <w:hyperlink r:id="rId23" w:history="1">
        <w:r w:rsidR="004D49AE" w:rsidRPr="004D49AE">
          <w:rPr>
            <w:color w:val="0000FF"/>
            <w:u w:val="single"/>
            <w:rtl/>
          </w:rPr>
          <w:t>ת"פ 65912-01-18</w:t>
        </w:r>
      </w:hyperlink>
      <w:r w:rsidRPr="0098543B">
        <w:rPr>
          <w:rFonts w:hint="cs"/>
          <w:rtl/>
        </w:rPr>
        <w:t>).</w:t>
      </w:r>
    </w:p>
    <w:p w14:paraId="3209E6F2" w14:textId="77777777" w:rsidR="007859BD" w:rsidRPr="0098543B" w:rsidRDefault="007859BD" w:rsidP="007859BD">
      <w:pPr>
        <w:pStyle w:val="aa"/>
        <w:numPr>
          <w:ilvl w:val="0"/>
          <w:numId w:val="1"/>
        </w:numPr>
        <w:spacing w:before="240" w:after="240" w:line="360" w:lineRule="auto"/>
        <w:ind w:left="0"/>
        <w:jc w:val="both"/>
      </w:pPr>
      <w:r w:rsidRPr="0098543B">
        <w:rPr>
          <w:rFonts w:hint="cs"/>
          <w:rtl/>
        </w:rPr>
        <w:t>ב</w:t>
      </w:r>
      <w:hyperlink r:id="rId24" w:history="1">
        <w:r w:rsidR="004D49AE" w:rsidRPr="004D49AE">
          <w:rPr>
            <w:color w:val="0000FF"/>
            <w:u w:val="single"/>
            <w:rtl/>
          </w:rPr>
          <w:t>ת"פ 15148-03-12</w:t>
        </w:r>
      </w:hyperlink>
      <w:r w:rsidRPr="0098543B">
        <w:rPr>
          <w:rFonts w:hint="cs"/>
          <w:rtl/>
        </w:rPr>
        <w:t xml:space="preserve"> </w:t>
      </w:r>
      <w:r w:rsidRPr="0098543B">
        <w:rPr>
          <w:rFonts w:hint="eastAsia"/>
          <w:b/>
          <w:bCs/>
          <w:rtl/>
        </w:rPr>
        <w:t>מדינת</w:t>
      </w:r>
      <w:r w:rsidRPr="0098543B">
        <w:rPr>
          <w:b/>
          <w:bCs/>
          <w:rtl/>
        </w:rPr>
        <w:t xml:space="preserve"> </w:t>
      </w:r>
      <w:r w:rsidRPr="0098543B">
        <w:rPr>
          <w:rFonts w:hint="eastAsia"/>
          <w:b/>
          <w:bCs/>
          <w:rtl/>
        </w:rPr>
        <w:t>ישראל</w:t>
      </w:r>
      <w:r w:rsidRPr="0098543B">
        <w:rPr>
          <w:b/>
          <w:bCs/>
          <w:rtl/>
        </w:rPr>
        <w:t xml:space="preserve"> </w:t>
      </w:r>
      <w:r w:rsidRPr="0098543B">
        <w:rPr>
          <w:rFonts w:hint="eastAsia"/>
          <w:b/>
          <w:bCs/>
          <w:rtl/>
        </w:rPr>
        <w:t>נ</w:t>
      </w:r>
      <w:r w:rsidRPr="0098543B">
        <w:rPr>
          <w:b/>
          <w:bCs/>
          <w:rtl/>
        </w:rPr>
        <w:t xml:space="preserve">' </w:t>
      </w:r>
      <w:r w:rsidRPr="0098543B">
        <w:rPr>
          <w:rFonts w:hint="eastAsia"/>
          <w:b/>
          <w:bCs/>
          <w:rtl/>
        </w:rPr>
        <w:t>כבהה</w:t>
      </w:r>
      <w:r w:rsidRPr="0098543B">
        <w:rPr>
          <w:rFonts w:hint="cs"/>
          <w:rtl/>
        </w:rPr>
        <w:t xml:space="preserve"> (19.2.13), אליו הפנתה ב"כ המאשימה, הורשע הנאשם בעבירה של החזקת נשק שלא כדין בניגוד </w:t>
      </w:r>
      <w:hyperlink r:id="rId25" w:history="1">
        <w:r w:rsidR="000976DE" w:rsidRPr="000976DE">
          <w:rPr>
            <w:rStyle w:val="Hyperlink"/>
            <w:rFonts w:hint="eastAsia"/>
            <w:rtl/>
          </w:rPr>
          <w:t>לסעיפים</w:t>
        </w:r>
        <w:r w:rsidR="000976DE" w:rsidRPr="000976DE">
          <w:rPr>
            <w:rStyle w:val="Hyperlink"/>
            <w:rtl/>
          </w:rPr>
          <w:t xml:space="preserve"> 144(א)</w:t>
        </w:r>
      </w:hyperlink>
      <w:r w:rsidRPr="0098543B">
        <w:rPr>
          <w:rFonts w:hint="cs"/>
          <w:rtl/>
        </w:rPr>
        <w:t xml:space="preserve"> רישא וסיפא ל</w:t>
      </w:r>
      <w:hyperlink r:id="rId26" w:history="1">
        <w:r w:rsidR="004D49AE" w:rsidRPr="004D49AE">
          <w:rPr>
            <w:color w:val="0000FF"/>
            <w:u w:val="single"/>
            <w:rtl/>
          </w:rPr>
          <w:t>חוק העונשין</w:t>
        </w:r>
      </w:hyperlink>
      <w:r w:rsidRPr="0098543B">
        <w:rPr>
          <w:rFonts w:hint="cs"/>
          <w:rtl/>
        </w:rPr>
        <w:t xml:space="preserve"> ועבירה של שינוי זהות של כלי רכב. הנאשם זייף לוחיות זיהוי לאחר שהסיר את לוחיות הזיהוי המקוריות והתקין במקומן שתי לוחיות זיהוי שונות. הנאשם החזיק במכונית אקדח מסוג "ברטה" בקוטר 9 מ"מ ומחסנית שהכילה 11 כדורים. עוד נמצא במכונית אקדח "דמה" עם משתיק קול, מספר זוגות של כפפות בד ולוחות זיהוי מקוריות של המכונית. </w:t>
      </w:r>
      <w:r w:rsidRPr="0098543B">
        <w:rPr>
          <w:rFonts w:hint="eastAsia"/>
          <w:b/>
          <w:bCs/>
          <w:rtl/>
        </w:rPr>
        <w:t>נקבע</w:t>
      </w:r>
      <w:r w:rsidRPr="0098543B">
        <w:rPr>
          <w:b/>
          <w:bCs/>
          <w:rtl/>
        </w:rPr>
        <w:t xml:space="preserve"> </w:t>
      </w:r>
      <w:r w:rsidRPr="0098543B">
        <w:rPr>
          <w:rFonts w:hint="eastAsia"/>
          <w:b/>
          <w:bCs/>
          <w:rtl/>
        </w:rPr>
        <w:t>כי</w:t>
      </w:r>
      <w:r w:rsidRPr="0098543B">
        <w:rPr>
          <w:b/>
          <w:bCs/>
          <w:rtl/>
        </w:rPr>
        <w:t xml:space="preserve"> </w:t>
      </w:r>
      <w:r w:rsidRPr="0098543B">
        <w:rPr>
          <w:rFonts w:hint="eastAsia"/>
          <w:b/>
          <w:bCs/>
          <w:rtl/>
        </w:rPr>
        <w:t>מתחם</w:t>
      </w:r>
      <w:r w:rsidRPr="0098543B">
        <w:rPr>
          <w:b/>
          <w:bCs/>
          <w:rtl/>
        </w:rPr>
        <w:t xml:space="preserve"> </w:t>
      </w:r>
      <w:r w:rsidRPr="0098543B">
        <w:rPr>
          <w:rFonts w:hint="eastAsia"/>
          <w:b/>
          <w:bCs/>
          <w:rtl/>
        </w:rPr>
        <w:t>העונש</w:t>
      </w:r>
      <w:r w:rsidRPr="0098543B">
        <w:rPr>
          <w:b/>
          <w:bCs/>
          <w:rtl/>
        </w:rPr>
        <w:t xml:space="preserve"> </w:t>
      </w:r>
      <w:r w:rsidRPr="0098543B">
        <w:rPr>
          <w:rFonts w:hint="eastAsia"/>
          <w:b/>
          <w:bCs/>
          <w:rtl/>
        </w:rPr>
        <w:t>ההולם</w:t>
      </w:r>
      <w:r w:rsidRPr="0098543B">
        <w:rPr>
          <w:b/>
          <w:bCs/>
          <w:rtl/>
        </w:rPr>
        <w:t xml:space="preserve"> </w:t>
      </w:r>
      <w:r w:rsidRPr="0098543B">
        <w:rPr>
          <w:rFonts w:hint="eastAsia"/>
          <w:b/>
          <w:bCs/>
          <w:rtl/>
        </w:rPr>
        <w:t>נע</w:t>
      </w:r>
      <w:r w:rsidRPr="0098543B">
        <w:rPr>
          <w:b/>
          <w:bCs/>
          <w:rtl/>
        </w:rPr>
        <w:t xml:space="preserve"> </w:t>
      </w:r>
      <w:r w:rsidRPr="0098543B">
        <w:rPr>
          <w:rFonts w:hint="eastAsia"/>
          <w:b/>
          <w:bCs/>
          <w:rtl/>
        </w:rPr>
        <w:t>בין</w:t>
      </w:r>
      <w:r w:rsidRPr="0098543B">
        <w:rPr>
          <w:b/>
          <w:bCs/>
          <w:rtl/>
        </w:rPr>
        <w:t xml:space="preserve"> </w:t>
      </w:r>
      <w:r w:rsidRPr="0098543B">
        <w:rPr>
          <w:rFonts w:hint="cs"/>
          <w:b/>
          <w:bCs/>
          <w:rtl/>
        </w:rPr>
        <w:t xml:space="preserve">שנתיים  </w:t>
      </w:r>
      <w:r w:rsidRPr="0098543B">
        <w:rPr>
          <w:rFonts w:hint="eastAsia"/>
          <w:b/>
          <w:bCs/>
          <w:rtl/>
        </w:rPr>
        <w:t>ל</w:t>
      </w:r>
      <w:r w:rsidRPr="0098543B">
        <w:rPr>
          <w:b/>
          <w:bCs/>
          <w:rtl/>
        </w:rPr>
        <w:t xml:space="preserve"> - 4 </w:t>
      </w:r>
      <w:r w:rsidRPr="0098543B">
        <w:rPr>
          <w:rFonts w:hint="eastAsia"/>
          <w:b/>
          <w:bCs/>
          <w:rtl/>
        </w:rPr>
        <w:t>שנות</w:t>
      </w:r>
      <w:r w:rsidRPr="0098543B">
        <w:rPr>
          <w:b/>
          <w:bCs/>
          <w:rtl/>
        </w:rPr>
        <w:t xml:space="preserve"> </w:t>
      </w:r>
      <w:r w:rsidRPr="0098543B">
        <w:rPr>
          <w:rFonts w:hint="eastAsia"/>
          <w:b/>
          <w:bCs/>
          <w:rtl/>
        </w:rPr>
        <w:t>מאסר</w:t>
      </w:r>
      <w:r w:rsidRPr="0098543B">
        <w:rPr>
          <w:b/>
          <w:bCs/>
          <w:rtl/>
        </w:rPr>
        <w:t xml:space="preserve"> </w:t>
      </w:r>
      <w:r w:rsidRPr="0098543B">
        <w:rPr>
          <w:rFonts w:hint="eastAsia"/>
          <w:b/>
          <w:bCs/>
          <w:rtl/>
        </w:rPr>
        <w:t>בפועל</w:t>
      </w:r>
      <w:r w:rsidRPr="0098543B">
        <w:rPr>
          <w:b/>
          <w:bCs/>
          <w:rtl/>
        </w:rPr>
        <w:t>.</w:t>
      </w:r>
      <w:r w:rsidRPr="0098543B">
        <w:rPr>
          <w:rFonts w:hint="cs"/>
          <w:rtl/>
        </w:rPr>
        <w:t xml:space="preserve"> על הנאשם נגזרו שנתיים מאסר וענישה נלווית.   </w:t>
      </w:r>
    </w:p>
    <w:p w14:paraId="40EDADC7" w14:textId="77777777" w:rsidR="007859BD" w:rsidRPr="0098543B" w:rsidRDefault="007859BD" w:rsidP="007859BD">
      <w:pPr>
        <w:pStyle w:val="aa"/>
        <w:numPr>
          <w:ilvl w:val="0"/>
          <w:numId w:val="1"/>
        </w:numPr>
        <w:spacing w:before="240" w:after="240" w:line="360" w:lineRule="auto"/>
        <w:ind w:left="0"/>
        <w:jc w:val="both"/>
        <w:rPr>
          <w:rtl/>
        </w:rPr>
      </w:pPr>
      <w:r w:rsidRPr="0098543B">
        <w:rPr>
          <w:rtl/>
        </w:rPr>
        <w:t>ב</w:t>
      </w:r>
      <w:hyperlink r:id="rId27" w:history="1">
        <w:r w:rsidR="004D49AE" w:rsidRPr="004D49AE">
          <w:rPr>
            <w:color w:val="0000FF"/>
            <w:u w:val="single"/>
            <w:rtl/>
          </w:rPr>
          <w:t>ת"פ 39460-02-22</w:t>
        </w:r>
      </w:hyperlink>
      <w:r w:rsidRPr="0098543B">
        <w:rPr>
          <w:rtl/>
        </w:rPr>
        <w:t xml:space="preserve"> </w:t>
      </w:r>
      <w:r w:rsidRPr="0098543B">
        <w:rPr>
          <w:b/>
          <w:bCs/>
          <w:rtl/>
        </w:rPr>
        <w:t>מדינת ישראל נ' חמוד</w:t>
      </w:r>
      <w:r w:rsidRPr="0098543B">
        <w:rPr>
          <w:rtl/>
        </w:rPr>
        <w:t xml:space="preserve"> (21.5.23), אליו הפנה ב"כ הנאשם, הנאשם הורשע בעבירות של רכישת/החזקת נשק שלא כדין לפי </w:t>
      </w:r>
      <w:hyperlink r:id="rId28" w:history="1">
        <w:r w:rsidR="000976DE" w:rsidRPr="000976DE">
          <w:rPr>
            <w:rStyle w:val="Hyperlink"/>
            <w:rtl/>
          </w:rPr>
          <w:t>סעיף 144(א)</w:t>
        </w:r>
      </w:hyperlink>
      <w:r w:rsidRPr="0098543B">
        <w:rPr>
          <w:rtl/>
        </w:rPr>
        <w:t xml:space="preserve"> ל</w:t>
      </w:r>
      <w:hyperlink r:id="rId29" w:history="1">
        <w:r w:rsidR="004D49AE" w:rsidRPr="004D49AE">
          <w:rPr>
            <w:color w:val="0000FF"/>
            <w:u w:val="single"/>
            <w:rtl/>
          </w:rPr>
          <w:t>חוק העונשין</w:t>
        </w:r>
      </w:hyperlink>
      <w:r w:rsidRPr="0098543B">
        <w:rPr>
          <w:rtl/>
        </w:rPr>
        <w:t xml:space="preserve">, רכישת/החזקת חלק של נשק או תחמושת לפי </w:t>
      </w:r>
      <w:hyperlink r:id="rId30" w:history="1">
        <w:r w:rsidR="000976DE" w:rsidRPr="000976DE">
          <w:rPr>
            <w:rStyle w:val="Hyperlink"/>
            <w:rtl/>
          </w:rPr>
          <w:t>סעיף 144(א)</w:t>
        </w:r>
      </w:hyperlink>
      <w:r w:rsidRPr="0098543B">
        <w:rPr>
          <w:rtl/>
        </w:rPr>
        <w:t xml:space="preserve"> סיפא לחוק העונשין, ועבירה של החזקה/שימוש בסמים לצריכה עצמית. בעת חיפוש שנערך כדין בביתו של הנאשם נמצא כי הנאשם החזיק במשרדו, בתוך ארון, בקופסא אדומה ובה אקדח ברטה בצבע שחור אשר היה עטוף בבד לבן וזאת ללא רשות כדין. עוד החזיק הנאשם במשרד סם מסוכן מסוג חשיש במשקל נטו של 3.5 גרם וכן ב 7 סוכריות שהינן סם מסוכן. בהמשך ובאותן נסיבות נמצא הנאשם מחזיק בתוך שידה הסמוכה למיטתו בבית 2 כדורי 9 מ"מ. </w:t>
      </w:r>
      <w:r w:rsidRPr="0098543B">
        <w:rPr>
          <w:b/>
          <w:bCs/>
          <w:rtl/>
        </w:rPr>
        <w:t>נקבע כי מתחם העונש ההולם לכל העבירות נע בין 12 – 24 חודשי מאסר בפועל לצד מאסר מותנה וקנס כספי</w:t>
      </w:r>
      <w:r w:rsidRPr="0098543B">
        <w:rPr>
          <w:rtl/>
        </w:rPr>
        <w:t xml:space="preserve">. על הנאשם נגזרו 12 חודשי מאסר בפועל וענישה נלווית. (הוגש </w:t>
      </w:r>
      <w:r w:rsidRPr="0098543B">
        <w:rPr>
          <w:rFonts w:hint="cs"/>
          <w:rtl/>
        </w:rPr>
        <w:t>ערעור על חומרת העונש אשר נדחה (</w:t>
      </w:r>
      <w:hyperlink r:id="rId31" w:history="1">
        <w:r w:rsidR="004D49AE" w:rsidRPr="004D49AE">
          <w:rPr>
            <w:color w:val="0000FF"/>
            <w:u w:val="single"/>
            <w:rtl/>
          </w:rPr>
          <w:t>עפ"ג 72851-05-23</w:t>
        </w:r>
      </w:hyperlink>
      <w:r w:rsidRPr="0098543B">
        <w:rPr>
          <w:rFonts w:hint="cs"/>
          <w:rtl/>
        </w:rPr>
        <w:t>))</w:t>
      </w:r>
      <w:r w:rsidRPr="0098543B">
        <w:rPr>
          <w:rtl/>
        </w:rPr>
        <w:t>.</w:t>
      </w:r>
      <w:r w:rsidRPr="0098543B">
        <w:rPr>
          <w:rFonts w:hint="cs"/>
          <w:rtl/>
        </w:rPr>
        <w:t>ב</w:t>
      </w:r>
      <w:hyperlink r:id="rId32" w:history="1">
        <w:r w:rsidR="004D49AE" w:rsidRPr="004D49AE">
          <w:rPr>
            <w:color w:val="0000FF"/>
            <w:u w:val="single"/>
            <w:rtl/>
          </w:rPr>
          <w:t>ע"פ 5765/20</w:t>
        </w:r>
      </w:hyperlink>
      <w:r w:rsidRPr="0098543B">
        <w:rPr>
          <w:rFonts w:hint="cs"/>
          <w:rtl/>
        </w:rPr>
        <w:t xml:space="preserve"> </w:t>
      </w:r>
      <w:r w:rsidRPr="0098543B">
        <w:rPr>
          <w:rFonts w:hint="cs"/>
          <w:b/>
          <w:bCs/>
          <w:rtl/>
        </w:rPr>
        <w:t>וסים אבו בכר נ' מדינת ישראל</w:t>
      </w:r>
      <w:r w:rsidRPr="0098543B">
        <w:rPr>
          <w:rFonts w:hint="cs"/>
          <w:rtl/>
        </w:rPr>
        <w:t xml:space="preserve"> (22.3.21), המערערים הורשעו, לאחר הודאתם, בעבירות של הובלה ונשיאת נשק, לפי </w:t>
      </w:r>
      <w:hyperlink r:id="rId33" w:history="1">
        <w:r w:rsidR="000976DE" w:rsidRPr="000976DE">
          <w:rPr>
            <w:rStyle w:val="Hyperlink"/>
            <w:rtl/>
          </w:rPr>
          <w:t>סעיפים 144(א)</w:t>
        </w:r>
      </w:hyperlink>
      <w:r w:rsidRPr="0098543B">
        <w:rPr>
          <w:rtl/>
        </w:rPr>
        <w:t xml:space="preserve"> </w:t>
      </w:r>
      <w:r w:rsidRPr="0098543B">
        <w:rPr>
          <w:rFonts w:hint="cs"/>
          <w:rtl/>
        </w:rPr>
        <w:t>רישא וסיפא ו-</w:t>
      </w:r>
      <w:r w:rsidRPr="0098543B">
        <w:rPr>
          <w:rFonts w:hint="cs"/>
          <w:color w:val="000000"/>
          <w:rtl/>
        </w:rPr>
        <w:t>144(ב)</w:t>
      </w:r>
      <w:r w:rsidRPr="0098543B">
        <w:rPr>
          <w:rFonts w:hint="cs"/>
          <w:rtl/>
        </w:rPr>
        <w:t xml:space="preserve"> רישא וסיפא, </w:t>
      </w:r>
      <w:r w:rsidRPr="0098543B">
        <w:rPr>
          <w:rFonts w:hint="eastAsia"/>
          <w:rtl/>
        </w:rPr>
        <w:t>בצירוף</w:t>
      </w:r>
      <w:r w:rsidRPr="0098543B">
        <w:rPr>
          <w:rtl/>
        </w:rPr>
        <w:t xml:space="preserve"> </w:t>
      </w:r>
      <w:hyperlink r:id="rId34" w:history="1">
        <w:r w:rsidR="000976DE" w:rsidRPr="000976DE">
          <w:rPr>
            <w:rStyle w:val="Hyperlink"/>
            <w:rtl/>
          </w:rPr>
          <w:t>סעיף 29</w:t>
        </w:r>
      </w:hyperlink>
      <w:r w:rsidRPr="0098543B">
        <w:rPr>
          <w:rtl/>
        </w:rPr>
        <w:t xml:space="preserve"> ל</w:t>
      </w:r>
      <w:hyperlink r:id="rId35" w:history="1">
        <w:r w:rsidR="004D49AE" w:rsidRPr="004D49AE">
          <w:rPr>
            <w:color w:val="0000FF"/>
            <w:u w:val="single"/>
            <w:rtl/>
          </w:rPr>
          <w:t>חוק העונשין</w:t>
        </w:r>
      </w:hyperlink>
      <w:r w:rsidRPr="0098543B">
        <w:rPr>
          <w:rFonts w:hint="cs"/>
          <w:rtl/>
        </w:rPr>
        <w:t xml:space="preserve">, ועבירה של שיבוש מהלכי משפט. המערער 2 נהג ברכב כשלצדו יושב המערער 1, כשהם נושאים ומובילים עמם שני אקדחים (מסוג </w:t>
      </w:r>
      <w:r w:rsidRPr="0098543B">
        <w:t>FN</w:t>
      </w:r>
      <w:r w:rsidRPr="0098543B">
        <w:rPr>
          <w:rFonts w:hint="cs"/>
          <w:rtl/>
        </w:rPr>
        <w:t xml:space="preserve"> ומסוג יריחו), בכל אקדח מחסנית מלאה. שוטרי סיור הבחינו ברכב כשהוא נוסע במהירות והחלו לנסוע אחריו כשהם מהבהבים בפנסי הניידת. המערער 2 המשיך בנסיעה כ-200 מטר ועצר את הרכב. המערער 1 יצא מהרכב, רץ אל חצר בית סמוך והשליך שם את האקדחים והמחסניות, ושב אל הרכב. בית משפט מחוזי השית על המערערים, מאסר בפועל של 18 חודשים וענישה נלווית. ערעור שהוגש לבית המשפט העליון על חומרת העונש נדחה.</w:t>
      </w:r>
    </w:p>
    <w:p w14:paraId="7930794A" w14:textId="77777777" w:rsidR="007859BD" w:rsidRPr="0098543B" w:rsidRDefault="007859BD" w:rsidP="007859BD">
      <w:pPr>
        <w:pStyle w:val="aa"/>
        <w:numPr>
          <w:ilvl w:val="0"/>
          <w:numId w:val="1"/>
        </w:numPr>
        <w:spacing w:before="240" w:after="240" w:line="360" w:lineRule="auto"/>
        <w:ind w:left="0"/>
        <w:jc w:val="both"/>
        <w:rPr>
          <w:rtl/>
        </w:rPr>
      </w:pPr>
      <w:r w:rsidRPr="0098543B">
        <w:rPr>
          <w:rFonts w:hint="cs"/>
          <w:rtl/>
        </w:rPr>
        <w:t>ב</w:t>
      </w:r>
      <w:hyperlink r:id="rId36" w:history="1">
        <w:r w:rsidR="004D49AE" w:rsidRPr="004D49AE">
          <w:rPr>
            <w:color w:val="0000FF"/>
            <w:u w:val="single"/>
            <w:rtl/>
          </w:rPr>
          <w:t>עפ"ג 68620-02-20</w:t>
        </w:r>
      </w:hyperlink>
      <w:r w:rsidRPr="0098543B">
        <w:rPr>
          <w:rFonts w:hint="cs"/>
          <w:rtl/>
        </w:rPr>
        <w:t xml:space="preserve"> </w:t>
      </w:r>
      <w:r w:rsidRPr="0098543B">
        <w:rPr>
          <w:rFonts w:hint="cs"/>
          <w:b/>
          <w:bCs/>
          <w:rtl/>
        </w:rPr>
        <w:t>שיאבנה ואח' נ' מדינת ישראל</w:t>
      </w:r>
      <w:r w:rsidRPr="0098543B">
        <w:rPr>
          <w:rFonts w:hint="cs"/>
          <w:rtl/>
        </w:rPr>
        <w:t xml:space="preserve"> (27.5.20) הנאשמים הורשעו על פי הודאתם, בעבירה של החזקת נשק ותחמושת בניגוד </w:t>
      </w:r>
      <w:hyperlink r:id="rId37" w:history="1">
        <w:r w:rsidR="000976DE" w:rsidRPr="000976DE">
          <w:rPr>
            <w:rStyle w:val="Hyperlink"/>
            <w:rFonts w:hint="eastAsia"/>
            <w:rtl/>
          </w:rPr>
          <w:t>לסעיפים</w:t>
        </w:r>
        <w:r w:rsidR="000976DE" w:rsidRPr="000976DE">
          <w:rPr>
            <w:rStyle w:val="Hyperlink"/>
            <w:rtl/>
          </w:rPr>
          <w:t xml:space="preserve"> 144(א)</w:t>
        </w:r>
      </w:hyperlink>
      <w:r w:rsidRPr="0098543B">
        <w:rPr>
          <w:rFonts w:hint="cs"/>
          <w:rtl/>
        </w:rPr>
        <w:t xml:space="preserve"> +</w:t>
      </w:r>
      <w:r w:rsidRPr="0098543B">
        <w:rPr>
          <w:rFonts w:hint="cs"/>
        </w:rPr>
        <w:t xml:space="preserve"> </w:t>
      </w:r>
      <w:hyperlink r:id="rId38" w:history="1">
        <w:r w:rsidR="000976DE" w:rsidRPr="000976DE">
          <w:rPr>
            <w:rStyle w:val="Hyperlink"/>
            <w:rtl/>
          </w:rPr>
          <w:t>29</w:t>
        </w:r>
      </w:hyperlink>
      <w:r w:rsidRPr="0098543B">
        <w:rPr>
          <w:rFonts w:hint="cs"/>
          <w:rtl/>
        </w:rPr>
        <w:t xml:space="preserve"> ל</w:t>
      </w:r>
      <w:hyperlink r:id="rId39" w:history="1">
        <w:r w:rsidR="004D49AE" w:rsidRPr="004D49AE">
          <w:rPr>
            <w:color w:val="0000FF"/>
            <w:u w:val="single"/>
            <w:rtl/>
          </w:rPr>
          <w:t>חוק העונשין</w:t>
        </w:r>
      </w:hyperlink>
      <w:r w:rsidRPr="0098543B">
        <w:rPr>
          <w:rFonts w:hint="cs"/>
          <w:rtl/>
        </w:rPr>
        <w:t xml:space="preserve">, ועבירה של החזקת נשק ותחמושת בניגוד </w:t>
      </w:r>
      <w:hyperlink r:id="rId40" w:history="1">
        <w:r w:rsidR="000976DE" w:rsidRPr="000976DE">
          <w:rPr>
            <w:rStyle w:val="Hyperlink"/>
            <w:rFonts w:hint="eastAsia"/>
            <w:rtl/>
          </w:rPr>
          <w:t>לסעיף</w:t>
        </w:r>
        <w:r w:rsidR="000976DE" w:rsidRPr="000976DE">
          <w:rPr>
            <w:rStyle w:val="Hyperlink"/>
            <w:rtl/>
          </w:rPr>
          <w:t xml:space="preserve"> 144(א)</w:t>
        </w:r>
      </w:hyperlink>
      <w:r w:rsidRPr="0098543B">
        <w:rPr>
          <w:rFonts w:hint="cs"/>
          <w:rtl/>
        </w:rPr>
        <w:t xml:space="preserve"> רישא לחוק העונשין (לנאשם 2 בלבד).הנאשם 2 החזיק בחדר ילדים בביתו של נאשם 1, אקדח פאראבלום, ושתי מחסניות מתאימות, שהכילו 14 כדורים, כל אחת מהן, וזאת בלא רשות על פי דין להחזיקם. באותו מועד, החזיקו שני הנאשמים, בצוותא חדא, בבית הנאשם 1, במגירה התחתונה, באחד מארונות המטבח, אקדח "ברטה" ושתי מחסניות מתאימות, אשר הכילו 25 כדורים, וזאת בלא רשות על פי דין להחזקתם. בית משפט השלום קבע כי </w:t>
      </w:r>
      <w:r w:rsidRPr="0098543B">
        <w:rPr>
          <w:rFonts w:hint="cs"/>
          <w:b/>
          <w:bCs/>
          <w:rtl/>
        </w:rPr>
        <w:t>מתחם העונש ההולם לנאשם 1 נע בין 9 חודשי מאסר בפועל, ל-24 חודשי מאסר בפועל, ולנאשם 2 נע בין 15 חודשי מאסר בפועל, ל-30 חודשי מאסר בפועל</w:t>
      </w:r>
      <w:r w:rsidRPr="0098543B">
        <w:rPr>
          <w:rFonts w:hint="cs"/>
          <w:rtl/>
        </w:rPr>
        <w:t xml:space="preserve">. על נאשם 1 הושתו 9 חודשי מאסר בפועל שירוצו בעבודות שירות וענישה נלווית, ועל נאשם 2 הוטלו 15 חודשי מאסר בפועל וענישה נלווית. ערעור שהוגש לבית המשפט המחוזי התקבל חלקית כך שבעניינו של נאשם 2 הערעור נדחה ובעניינו של נאשם 1 בוטל פסק הדין של בית משפט קמא, הוא הורשע בעבירה של סיוע להחזקת נשק ותחמושת, והוטלו עליו 4 חודשי מאסר בעבודות שירות וענישה נלווית. </w:t>
      </w:r>
    </w:p>
    <w:p w14:paraId="53AA0F75" w14:textId="77777777" w:rsidR="007859BD" w:rsidRPr="0098543B" w:rsidRDefault="007859BD" w:rsidP="007859BD">
      <w:pPr>
        <w:pStyle w:val="aa"/>
        <w:numPr>
          <w:ilvl w:val="0"/>
          <w:numId w:val="1"/>
        </w:numPr>
        <w:spacing w:before="240" w:after="240" w:line="360" w:lineRule="auto"/>
        <w:ind w:left="0"/>
        <w:jc w:val="both"/>
      </w:pPr>
      <w:r w:rsidRPr="0098543B">
        <w:rPr>
          <w:rFonts w:hint="cs"/>
          <w:rtl/>
        </w:rPr>
        <w:t>ב</w:t>
      </w:r>
      <w:hyperlink r:id="rId41" w:history="1">
        <w:r w:rsidR="004D49AE" w:rsidRPr="004D49AE">
          <w:rPr>
            <w:color w:val="0000FF"/>
            <w:u w:val="single"/>
            <w:rtl/>
          </w:rPr>
          <w:t>ת"פ 1783-04-23</w:t>
        </w:r>
      </w:hyperlink>
      <w:r w:rsidRPr="0098543B">
        <w:rPr>
          <w:rFonts w:hint="cs"/>
          <w:rtl/>
        </w:rPr>
        <w:t xml:space="preserve"> </w:t>
      </w:r>
      <w:r w:rsidRPr="0098543B">
        <w:rPr>
          <w:rFonts w:hint="cs"/>
          <w:b/>
          <w:bCs/>
          <w:rtl/>
        </w:rPr>
        <w:t>מדינת ישראל נ' ארתור איסאקוב</w:t>
      </w:r>
      <w:r w:rsidRPr="0098543B">
        <w:rPr>
          <w:rFonts w:hint="cs"/>
          <w:rtl/>
        </w:rPr>
        <w:t xml:space="preserve"> (26.12.23) הנאשם הורשע על פי הודאתו בעבירות החזקת נשק ותחמושת וכן בהחזקת סמים לצריכה עצמית. במהלך חיפוש בדירת הנאשם נמצא בארון הבגדים אקדח חצי אוטומטי מסוג "</w:t>
      </w:r>
      <w:r w:rsidRPr="0098543B">
        <w:t>TANFOGOLIO</w:t>
      </w:r>
      <w:r w:rsidRPr="0098543B">
        <w:rPr>
          <w:rFonts w:hint="cs"/>
          <w:rtl/>
        </w:rPr>
        <w:t>" ובו מחסנית הטעונה ב- 10 כדורים בקוטר 9 מ"מ. בנוסף, נמצא על כיסא, תחת כרית, סמוך למיטתו של הנאשם אקדח מסוג "</w:t>
      </w:r>
      <w:r w:rsidRPr="0098543B">
        <w:t>FN</w:t>
      </w:r>
      <w:r w:rsidRPr="0098543B">
        <w:rPr>
          <w:rFonts w:hint="cs"/>
          <w:rtl/>
        </w:rPr>
        <w:t xml:space="preserve"> – בראונינג" ובו מחסנית הטעונה ב- 5 כדורים בקוטר 6.35 מ"מ. כמו כן, במקומות נוספים נמצאו סם מסוכן מסוג קנביס במשקל כולל של 18.9 גרם נטו ועוד 12 כדורי תחמושת בקוטר 9 מ"מ ו- 10 כדורי תחמושת בקוטר 6.35 מ"מ. נקבע כי </w:t>
      </w:r>
      <w:r w:rsidRPr="0098543B">
        <w:rPr>
          <w:rFonts w:hint="cs"/>
          <w:b/>
          <w:bCs/>
          <w:rtl/>
        </w:rPr>
        <w:t>מתחם העונש ההולם נע בין 18 ל-36 חודשי מאסר בפועל לצד ענישה הצופה פני עתיד</w:t>
      </w:r>
      <w:r w:rsidRPr="0098543B">
        <w:rPr>
          <w:rFonts w:hint="cs"/>
          <w:rtl/>
        </w:rPr>
        <w:t xml:space="preserve">. על הנאשם הוטלו 22 חודשי מאסר בפועל ומאסר על תנאי. </w:t>
      </w:r>
    </w:p>
    <w:p w14:paraId="3E1FD3D8" w14:textId="77777777" w:rsidR="007859BD" w:rsidRPr="0098543B" w:rsidRDefault="007859BD" w:rsidP="007859BD">
      <w:pPr>
        <w:pStyle w:val="aa"/>
        <w:numPr>
          <w:ilvl w:val="0"/>
          <w:numId w:val="1"/>
        </w:numPr>
        <w:spacing w:before="240" w:after="240" w:line="360" w:lineRule="auto"/>
        <w:ind w:left="0"/>
        <w:jc w:val="both"/>
      </w:pPr>
      <w:r w:rsidRPr="0098543B">
        <w:rPr>
          <w:rFonts w:hint="eastAsia"/>
          <w:rtl/>
        </w:rPr>
        <w:t>ב</w:t>
      </w:r>
      <w:hyperlink r:id="rId42" w:history="1">
        <w:r w:rsidR="004D49AE" w:rsidRPr="004D49AE">
          <w:rPr>
            <w:color w:val="0000FF"/>
            <w:u w:val="single"/>
            <w:rtl/>
          </w:rPr>
          <w:t>עפ"ג 28287-02-21</w:t>
        </w:r>
      </w:hyperlink>
      <w:r w:rsidRPr="0098543B">
        <w:rPr>
          <w:rtl/>
        </w:rPr>
        <w:t xml:space="preserve"> </w:t>
      </w:r>
      <w:r w:rsidRPr="0098543B">
        <w:rPr>
          <w:rFonts w:hint="eastAsia"/>
          <w:b/>
          <w:bCs/>
          <w:rtl/>
        </w:rPr>
        <w:t>מדינת</w:t>
      </w:r>
      <w:r w:rsidRPr="0098543B">
        <w:rPr>
          <w:b/>
          <w:bCs/>
          <w:rtl/>
        </w:rPr>
        <w:t xml:space="preserve"> </w:t>
      </w:r>
      <w:r w:rsidRPr="0098543B">
        <w:rPr>
          <w:rFonts w:hint="eastAsia"/>
          <w:b/>
          <w:bCs/>
          <w:rtl/>
        </w:rPr>
        <w:t>ישראל</w:t>
      </w:r>
      <w:r w:rsidRPr="0098543B">
        <w:rPr>
          <w:b/>
          <w:bCs/>
          <w:rtl/>
        </w:rPr>
        <w:t xml:space="preserve"> </w:t>
      </w:r>
      <w:r w:rsidRPr="0098543B">
        <w:rPr>
          <w:rFonts w:hint="eastAsia"/>
          <w:b/>
          <w:bCs/>
          <w:rtl/>
        </w:rPr>
        <w:t>נ</w:t>
      </w:r>
      <w:r w:rsidRPr="0098543B">
        <w:rPr>
          <w:b/>
          <w:bCs/>
          <w:rtl/>
        </w:rPr>
        <w:t xml:space="preserve">' </w:t>
      </w:r>
      <w:r w:rsidRPr="0098543B">
        <w:rPr>
          <w:rFonts w:hint="eastAsia"/>
          <w:b/>
          <w:bCs/>
          <w:rtl/>
        </w:rPr>
        <w:t>אבו</w:t>
      </w:r>
      <w:r w:rsidRPr="0098543B">
        <w:rPr>
          <w:b/>
          <w:bCs/>
          <w:rtl/>
        </w:rPr>
        <w:t xml:space="preserve"> </w:t>
      </w:r>
      <w:r w:rsidRPr="0098543B">
        <w:rPr>
          <w:rFonts w:hint="eastAsia"/>
          <w:b/>
          <w:bCs/>
          <w:rtl/>
        </w:rPr>
        <w:t>הלאל</w:t>
      </w:r>
      <w:r w:rsidRPr="0098543B">
        <w:rPr>
          <w:rtl/>
        </w:rPr>
        <w:t xml:space="preserve"> (22.4.21), אליו הפנה ב"כ הנאשם,</w:t>
      </w:r>
      <w:r w:rsidRPr="0098543B">
        <w:rPr>
          <w:rFonts w:hint="cs"/>
          <w:rtl/>
        </w:rPr>
        <w:t xml:space="preserve"> </w:t>
      </w:r>
      <w:r w:rsidR="004D49AE">
        <w:t xml:space="preserve"> </w:t>
      </w:r>
      <w:r w:rsidRPr="0098543B">
        <w:rPr>
          <w:rtl/>
        </w:rPr>
        <w:t xml:space="preserve">המבקשים הורשעו על פי הודאתם </w:t>
      </w:r>
      <w:r w:rsidRPr="0098543B">
        <w:rPr>
          <w:rFonts w:hint="eastAsia"/>
          <w:rtl/>
        </w:rPr>
        <w:t>ב</w:t>
      </w:r>
      <w:r w:rsidRPr="0098543B">
        <w:rPr>
          <w:rtl/>
        </w:rPr>
        <w:t>עבירות החזקת נשק ותחמושת שלא כדין, זאת, בגין החזקת שני כלי נשק מאולתרים מסוג קרלו, מחסניות, ו-4 כדורי 9 מ"מ, וכן החזקה של כדור תחמושת המשמש נשק ארוך על ידי המבקש 1</w:t>
      </w:r>
      <w:r w:rsidRPr="0098543B">
        <w:t>.</w:t>
      </w:r>
      <w:r w:rsidRPr="0098543B">
        <w:rPr>
          <w:rtl/>
        </w:rPr>
        <w:t xml:space="preserve"> </w:t>
      </w:r>
      <w:r w:rsidRPr="0098543B">
        <w:rPr>
          <w:rFonts w:hint="cs"/>
          <w:rtl/>
        </w:rPr>
        <w:t xml:space="preserve">בית משפט השלום קבע כי מתחם העונש ההולם נע בין 10 ל-18 חודשי מאסר בפועל. </w:t>
      </w:r>
      <w:r w:rsidRPr="0098543B">
        <w:rPr>
          <w:rtl/>
        </w:rPr>
        <w:t xml:space="preserve">נוכח שיקולי שיקום, בית משפט השלום </w:t>
      </w:r>
      <w:r w:rsidRPr="0098543B">
        <w:rPr>
          <w:rFonts w:hint="cs"/>
          <w:rtl/>
        </w:rPr>
        <w:t>סטה</w:t>
      </w:r>
      <w:r w:rsidRPr="0098543B">
        <w:rPr>
          <w:rtl/>
        </w:rPr>
        <w:t xml:space="preserve"> לקולא ממתחם העונש </w:t>
      </w:r>
      <w:r w:rsidRPr="0098543B">
        <w:rPr>
          <w:rFonts w:hint="eastAsia"/>
          <w:rtl/>
        </w:rPr>
        <w:t>ההולם</w:t>
      </w:r>
      <w:r w:rsidRPr="0098543B">
        <w:rPr>
          <w:rtl/>
        </w:rPr>
        <w:t>, והשית על כל אחד מהמבקשים 9 חודשי מאסר בפועל, אשר ירוצו בדרך של עבודות שירו</w:t>
      </w:r>
      <w:r w:rsidRPr="0098543B">
        <w:rPr>
          <w:rFonts w:hint="cs"/>
          <w:rtl/>
        </w:rPr>
        <w:t>ת</w:t>
      </w:r>
      <w:r w:rsidRPr="0098543B">
        <w:rPr>
          <w:rtl/>
        </w:rPr>
        <w:t xml:space="preserve"> וענישה נלווית</w:t>
      </w:r>
      <w:r w:rsidRPr="0098543B">
        <w:rPr>
          <w:rFonts w:hint="cs"/>
          <w:rtl/>
        </w:rPr>
        <w:t>.</w:t>
      </w:r>
      <w:r w:rsidRPr="0098543B">
        <w:rPr>
          <w:rtl/>
        </w:rPr>
        <w:t xml:space="preserve"> המדינה הגישה ערעור על קולת העונש לבית המשפט המחוזי אשר התקבל</w:t>
      </w:r>
      <w:r w:rsidRPr="0098543B">
        <w:rPr>
          <w:rFonts w:hint="cs"/>
          <w:rtl/>
        </w:rPr>
        <w:t xml:space="preserve"> ונקבע כי </w:t>
      </w:r>
      <w:r w:rsidRPr="0098543B">
        <w:rPr>
          <w:rFonts w:hint="eastAsia"/>
          <w:b/>
          <w:bCs/>
          <w:rtl/>
        </w:rPr>
        <w:t>מתחם</w:t>
      </w:r>
      <w:r w:rsidRPr="0098543B">
        <w:rPr>
          <w:b/>
          <w:bCs/>
          <w:rtl/>
        </w:rPr>
        <w:t xml:space="preserve"> העונש ההולם נע בין 10 </w:t>
      </w:r>
      <w:r w:rsidRPr="0098543B">
        <w:rPr>
          <w:rFonts w:hint="eastAsia"/>
          <w:b/>
          <w:bCs/>
          <w:rtl/>
        </w:rPr>
        <w:t>ל</w:t>
      </w:r>
      <w:r w:rsidRPr="0098543B">
        <w:rPr>
          <w:b/>
          <w:bCs/>
          <w:rtl/>
        </w:rPr>
        <w:t xml:space="preserve">-24 </w:t>
      </w:r>
      <w:r w:rsidRPr="0098543B">
        <w:rPr>
          <w:rFonts w:hint="eastAsia"/>
          <w:b/>
          <w:bCs/>
          <w:rtl/>
        </w:rPr>
        <w:t>חודשי</w:t>
      </w:r>
      <w:r w:rsidRPr="0098543B">
        <w:rPr>
          <w:b/>
          <w:bCs/>
          <w:rtl/>
        </w:rPr>
        <w:t xml:space="preserve"> </w:t>
      </w:r>
      <w:r w:rsidRPr="0098543B">
        <w:rPr>
          <w:rFonts w:hint="eastAsia"/>
          <w:b/>
          <w:bCs/>
          <w:rtl/>
        </w:rPr>
        <w:t>מאסר</w:t>
      </w:r>
      <w:r w:rsidRPr="0098543B">
        <w:rPr>
          <w:b/>
          <w:bCs/>
          <w:rtl/>
        </w:rPr>
        <w:t xml:space="preserve"> </w:t>
      </w:r>
      <w:r w:rsidRPr="0098543B">
        <w:rPr>
          <w:rFonts w:hint="eastAsia"/>
          <w:b/>
          <w:bCs/>
          <w:rtl/>
        </w:rPr>
        <w:t>בפועל</w:t>
      </w:r>
      <w:r w:rsidRPr="0098543B">
        <w:rPr>
          <w:rFonts w:hint="cs"/>
          <w:rtl/>
        </w:rPr>
        <w:t>.</w:t>
      </w:r>
      <w:r w:rsidRPr="0098543B">
        <w:rPr>
          <w:rtl/>
        </w:rPr>
        <w:t xml:space="preserve"> </w:t>
      </w:r>
      <w:r w:rsidRPr="0098543B">
        <w:rPr>
          <w:rFonts w:hint="cs"/>
          <w:rtl/>
        </w:rPr>
        <w:t xml:space="preserve">בית המשפט </w:t>
      </w:r>
      <w:r w:rsidRPr="0098543B">
        <w:rPr>
          <w:rFonts w:hint="eastAsia"/>
          <w:rtl/>
        </w:rPr>
        <w:t>גזר</w:t>
      </w:r>
      <w:r w:rsidRPr="0098543B">
        <w:rPr>
          <w:rtl/>
        </w:rPr>
        <w:t xml:space="preserve"> על כל אחד מהמבקשים, חלף עבודות השירות, 10 חודשי מאסר בפועל, בניכוי ימי מעצרם. עונש המאסר המותנה, שהושת על המבקשים בבית משפט השלום, נותר על כנו</w:t>
      </w:r>
      <w:r w:rsidRPr="0098543B">
        <w:t>.</w:t>
      </w:r>
      <w:r w:rsidRPr="0098543B">
        <w:rPr>
          <w:rtl/>
        </w:rPr>
        <w:t xml:space="preserve"> בקשת רשות ערעור שהגישו המבקשים לבית המשפט העליון נדחתה (</w:t>
      </w:r>
      <w:hyperlink r:id="rId43" w:history="1">
        <w:r w:rsidR="004D49AE" w:rsidRPr="004D49AE">
          <w:rPr>
            <w:color w:val="0000FF"/>
            <w:u w:val="single"/>
            <w:rtl/>
          </w:rPr>
          <w:t>רע"פ 3619/21</w:t>
        </w:r>
      </w:hyperlink>
      <w:r w:rsidRPr="0098543B">
        <w:rPr>
          <w:rtl/>
        </w:rPr>
        <w:t xml:space="preserve"> (26.5.21)).</w:t>
      </w:r>
    </w:p>
    <w:p w14:paraId="660EE53A" w14:textId="77777777" w:rsidR="007859BD" w:rsidRPr="0098543B" w:rsidRDefault="007859BD" w:rsidP="007859BD">
      <w:pPr>
        <w:pStyle w:val="aa"/>
        <w:numPr>
          <w:ilvl w:val="0"/>
          <w:numId w:val="1"/>
        </w:numPr>
        <w:spacing w:before="240" w:after="240" w:line="360" w:lineRule="auto"/>
        <w:ind w:left="0"/>
        <w:jc w:val="both"/>
        <w:rPr>
          <w:rtl/>
        </w:rPr>
      </w:pPr>
      <w:r w:rsidRPr="0098543B">
        <w:rPr>
          <w:rFonts w:hint="cs"/>
          <w:rtl/>
        </w:rPr>
        <w:t>ב</w:t>
      </w:r>
      <w:hyperlink r:id="rId44" w:history="1">
        <w:r w:rsidR="004D49AE" w:rsidRPr="004D49AE">
          <w:rPr>
            <w:color w:val="0000FF"/>
            <w:u w:val="single"/>
            <w:rtl/>
          </w:rPr>
          <w:t>עפ"ג 34568-12-18</w:t>
        </w:r>
      </w:hyperlink>
      <w:r w:rsidRPr="0098543B">
        <w:rPr>
          <w:rFonts w:hint="cs"/>
          <w:rtl/>
        </w:rPr>
        <w:t xml:space="preserve"> </w:t>
      </w:r>
      <w:r w:rsidRPr="0098543B">
        <w:rPr>
          <w:rFonts w:hint="eastAsia"/>
          <w:b/>
          <w:bCs/>
          <w:rtl/>
        </w:rPr>
        <w:t>מדינת</w:t>
      </w:r>
      <w:r w:rsidRPr="0098543B">
        <w:rPr>
          <w:b/>
          <w:bCs/>
          <w:rtl/>
        </w:rPr>
        <w:t xml:space="preserve"> </w:t>
      </w:r>
      <w:r w:rsidRPr="0098543B">
        <w:rPr>
          <w:rFonts w:hint="eastAsia"/>
          <w:b/>
          <w:bCs/>
          <w:rtl/>
        </w:rPr>
        <w:t>ישראל</w:t>
      </w:r>
      <w:r w:rsidRPr="0098543B">
        <w:rPr>
          <w:b/>
          <w:bCs/>
          <w:rtl/>
        </w:rPr>
        <w:t xml:space="preserve"> </w:t>
      </w:r>
      <w:r w:rsidRPr="0098543B">
        <w:rPr>
          <w:rFonts w:hint="eastAsia"/>
          <w:b/>
          <w:bCs/>
          <w:rtl/>
        </w:rPr>
        <w:t>נ</w:t>
      </w:r>
      <w:r w:rsidRPr="0098543B">
        <w:rPr>
          <w:b/>
          <w:bCs/>
          <w:rtl/>
        </w:rPr>
        <w:t xml:space="preserve">' </w:t>
      </w:r>
      <w:r w:rsidRPr="0098543B">
        <w:rPr>
          <w:rFonts w:hint="eastAsia"/>
          <w:b/>
          <w:bCs/>
          <w:rtl/>
        </w:rPr>
        <w:t>ארקן</w:t>
      </w:r>
      <w:r w:rsidRPr="0098543B">
        <w:rPr>
          <w:b/>
          <w:bCs/>
          <w:rtl/>
        </w:rPr>
        <w:t xml:space="preserve"> </w:t>
      </w:r>
      <w:r w:rsidRPr="0098543B">
        <w:rPr>
          <w:rFonts w:hint="eastAsia"/>
          <w:b/>
          <w:bCs/>
          <w:rtl/>
        </w:rPr>
        <w:t>אסעדי</w:t>
      </w:r>
      <w:r w:rsidRPr="0098543B">
        <w:rPr>
          <w:rFonts w:hint="cs"/>
          <w:rtl/>
        </w:rPr>
        <w:t xml:space="preserve"> (17.1.19), אליו הפנה ב"כ הנאשם, </w:t>
      </w:r>
      <w:r w:rsidRPr="0098543B">
        <w:rPr>
          <w:rtl/>
        </w:rPr>
        <w:t>המשיב</w:t>
      </w:r>
      <w:r w:rsidR="004D49AE">
        <w:rPr>
          <w:rtl/>
        </w:rPr>
        <w:t xml:space="preserve">  </w:t>
      </w:r>
      <w:r w:rsidRPr="0098543B">
        <w:rPr>
          <w:rtl/>
        </w:rPr>
        <w:t>הורשע בעבירה של החזקת נשק שלא כדין, לפי</w:t>
      </w:r>
      <w:r w:rsidR="004D49AE">
        <w:rPr>
          <w:rtl/>
        </w:rPr>
        <w:t xml:space="preserve"> </w:t>
      </w:r>
      <w:hyperlink r:id="rId45" w:history="1">
        <w:r w:rsidR="000976DE" w:rsidRPr="000976DE">
          <w:rPr>
            <w:rStyle w:val="Hyperlink"/>
            <w:rtl/>
          </w:rPr>
          <w:t>סעיף 144(א)</w:t>
        </w:r>
      </w:hyperlink>
      <w:r w:rsidR="004D49AE">
        <w:rPr>
          <w:rtl/>
        </w:rPr>
        <w:t xml:space="preserve"> </w:t>
      </w:r>
      <w:r w:rsidRPr="0098543B">
        <w:rPr>
          <w:rtl/>
        </w:rPr>
        <w:t>ל</w:t>
      </w:r>
      <w:hyperlink r:id="rId46" w:history="1">
        <w:r w:rsidR="004D49AE" w:rsidRPr="004D49AE">
          <w:rPr>
            <w:color w:val="0000FF"/>
            <w:u w:val="single"/>
            <w:rtl/>
          </w:rPr>
          <w:t>חוק העונשין</w:t>
        </w:r>
      </w:hyperlink>
      <w:r w:rsidRPr="0098543B">
        <w:rPr>
          <w:rtl/>
        </w:rPr>
        <w:t>, וכן בעבירה של החזקת חלק של נשק או תחמושת שלא כדין, לפי</w:t>
      </w:r>
      <w:r w:rsidR="004D49AE">
        <w:rPr>
          <w:rtl/>
        </w:rPr>
        <w:t xml:space="preserve"> </w:t>
      </w:r>
      <w:hyperlink r:id="rId47" w:history="1">
        <w:r w:rsidR="000976DE" w:rsidRPr="000976DE">
          <w:rPr>
            <w:rStyle w:val="Hyperlink"/>
            <w:rtl/>
          </w:rPr>
          <w:t>סעיף 144(א)</w:t>
        </w:r>
      </w:hyperlink>
      <w:r w:rsidR="004D49AE">
        <w:rPr>
          <w:rtl/>
        </w:rPr>
        <w:t xml:space="preserve"> </w:t>
      </w:r>
      <w:r w:rsidRPr="0098543B">
        <w:rPr>
          <w:rtl/>
        </w:rPr>
        <w:t>סיפא לחוק העונשין. במהלך חיפוש בביתו של המשיב נתפס בחדר הילדים נשק-חפץ דמוי תת מקלע מסוג קארל גוסטב, שסוגל לירות כדור שבכוחו להמית אדם,</w:t>
      </w:r>
      <w:r w:rsidR="004D49AE">
        <w:rPr>
          <w:rtl/>
        </w:rPr>
        <w:t xml:space="preserve"> </w:t>
      </w:r>
      <w:r w:rsidRPr="0098543B">
        <w:rPr>
          <w:rtl/>
        </w:rPr>
        <w:t xml:space="preserve"> מונח על גבי מזרון סמוך ללול הילדים, כשהוא עטוף בחולצה שחורה ומונח בתוך שקית, ולצדו בתוך השקית מחסנית ריקה תואמת לנשק. בחדר סמוך בכספת נעולה ומקובעת לקיר נתפסו 50 כדורי 9 מ"מ תואמים לנשק, בתוך תושבת פלסטיק ייעודית, עטופים בניילון שקוף נצמד. </w:t>
      </w:r>
      <w:r w:rsidRPr="0098543B">
        <w:rPr>
          <w:rFonts w:hint="eastAsia"/>
          <w:b/>
          <w:bCs/>
          <w:rtl/>
        </w:rPr>
        <w:t>בית</w:t>
      </w:r>
      <w:r w:rsidRPr="0098543B">
        <w:rPr>
          <w:b/>
          <w:bCs/>
          <w:rtl/>
        </w:rPr>
        <w:t xml:space="preserve"> </w:t>
      </w:r>
      <w:r w:rsidRPr="0098543B">
        <w:rPr>
          <w:rFonts w:hint="eastAsia"/>
          <w:b/>
          <w:bCs/>
          <w:rtl/>
        </w:rPr>
        <w:t>משפט</w:t>
      </w:r>
      <w:r w:rsidRPr="0098543B">
        <w:rPr>
          <w:b/>
          <w:bCs/>
          <w:rtl/>
        </w:rPr>
        <w:t xml:space="preserve"> </w:t>
      </w:r>
      <w:r w:rsidRPr="0098543B">
        <w:rPr>
          <w:rFonts w:hint="eastAsia"/>
          <w:b/>
          <w:bCs/>
          <w:rtl/>
        </w:rPr>
        <w:t>השלום</w:t>
      </w:r>
      <w:r w:rsidRPr="0098543B">
        <w:rPr>
          <w:b/>
          <w:bCs/>
          <w:rtl/>
        </w:rPr>
        <w:t xml:space="preserve"> </w:t>
      </w:r>
      <w:r w:rsidRPr="0098543B">
        <w:rPr>
          <w:rFonts w:hint="eastAsia"/>
          <w:b/>
          <w:bCs/>
          <w:rtl/>
        </w:rPr>
        <w:t>קבע</w:t>
      </w:r>
      <w:r w:rsidRPr="0098543B">
        <w:rPr>
          <w:b/>
          <w:bCs/>
          <w:rtl/>
        </w:rPr>
        <w:t xml:space="preserve"> </w:t>
      </w:r>
      <w:r w:rsidRPr="0098543B">
        <w:rPr>
          <w:rFonts w:hint="eastAsia"/>
          <w:b/>
          <w:bCs/>
          <w:rtl/>
        </w:rPr>
        <w:t>כי</w:t>
      </w:r>
      <w:r w:rsidRPr="0098543B">
        <w:rPr>
          <w:b/>
          <w:bCs/>
          <w:rtl/>
        </w:rPr>
        <w:t xml:space="preserve"> </w:t>
      </w:r>
      <w:r w:rsidRPr="0098543B">
        <w:rPr>
          <w:rFonts w:hint="eastAsia"/>
          <w:b/>
          <w:bCs/>
          <w:rtl/>
        </w:rPr>
        <w:t>מתח</w:t>
      </w:r>
      <w:r w:rsidRPr="0098543B">
        <w:rPr>
          <w:b/>
          <w:bCs/>
          <w:rtl/>
        </w:rPr>
        <w:t xml:space="preserve">ם </w:t>
      </w:r>
      <w:r w:rsidRPr="0098543B">
        <w:rPr>
          <w:rFonts w:hint="eastAsia"/>
          <w:b/>
          <w:bCs/>
          <w:rtl/>
        </w:rPr>
        <w:t>ה</w:t>
      </w:r>
      <w:r w:rsidRPr="0098543B">
        <w:rPr>
          <w:b/>
          <w:bCs/>
          <w:rtl/>
        </w:rPr>
        <w:t xml:space="preserve">עונש </w:t>
      </w:r>
      <w:r w:rsidRPr="0098543B">
        <w:rPr>
          <w:rFonts w:hint="eastAsia"/>
          <w:b/>
          <w:bCs/>
          <w:rtl/>
        </w:rPr>
        <w:t>ה</w:t>
      </w:r>
      <w:r w:rsidRPr="0098543B">
        <w:rPr>
          <w:b/>
          <w:bCs/>
          <w:rtl/>
        </w:rPr>
        <w:t>הולם נע בין 10 ל- 30 חודשי מאסר בפועל לצד רכיבי ענישה נוספים</w:t>
      </w:r>
      <w:r w:rsidRPr="0098543B">
        <w:rPr>
          <w:rFonts w:hint="cs"/>
          <w:rtl/>
        </w:rPr>
        <w:t>.</w:t>
      </w:r>
      <w:r w:rsidRPr="0098543B">
        <w:t xml:space="preserve"> </w:t>
      </w:r>
      <w:r w:rsidRPr="0098543B">
        <w:rPr>
          <w:rtl/>
        </w:rPr>
        <w:t xml:space="preserve"> בשל שיקולי שיקום סטה בית המשפט ממתחם העונש ההולם והטיל</w:t>
      </w:r>
      <w:r w:rsidRPr="0098543B">
        <w:t xml:space="preserve"> </w:t>
      </w:r>
      <w:r w:rsidRPr="0098543B">
        <w:rPr>
          <w:rFonts w:hint="eastAsia"/>
          <w:rtl/>
        </w:rPr>
        <w:t>על</w:t>
      </w:r>
      <w:r w:rsidRPr="0098543B">
        <w:rPr>
          <w:rtl/>
        </w:rPr>
        <w:t xml:space="preserve"> המשיב 6 חודשי מאסר בפועל לריצוי בעבודות שירות וענישה נלווית. </w:t>
      </w:r>
      <w:r w:rsidRPr="0098543B">
        <w:rPr>
          <w:rFonts w:hint="eastAsia"/>
          <w:rtl/>
        </w:rPr>
        <w:t>המדינה</w:t>
      </w:r>
      <w:r w:rsidRPr="0098543B">
        <w:rPr>
          <w:rtl/>
        </w:rPr>
        <w:t xml:space="preserve"> ערערה לבית המשפט המחוזי על קולת העונש, </w:t>
      </w:r>
      <w:r w:rsidRPr="0098543B">
        <w:rPr>
          <w:rFonts w:hint="eastAsia"/>
          <w:rtl/>
        </w:rPr>
        <w:t>אשר</w:t>
      </w:r>
      <w:r w:rsidRPr="0098543B">
        <w:rPr>
          <w:rtl/>
        </w:rPr>
        <w:t xml:space="preserve"> </w:t>
      </w:r>
      <w:r w:rsidRPr="0098543B">
        <w:rPr>
          <w:rFonts w:hint="cs"/>
          <w:rtl/>
        </w:rPr>
        <w:t>קיבל את הערעור</w:t>
      </w:r>
      <w:r w:rsidRPr="0098543B">
        <w:rPr>
          <w:rtl/>
        </w:rPr>
        <w:t xml:space="preserve"> ו</w:t>
      </w:r>
      <w:r w:rsidRPr="0098543B">
        <w:rPr>
          <w:rFonts w:hint="eastAsia"/>
          <w:rtl/>
        </w:rPr>
        <w:t>קבע</w:t>
      </w:r>
      <w:r w:rsidRPr="0098543B">
        <w:rPr>
          <w:rtl/>
        </w:rPr>
        <w:t xml:space="preserve"> כי לא היה מקום במקרה זה לסטות ממתחם העונש ההולם משיקולי שיקום. </w:t>
      </w:r>
      <w:r w:rsidRPr="0098543B">
        <w:rPr>
          <w:rFonts w:hint="eastAsia"/>
          <w:rtl/>
        </w:rPr>
        <w:t>לאחר</w:t>
      </w:r>
      <w:r w:rsidRPr="0098543B">
        <w:rPr>
          <w:rtl/>
        </w:rPr>
        <w:t xml:space="preserve"> שבית המשפט ציין כי אינו ממצה את הדין עם המשיב במסגרת הערעור, הוחמר </w:t>
      </w:r>
      <w:r w:rsidRPr="0098543B">
        <w:rPr>
          <w:rFonts w:hint="eastAsia"/>
          <w:rtl/>
        </w:rPr>
        <w:t>עונשו</w:t>
      </w:r>
      <w:r w:rsidRPr="0098543B">
        <w:rPr>
          <w:rtl/>
        </w:rPr>
        <w:t xml:space="preserve"> של המשיב ל-9 חודשי מאסר בפועל, צו המבחן בוטל ורכיבי המאסר המותנה נותרו על כנם.  </w:t>
      </w:r>
    </w:p>
    <w:p w14:paraId="647CC127" w14:textId="77777777" w:rsidR="007859BD" w:rsidRPr="0098543B" w:rsidRDefault="007859BD" w:rsidP="007859BD">
      <w:pPr>
        <w:pStyle w:val="aa"/>
        <w:numPr>
          <w:ilvl w:val="0"/>
          <w:numId w:val="1"/>
        </w:numPr>
        <w:spacing w:before="240" w:after="240" w:line="360" w:lineRule="auto"/>
        <w:ind w:left="0"/>
        <w:jc w:val="both"/>
        <w:rPr>
          <w:rtl/>
        </w:rPr>
      </w:pPr>
      <w:r w:rsidRPr="0098543B">
        <w:rPr>
          <w:rFonts w:hint="cs"/>
          <w:rtl/>
        </w:rPr>
        <w:t>ב</w:t>
      </w:r>
      <w:hyperlink r:id="rId48" w:history="1">
        <w:r w:rsidR="004D49AE" w:rsidRPr="004D49AE">
          <w:rPr>
            <w:color w:val="0000FF"/>
            <w:u w:val="single"/>
            <w:rtl/>
          </w:rPr>
          <w:t>עפ"ג 21260-10-19</w:t>
        </w:r>
      </w:hyperlink>
      <w:r w:rsidRPr="0098543B">
        <w:rPr>
          <w:rFonts w:hint="cs"/>
          <w:rtl/>
        </w:rPr>
        <w:t xml:space="preserve"> </w:t>
      </w:r>
      <w:r w:rsidRPr="0098543B">
        <w:rPr>
          <w:rFonts w:hint="eastAsia"/>
          <w:b/>
          <w:bCs/>
          <w:rtl/>
        </w:rPr>
        <w:t>מדינת</w:t>
      </w:r>
      <w:r w:rsidRPr="0098543B">
        <w:rPr>
          <w:b/>
          <w:bCs/>
          <w:rtl/>
        </w:rPr>
        <w:t xml:space="preserve"> </w:t>
      </w:r>
      <w:r w:rsidRPr="0098543B">
        <w:rPr>
          <w:rFonts w:hint="eastAsia"/>
          <w:b/>
          <w:bCs/>
          <w:rtl/>
        </w:rPr>
        <w:t>ישראל</w:t>
      </w:r>
      <w:r w:rsidRPr="0098543B">
        <w:rPr>
          <w:b/>
          <w:bCs/>
          <w:rtl/>
        </w:rPr>
        <w:t xml:space="preserve"> </w:t>
      </w:r>
      <w:r w:rsidRPr="0098543B">
        <w:rPr>
          <w:rFonts w:hint="eastAsia"/>
          <w:b/>
          <w:bCs/>
          <w:rtl/>
        </w:rPr>
        <w:t>נ</w:t>
      </w:r>
      <w:r w:rsidRPr="0098543B">
        <w:rPr>
          <w:b/>
          <w:bCs/>
          <w:rtl/>
        </w:rPr>
        <w:t xml:space="preserve">' </w:t>
      </w:r>
      <w:r w:rsidRPr="0098543B">
        <w:rPr>
          <w:rFonts w:hint="eastAsia"/>
          <w:b/>
          <w:bCs/>
          <w:rtl/>
        </w:rPr>
        <w:t>מזריב</w:t>
      </w:r>
      <w:r w:rsidRPr="0098543B">
        <w:rPr>
          <w:rFonts w:hint="cs"/>
          <w:rtl/>
        </w:rPr>
        <w:t xml:space="preserve"> (24.11.19), אליו הפנה ב"כ הנאשם, </w:t>
      </w:r>
      <w:r w:rsidR="004D49AE">
        <w:t xml:space="preserve"> </w:t>
      </w:r>
      <w:r w:rsidRPr="0098543B">
        <w:rPr>
          <w:rtl/>
        </w:rPr>
        <w:t>המשיב הורשע על פי הודאתו בעבירה של החזקת נשק שלא כדין. במסגרת חיפוש כדין שבוצע בביתו של המשיב נמצא כי הוא החזיק בארון בגדים בחדר השינה, בנשק תת מקלע מאולתר ולצדו מחסנית ייעודית מלאה ב – 21 כדורים. הנשק והמחסנית היו מוסלקים בתוך קופסת נעליים בארון נעול</w:t>
      </w:r>
      <w:r w:rsidRPr="0098543B">
        <w:t>.</w:t>
      </w:r>
      <w:r w:rsidRPr="0098543B">
        <w:rPr>
          <w:rtl/>
        </w:rPr>
        <w:t xml:space="preserve"> בית משפט השלום קבע כי </w:t>
      </w:r>
      <w:r w:rsidRPr="0098543B">
        <w:rPr>
          <w:rFonts w:hint="eastAsia"/>
          <w:b/>
          <w:bCs/>
          <w:rtl/>
        </w:rPr>
        <w:t>מתחם</w:t>
      </w:r>
      <w:r w:rsidRPr="0098543B">
        <w:rPr>
          <w:b/>
          <w:bCs/>
          <w:rtl/>
        </w:rPr>
        <w:t xml:space="preserve"> </w:t>
      </w:r>
      <w:r w:rsidRPr="0098543B">
        <w:rPr>
          <w:rFonts w:hint="eastAsia"/>
          <w:b/>
          <w:bCs/>
          <w:rtl/>
        </w:rPr>
        <w:t>העונש</w:t>
      </w:r>
      <w:r w:rsidRPr="0098543B">
        <w:rPr>
          <w:b/>
          <w:bCs/>
          <w:rtl/>
        </w:rPr>
        <w:t xml:space="preserve"> </w:t>
      </w:r>
      <w:r w:rsidRPr="0098543B">
        <w:rPr>
          <w:rFonts w:hint="eastAsia"/>
          <w:b/>
          <w:bCs/>
          <w:rtl/>
        </w:rPr>
        <w:t>ההולם</w:t>
      </w:r>
      <w:r w:rsidRPr="0098543B">
        <w:rPr>
          <w:b/>
          <w:bCs/>
          <w:rtl/>
        </w:rPr>
        <w:t xml:space="preserve"> </w:t>
      </w:r>
      <w:r w:rsidRPr="0098543B">
        <w:rPr>
          <w:rFonts w:hint="eastAsia"/>
          <w:b/>
          <w:bCs/>
          <w:rtl/>
        </w:rPr>
        <w:t>נע</w:t>
      </w:r>
      <w:r w:rsidRPr="0098543B">
        <w:rPr>
          <w:b/>
          <w:bCs/>
          <w:rtl/>
        </w:rPr>
        <w:t xml:space="preserve"> </w:t>
      </w:r>
      <w:r w:rsidRPr="0098543B">
        <w:rPr>
          <w:rFonts w:hint="eastAsia"/>
          <w:b/>
          <w:bCs/>
          <w:rtl/>
        </w:rPr>
        <w:t>בין</w:t>
      </w:r>
      <w:r w:rsidRPr="0098543B">
        <w:rPr>
          <w:b/>
          <w:bCs/>
          <w:rtl/>
        </w:rPr>
        <w:t xml:space="preserve"> 12 </w:t>
      </w:r>
      <w:r w:rsidRPr="0098543B">
        <w:rPr>
          <w:rFonts w:hint="eastAsia"/>
          <w:b/>
          <w:bCs/>
          <w:rtl/>
        </w:rPr>
        <w:t>חודשי</w:t>
      </w:r>
      <w:r w:rsidRPr="0098543B">
        <w:rPr>
          <w:b/>
          <w:bCs/>
          <w:rtl/>
        </w:rPr>
        <w:t xml:space="preserve"> </w:t>
      </w:r>
      <w:r w:rsidRPr="0098543B">
        <w:rPr>
          <w:rFonts w:hint="eastAsia"/>
          <w:b/>
          <w:bCs/>
          <w:rtl/>
        </w:rPr>
        <w:t>מאסר</w:t>
      </w:r>
      <w:r w:rsidRPr="0098543B">
        <w:rPr>
          <w:b/>
          <w:bCs/>
          <w:rtl/>
        </w:rPr>
        <w:t xml:space="preserve"> </w:t>
      </w:r>
      <w:r w:rsidRPr="0098543B">
        <w:rPr>
          <w:rFonts w:hint="eastAsia"/>
          <w:b/>
          <w:bCs/>
          <w:rtl/>
        </w:rPr>
        <w:t>בפועל</w:t>
      </w:r>
      <w:r w:rsidRPr="0098543B">
        <w:rPr>
          <w:b/>
          <w:bCs/>
          <w:rtl/>
        </w:rPr>
        <w:t xml:space="preserve"> </w:t>
      </w:r>
      <w:r w:rsidRPr="0098543B">
        <w:rPr>
          <w:rFonts w:hint="eastAsia"/>
          <w:b/>
          <w:bCs/>
          <w:rtl/>
        </w:rPr>
        <w:t>עד</w:t>
      </w:r>
      <w:r w:rsidRPr="0098543B">
        <w:rPr>
          <w:b/>
          <w:bCs/>
          <w:rtl/>
        </w:rPr>
        <w:t xml:space="preserve"> 24 </w:t>
      </w:r>
      <w:r w:rsidRPr="0098543B">
        <w:rPr>
          <w:rFonts w:hint="eastAsia"/>
          <w:b/>
          <w:bCs/>
          <w:rtl/>
        </w:rPr>
        <w:t>חודשים</w:t>
      </w:r>
      <w:r w:rsidRPr="0098543B">
        <w:rPr>
          <w:b/>
          <w:bCs/>
          <w:rtl/>
        </w:rPr>
        <w:t xml:space="preserve">, </w:t>
      </w:r>
      <w:r w:rsidRPr="0098543B">
        <w:rPr>
          <w:rFonts w:hint="eastAsia"/>
          <w:b/>
          <w:bCs/>
          <w:rtl/>
        </w:rPr>
        <w:t>בצירוף</w:t>
      </w:r>
      <w:r w:rsidRPr="0098543B">
        <w:rPr>
          <w:b/>
          <w:bCs/>
          <w:rtl/>
        </w:rPr>
        <w:t xml:space="preserve"> </w:t>
      </w:r>
      <w:r w:rsidRPr="0098543B">
        <w:rPr>
          <w:rFonts w:hint="eastAsia"/>
          <w:b/>
          <w:bCs/>
          <w:rtl/>
        </w:rPr>
        <w:t>ענישה</w:t>
      </w:r>
      <w:r w:rsidRPr="0098543B">
        <w:rPr>
          <w:b/>
          <w:bCs/>
          <w:rtl/>
        </w:rPr>
        <w:t xml:space="preserve"> </w:t>
      </w:r>
      <w:r w:rsidRPr="0098543B">
        <w:rPr>
          <w:rFonts w:hint="eastAsia"/>
          <w:b/>
          <w:bCs/>
          <w:rtl/>
        </w:rPr>
        <w:t>נלווית</w:t>
      </w:r>
      <w:r w:rsidRPr="0098543B">
        <w:rPr>
          <w:rtl/>
        </w:rPr>
        <w:t xml:space="preserve">. </w:t>
      </w:r>
      <w:r w:rsidRPr="0098543B">
        <w:rPr>
          <w:rFonts w:hint="eastAsia"/>
          <w:rtl/>
        </w:rPr>
        <w:t>בית</w:t>
      </w:r>
      <w:r w:rsidRPr="0098543B">
        <w:rPr>
          <w:rtl/>
        </w:rPr>
        <w:t xml:space="preserve"> </w:t>
      </w:r>
      <w:r w:rsidRPr="0098543B">
        <w:rPr>
          <w:rFonts w:hint="eastAsia"/>
          <w:rtl/>
        </w:rPr>
        <w:t>משפט</w:t>
      </w:r>
      <w:r w:rsidRPr="0098543B">
        <w:rPr>
          <w:rFonts w:hint="cs"/>
          <w:rtl/>
        </w:rPr>
        <w:t xml:space="preserve"> השלום החליט</w:t>
      </w:r>
      <w:r w:rsidRPr="0098543B">
        <w:rPr>
          <w:rtl/>
        </w:rPr>
        <w:t xml:space="preserve"> לסטות ממתחם העונש ההולם משיקולי שיקום ודן את המשיב</w:t>
      </w:r>
      <w:r w:rsidR="004D49AE">
        <w:rPr>
          <w:rtl/>
        </w:rPr>
        <w:t xml:space="preserve"> </w:t>
      </w:r>
      <w:r w:rsidRPr="0098543B">
        <w:rPr>
          <w:rtl/>
        </w:rPr>
        <w:t xml:space="preserve">ל- 9 חודשי מאסר בפועל, לריצוי בדרך של עבודות שירות וענישה נלווית. </w:t>
      </w:r>
      <w:r w:rsidRPr="0098543B">
        <w:rPr>
          <w:rFonts w:hint="eastAsia"/>
          <w:rtl/>
        </w:rPr>
        <w:t>המדינה</w:t>
      </w:r>
      <w:r w:rsidRPr="0098543B">
        <w:rPr>
          <w:rtl/>
        </w:rPr>
        <w:t xml:space="preserve"> ערערה על קולת העונש </w:t>
      </w:r>
      <w:r w:rsidRPr="0098543B">
        <w:rPr>
          <w:rFonts w:hint="cs"/>
          <w:rtl/>
        </w:rPr>
        <w:t>לבית המשפט המחוזי אשר קיבל את הערעור ו</w:t>
      </w:r>
      <w:r w:rsidRPr="0098543B">
        <w:rPr>
          <w:rFonts w:hint="eastAsia"/>
          <w:rtl/>
        </w:rPr>
        <w:t>קבע</w:t>
      </w:r>
      <w:r w:rsidRPr="0098543B">
        <w:rPr>
          <w:rtl/>
        </w:rPr>
        <w:t xml:space="preserve"> כי לא היה מקום לחרוג לקולא ממתחם העונש ההולם. </w:t>
      </w:r>
      <w:r w:rsidRPr="0098543B">
        <w:rPr>
          <w:rFonts w:hint="eastAsia"/>
          <w:rtl/>
        </w:rPr>
        <w:t>מאחר</w:t>
      </w:r>
      <w:r w:rsidRPr="0098543B">
        <w:rPr>
          <w:rtl/>
        </w:rPr>
        <w:t xml:space="preserve"> וערכאת הערעור איננה ממצה את הדין עם הנאשם, </w:t>
      </w:r>
      <w:r w:rsidRPr="0098543B">
        <w:rPr>
          <w:rFonts w:hint="eastAsia"/>
          <w:rtl/>
        </w:rPr>
        <w:t>נקבע</w:t>
      </w:r>
      <w:r w:rsidRPr="0098543B">
        <w:rPr>
          <w:rtl/>
        </w:rPr>
        <w:t xml:space="preserve"> כי על המשיב יוטלו 12 חודשי מאסר בפועל בניכוי ימי מעצרו, </w:t>
      </w:r>
      <w:r w:rsidRPr="0098543B">
        <w:rPr>
          <w:rFonts w:hint="eastAsia"/>
          <w:rtl/>
        </w:rPr>
        <w:t>כאשר</w:t>
      </w:r>
      <w:r w:rsidRPr="0098543B">
        <w:rPr>
          <w:rtl/>
        </w:rPr>
        <w:t xml:space="preserve"> צו המבחן שהוטל עליו בוטל ויתר רכיבי גזר הדין </w:t>
      </w:r>
      <w:r w:rsidRPr="0098543B">
        <w:rPr>
          <w:rFonts w:hint="eastAsia"/>
          <w:rtl/>
        </w:rPr>
        <w:t>נותרו</w:t>
      </w:r>
      <w:r w:rsidRPr="0098543B">
        <w:rPr>
          <w:rtl/>
        </w:rPr>
        <w:t xml:space="preserve"> על כנם</w:t>
      </w:r>
      <w:r w:rsidRPr="0098543B">
        <w:t>.</w:t>
      </w:r>
    </w:p>
    <w:p w14:paraId="210AE244" w14:textId="77777777" w:rsidR="007859BD" w:rsidRPr="0098543B" w:rsidRDefault="007859BD" w:rsidP="007859BD">
      <w:pPr>
        <w:pStyle w:val="aa"/>
        <w:numPr>
          <w:ilvl w:val="0"/>
          <w:numId w:val="1"/>
        </w:numPr>
        <w:spacing w:before="240" w:after="240" w:line="360" w:lineRule="auto"/>
        <w:ind w:left="0"/>
        <w:jc w:val="both"/>
        <w:rPr>
          <w:rtl/>
        </w:rPr>
      </w:pPr>
      <w:r w:rsidRPr="0098543B">
        <w:rPr>
          <w:rFonts w:hint="cs"/>
          <w:rtl/>
        </w:rPr>
        <w:t>ב</w:t>
      </w:r>
      <w:hyperlink r:id="rId49" w:history="1">
        <w:r w:rsidR="004D49AE" w:rsidRPr="004D49AE">
          <w:rPr>
            <w:color w:val="0000FF"/>
            <w:u w:val="single"/>
            <w:rtl/>
          </w:rPr>
          <w:t>ת"פ 50809-07-17</w:t>
        </w:r>
      </w:hyperlink>
      <w:r w:rsidRPr="0098543B">
        <w:rPr>
          <w:rFonts w:hint="cs"/>
          <w:rtl/>
        </w:rPr>
        <w:t xml:space="preserve"> </w:t>
      </w:r>
      <w:r w:rsidRPr="0098543B">
        <w:rPr>
          <w:rFonts w:hint="eastAsia"/>
          <w:b/>
          <w:bCs/>
          <w:rtl/>
        </w:rPr>
        <w:t>מדינת</w:t>
      </w:r>
      <w:r w:rsidRPr="0098543B">
        <w:rPr>
          <w:b/>
          <w:bCs/>
          <w:rtl/>
        </w:rPr>
        <w:t xml:space="preserve"> ישראל נ' סלום </w:t>
      </w:r>
      <w:r w:rsidRPr="0098543B">
        <w:rPr>
          <w:rFonts w:hint="eastAsia"/>
          <w:b/>
          <w:bCs/>
          <w:rtl/>
        </w:rPr>
        <w:t>אבו</w:t>
      </w:r>
      <w:r w:rsidRPr="0098543B">
        <w:rPr>
          <w:b/>
          <w:bCs/>
          <w:rtl/>
        </w:rPr>
        <w:t xml:space="preserve"> </w:t>
      </w:r>
      <w:r w:rsidRPr="0098543B">
        <w:rPr>
          <w:rFonts w:hint="eastAsia"/>
          <w:b/>
          <w:bCs/>
          <w:rtl/>
        </w:rPr>
        <w:t>שיבאן</w:t>
      </w:r>
      <w:r w:rsidRPr="0098543B">
        <w:rPr>
          <w:rFonts w:hint="cs"/>
          <w:rtl/>
        </w:rPr>
        <w:t xml:space="preserve"> (31.3.19), אליו הפנה ב"כ הנאשם, </w:t>
      </w:r>
      <w:r w:rsidRPr="0098543B">
        <w:rPr>
          <w:rtl/>
        </w:rPr>
        <w:t xml:space="preserve">הנאשמים </w:t>
      </w:r>
      <w:r w:rsidRPr="0098543B">
        <w:rPr>
          <w:rFonts w:hint="eastAsia"/>
          <w:rtl/>
        </w:rPr>
        <w:t>הורשעו</w:t>
      </w:r>
      <w:r w:rsidRPr="0098543B">
        <w:rPr>
          <w:rtl/>
        </w:rPr>
        <w:t xml:space="preserve"> בעביר</w:t>
      </w:r>
      <w:r w:rsidRPr="0098543B">
        <w:rPr>
          <w:rFonts w:hint="cs"/>
          <w:rtl/>
        </w:rPr>
        <w:t>ת</w:t>
      </w:r>
      <w:r w:rsidRPr="0098543B">
        <w:rPr>
          <w:rtl/>
        </w:rPr>
        <w:t xml:space="preserve"> החזקת נשק לפי</w:t>
      </w:r>
      <w:r w:rsidR="004D49AE">
        <w:rPr>
          <w:rtl/>
        </w:rPr>
        <w:t xml:space="preserve"> </w:t>
      </w:r>
      <w:hyperlink r:id="rId50" w:history="1">
        <w:r w:rsidR="000976DE" w:rsidRPr="000976DE">
          <w:rPr>
            <w:rStyle w:val="Hyperlink"/>
            <w:rtl/>
          </w:rPr>
          <w:t>סעיף 144(א)</w:t>
        </w:r>
      </w:hyperlink>
      <w:r w:rsidR="004D49AE">
        <w:t xml:space="preserve"> </w:t>
      </w:r>
      <w:r w:rsidRPr="0098543B">
        <w:rPr>
          <w:rtl/>
        </w:rPr>
        <w:t>רישא וסיפא בצירוף</w:t>
      </w:r>
      <w:r w:rsidR="004D49AE">
        <w:rPr>
          <w:rtl/>
        </w:rPr>
        <w:t xml:space="preserve"> </w:t>
      </w:r>
      <w:hyperlink r:id="rId51" w:history="1">
        <w:r w:rsidR="000976DE" w:rsidRPr="000976DE">
          <w:rPr>
            <w:rStyle w:val="Hyperlink"/>
            <w:rtl/>
          </w:rPr>
          <w:t>סעיף 29</w:t>
        </w:r>
      </w:hyperlink>
      <w:r w:rsidR="004D49AE">
        <w:t xml:space="preserve"> </w:t>
      </w:r>
      <w:r w:rsidRPr="0098543B">
        <w:rPr>
          <w:rtl/>
        </w:rPr>
        <w:t>ל</w:t>
      </w:r>
      <w:hyperlink r:id="rId52" w:history="1">
        <w:r w:rsidR="004D49AE" w:rsidRPr="004D49AE">
          <w:rPr>
            <w:color w:val="0000FF"/>
            <w:u w:val="single"/>
            <w:rtl/>
          </w:rPr>
          <w:t>חוק העונשין</w:t>
        </w:r>
      </w:hyperlink>
      <w:r w:rsidRPr="0098543B">
        <w:t xml:space="preserve"> ,</w:t>
      </w:r>
      <w:r w:rsidRPr="0098543B">
        <w:rPr>
          <w:rtl/>
        </w:rPr>
        <w:t>ובעבירה של נשיאת נשק לפי</w:t>
      </w:r>
      <w:r w:rsidR="004D49AE">
        <w:rPr>
          <w:rtl/>
        </w:rPr>
        <w:t xml:space="preserve"> </w:t>
      </w:r>
      <w:r w:rsidRPr="004D49AE">
        <w:rPr>
          <w:color w:val="000000"/>
          <w:rtl/>
        </w:rPr>
        <w:t xml:space="preserve">סעיף </w:t>
      </w:r>
      <w:hyperlink r:id="rId53" w:history="1">
        <w:r w:rsidR="000976DE" w:rsidRPr="000976DE">
          <w:rPr>
            <w:rStyle w:val="Hyperlink"/>
            <w:rtl/>
          </w:rPr>
          <w:t>144 (ב)</w:t>
        </w:r>
      </w:hyperlink>
      <w:r w:rsidR="004D49AE">
        <w:t xml:space="preserve"> </w:t>
      </w:r>
      <w:r w:rsidRPr="0098543B">
        <w:rPr>
          <w:rtl/>
        </w:rPr>
        <w:t>רישא וסיפא בצירוף</w:t>
      </w:r>
      <w:r w:rsidR="004D49AE">
        <w:rPr>
          <w:rtl/>
        </w:rPr>
        <w:t xml:space="preserve"> </w:t>
      </w:r>
      <w:hyperlink r:id="rId54" w:history="1">
        <w:r w:rsidR="000976DE" w:rsidRPr="000976DE">
          <w:rPr>
            <w:rStyle w:val="Hyperlink"/>
            <w:rtl/>
          </w:rPr>
          <w:t>סעיף 29</w:t>
        </w:r>
      </w:hyperlink>
      <w:r w:rsidR="004D49AE">
        <w:t xml:space="preserve"> </w:t>
      </w:r>
      <w:r w:rsidRPr="0098543B">
        <w:rPr>
          <w:rtl/>
        </w:rPr>
        <w:t>לחוק העונשין.</w:t>
      </w:r>
      <w:r w:rsidR="004D49AE">
        <w:rPr>
          <w:rtl/>
        </w:rPr>
        <w:t xml:space="preserve"> </w:t>
      </w:r>
      <w:r w:rsidRPr="0098543B">
        <w:rPr>
          <w:rtl/>
        </w:rPr>
        <w:t xml:space="preserve"> </w:t>
      </w:r>
      <w:r w:rsidRPr="0098543B">
        <w:rPr>
          <w:rFonts w:hint="eastAsia"/>
          <w:rtl/>
        </w:rPr>
        <w:t>נאשם</w:t>
      </w:r>
      <w:r w:rsidRPr="0098543B">
        <w:rPr>
          <w:rtl/>
        </w:rPr>
        <w:t xml:space="preserve"> 1 הורשע </w:t>
      </w:r>
      <w:r w:rsidRPr="0098543B">
        <w:rPr>
          <w:rFonts w:hint="eastAsia"/>
          <w:rtl/>
        </w:rPr>
        <w:t>גם</w:t>
      </w:r>
      <w:r w:rsidRPr="0098543B">
        <w:rPr>
          <w:rtl/>
        </w:rPr>
        <w:t xml:space="preserve"> בביצוע עביר</w:t>
      </w:r>
      <w:r w:rsidRPr="0098543B">
        <w:rPr>
          <w:rFonts w:hint="cs"/>
          <w:rtl/>
        </w:rPr>
        <w:t>ות</w:t>
      </w:r>
      <w:r w:rsidRPr="0098543B">
        <w:rPr>
          <w:rtl/>
        </w:rPr>
        <w:t xml:space="preserve"> תקיפה סת</w:t>
      </w:r>
      <w:r w:rsidRPr="0098543B">
        <w:rPr>
          <w:rFonts w:hint="cs"/>
          <w:rtl/>
        </w:rPr>
        <w:t>ם</w:t>
      </w:r>
      <w:r w:rsidRPr="0098543B">
        <w:rPr>
          <w:rtl/>
        </w:rPr>
        <w:t xml:space="preserve"> </w:t>
      </w:r>
      <w:r w:rsidRPr="0098543B">
        <w:rPr>
          <w:rFonts w:hint="cs"/>
          <w:rtl/>
        </w:rPr>
        <w:t>ו</w:t>
      </w:r>
      <w:r w:rsidRPr="0098543B">
        <w:rPr>
          <w:rtl/>
        </w:rPr>
        <w:t xml:space="preserve">איומים. </w:t>
      </w:r>
      <w:r w:rsidRPr="0098543B">
        <w:rPr>
          <w:rFonts w:hint="eastAsia"/>
          <w:rtl/>
        </w:rPr>
        <w:t>הנאשמים</w:t>
      </w:r>
      <w:r w:rsidRPr="0098543B">
        <w:rPr>
          <w:rtl/>
        </w:rPr>
        <w:t xml:space="preserve"> </w:t>
      </w:r>
      <w:r w:rsidRPr="0098543B">
        <w:rPr>
          <w:rFonts w:hint="eastAsia"/>
          <w:rtl/>
        </w:rPr>
        <w:t>החזיקו</w:t>
      </w:r>
      <w:r w:rsidRPr="0098543B">
        <w:rPr>
          <w:rtl/>
        </w:rPr>
        <w:t xml:space="preserve"> </w:t>
      </w:r>
      <w:r w:rsidRPr="0098543B">
        <w:rPr>
          <w:rFonts w:hint="eastAsia"/>
          <w:rtl/>
        </w:rPr>
        <w:t>בביתם</w:t>
      </w:r>
      <w:r w:rsidRPr="0098543B">
        <w:rPr>
          <w:rtl/>
        </w:rPr>
        <w:t xml:space="preserve"> אקדח מסוג</w:t>
      </w:r>
      <w:r w:rsidR="004D49AE">
        <w:rPr>
          <w:rtl/>
        </w:rPr>
        <w:t xml:space="preserve"> </w:t>
      </w:r>
      <w:r w:rsidRPr="0098543B">
        <w:t>FN</w:t>
      </w:r>
      <w:r w:rsidR="004D49AE">
        <w:rPr>
          <w:rtl/>
        </w:rPr>
        <w:t xml:space="preserve"> </w:t>
      </w:r>
      <w:r w:rsidRPr="0098543B">
        <w:rPr>
          <w:rtl/>
        </w:rPr>
        <w:t xml:space="preserve">ומחסנית התואמת לאקדח וכדורים. נאשם 1 </w:t>
      </w:r>
      <w:r w:rsidRPr="0098543B">
        <w:rPr>
          <w:rFonts w:hint="eastAsia"/>
          <w:rtl/>
        </w:rPr>
        <w:t>התקשר</w:t>
      </w:r>
      <w:r w:rsidRPr="0098543B">
        <w:rPr>
          <w:rtl/>
        </w:rPr>
        <w:t xml:space="preserve"> לנאשם 2 ובקש ממנו להוציא את האקדח ממקום מחבואו בבית ולהעבירו למקום מחבוא אחר</w:t>
      </w:r>
      <w:r w:rsidRPr="0098543B">
        <w:rPr>
          <w:rFonts w:hint="cs"/>
          <w:rtl/>
        </w:rPr>
        <w:t xml:space="preserve"> </w:t>
      </w:r>
      <w:r w:rsidRPr="0098543B">
        <w:rPr>
          <w:rtl/>
        </w:rPr>
        <w:t>–</w:t>
      </w:r>
      <w:r w:rsidRPr="0098543B">
        <w:rPr>
          <w:rFonts w:hint="cs"/>
          <w:rtl/>
        </w:rPr>
        <w:t xml:space="preserve"> העסק המשפחתי</w:t>
      </w:r>
      <w:r w:rsidRPr="0098543B">
        <w:rPr>
          <w:rtl/>
        </w:rPr>
        <w:t>, בשל חששו של נאשם 1 שהאקדח ייתפס והוא ייעצר על</w:t>
      </w:r>
      <w:r w:rsidRPr="0098543B">
        <w:rPr>
          <w:rFonts w:hint="cs"/>
          <w:rtl/>
        </w:rPr>
        <w:t xml:space="preserve"> </w:t>
      </w:r>
      <w:r w:rsidRPr="0098543B">
        <w:rPr>
          <w:rtl/>
        </w:rPr>
        <w:t xml:space="preserve">ידי המשטרה. נאשם 2 לקח את האקדח ובו המחסנית עם הכדורים נכנס לרכב והחל בנסיעה לכיוון העסק, כשהוא מחזיק, נושא ומוביל את האקדח עם המחסנית והכדורים, וכל זאת בצוותא חדא עם נאשם 1. נאשם 2 </w:t>
      </w:r>
      <w:r w:rsidRPr="0098543B">
        <w:rPr>
          <w:rFonts w:hint="cs"/>
          <w:rtl/>
        </w:rPr>
        <w:t xml:space="preserve">הגיע </w:t>
      </w:r>
      <w:r w:rsidRPr="0098543B">
        <w:rPr>
          <w:rtl/>
        </w:rPr>
        <w:t>סמוך לעסק, עצר את רכבו ונעצר על ידי שוטרי</w:t>
      </w:r>
      <w:r w:rsidRPr="0098543B">
        <w:rPr>
          <w:rFonts w:hint="cs"/>
          <w:rtl/>
        </w:rPr>
        <w:t xml:space="preserve">ם </w:t>
      </w:r>
      <w:r w:rsidRPr="0098543B">
        <w:rPr>
          <w:rtl/>
        </w:rPr>
        <w:t xml:space="preserve">כשהאקדח והמחסנית עם הכדורים מוסלקים בחלק הקדמי של מכנסיו. </w:t>
      </w:r>
      <w:r w:rsidRPr="0098543B">
        <w:rPr>
          <w:rFonts w:hint="eastAsia"/>
          <w:b/>
          <w:bCs/>
          <w:rtl/>
        </w:rPr>
        <w:t>נקבע</w:t>
      </w:r>
      <w:r w:rsidRPr="0098543B">
        <w:rPr>
          <w:b/>
          <w:bCs/>
          <w:rtl/>
        </w:rPr>
        <w:t xml:space="preserve"> </w:t>
      </w:r>
      <w:r w:rsidRPr="0098543B">
        <w:rPr>
          <w:rFonts w:hint="eastAsia"/>
          <w:b/>
          <w:bCs/>
          <w:rtl/>
        </w:rPr>
        <w:t>כי</w:t>
      </w:r>
      <w:r w:rsidRPr="0098543B">
        <w:rPr>
          <w:b/>
          <w:bCs/>
          <w:rtl/>
        </w:rPr>
        <w:t xml:space="preserve"> </w:t>
      </w:r>
      <w:r w:rsidRPr="0098543B">
        <w:rPr>
          <w:rFonts w:hint="eastAsia"/>
          <w:b/>
          <w:bCs/>
          <w:rtl/>
        </w:rPr>
        <w:t>מתחם</w:t>
      </w:r>
      <w:r w:rsidRPr="0098543B">
        <w:rPr>
          <w:b/>
          <w:bCs/>
          <w:rtl/>
        </w:rPr>
        <w:t xml:space="preserve"> </w:t>
      </w:r>
      <w:r w:rsidRPr="0098543B">
        <w:rPr>
          <w:rFonts w:hint="eastAsia"/>
          <w:b/>
          <w:bCs/>
          <w:rtl/>
        </w:rPr>
        <w:t>העונש</w:t>
      </w:r>
      <w:r w:rsidRPr="0098543B">
        <w:rPr>
          <w:b/>
          <w:bCs/>
          <w:rtl/>
        </w:rPr>
        <w:t xml:space="preserve"> </w:t>
      </w:r>
      <w:r w:rsidRPr="0098543B">
        <w:rPr>
          <w:rFonts w:hint="eastAsia"/>
          <w:b/>
          <w:bCs/>
          <w:rtl/>
        </w:rPr>
        <w:t>ההולם</w:t>
      </w:r>
      <w:r w:rsidRPr="0098543B">
        <w:rPr>
          <w:b/>
          <w:bCs/>
          <w:rtl/>
        </w:rPr>
        <w:t xml:space="preserve"> נע בין 12 חודשי מאסר בפועל ל-36 חודשי מאסר בפועל, לצד רכיב ענישה של מאסר מותנה</w:t>
      </w:r>
      <w:r w:rsidRPr="0098543B">
        <w:rPr>
          <w:rtl/>
        </w:rPr>
        <w:t xml:space="preserve">. על נאשם 1 נגזר עונש של 12 חודשי מאסר בפועל וענישה נלווית. </w:t>
      </w:r>
      <w:r w:rsidRPr="0098543B">
        <w:rPr>
          <w:rFonts w:hint="eastAsia"/>
          <w:rtl/>
        </w:rPr>
        <w:t>על</w:t>
      </w:r>
      <w:r w:rsidRPr="0098543B">
        <w:rPr>
          <w:rtl/>
        </w:rPr>
        <w:t xml:space="preserve"> נאשם 2 נגזר עונש של 6 חודשי מאסר לריצוי בעבודות שירות וענישה נלווית לאחר שהוחלט לסטות בעניינו ממתחם העונש ההולם משיקולי שיקום. </w:t>
      </w:r>
    </w:p>
    <w:p w14:paraId="3997102A" w14:textId="77777777" w:rsidR="007859BD" w:rsidRPr="0098543B" w:rsidRDefault="007859BD" w:rsidP="007859BD">
      <w:pPr>
        <w:spacing w:before="240" w:after="240" w:line="360" w:lineRule="auto"/>
        <w:jc w:val="both"/>
        <w:rPr>
          <w:rFonts w:ascii="David" w:hAnsi="David"/>
          <w:color w:val="000000"/>
          <w:sz w:val="27"/>
          <w:szCs w:val="27"/>
          <w:rtl/>
        </w:rPr>
      </w:pPr>
      <w:r w:rsidRPr="0098543B">
        <w:rPr>
          <w:rFonts w:ascii="David" w:hAnsi="David"/>
          <w:rtl/>
        </w:rPr>
        <w:t xml:space="preserve">לאחר ששקלתי את מכלול השיקולים המעוגנים </w:t>
      </w:r>
      <w:hyperlink r:id="rId55" w:history="1">
        <w:r w:rsidR="000976DE" w:rsidRPr="000976DE">
          <w:rPr>
            <w:rStyle w:val="Hyperlink"/>
            <w:rFonts w:ascii="David" w:hAnsi="David"/>
            <w:rtl/>
          </w:rPr>
          <w:t>בסעיף 40ג(א)</w:t>
        </w:r>
      </w:hyperlink>
      <w:r w:rsidRPr="0098543B">
        <w:rPr>
          <w:rFonts w:ascii="David" w:hAnsi="David"/>
          <w:rtl/>
        </w:rPr>
        <w:t xml:space="preserve"> ל</w:t>
      </w:r>
      <w:hyperlink r:id="rId56" w:history="1">
        <w:r w:rsidR="004D49AE" w:rsidRPr="004D49AE">
          <w:rPr>
            <w:rFonts w:ascii="David" w:hAnsi="David"/>
            <w:color w:val="0000FF"/>
            <w:u w:val="single"/>
            <w:rtl/>
          </w:rPr>
          <w:t>חוק העונשין</w:t>
        </w:r>
      </w:hyperlink>
      <w:r w:rsidRPr="0098543B">
        <w:rPr>
          <w:rFonts w:ascii="David" w:hAnsi="David"/>
          <w:rtl/>
        </w:rPr>
        <w:t xml:space="preserve">, אני קובעת כי </w:t>
      </w:r>
      <w:r w:rsidRPr="0098543B">
        <w:rPr>
          <w:rFonts w:ascii="David" w:hAnsi="David"/>
          <w:b/>
          <w:bCs/>
          <w:rtl/>
        </w:rPr>
        <w:t>מתחם העונש ההולם נע בין 20 חודשי מאסר בפועל ל- 36 חודשי מאסר בפועל</w:t>
      </w:r>
      <w:r w:rsidRPr="0098543B">
        <w:rPr>
          <w:rFonts w:ascii="David" w:hAnsi="David"/>
          <w:rtl/>
        </w:rPr>
        <w:t>, בצירוף ענישה נלווית.</w:t>
      </w:r>
    </w:p>
    <w:p w14:paraId="7353DD57" w14:textId="77777777" w:rsidR="007859BD" w:rsidRPr="0098543B" w:rsidRDefault="007859BD" w:rsidP="007859BD">
      <w:pPr>
        <w:spacing w:before="240" w:after="240" w:line="360" w:lineRule="auto"/>
        <w:jc w:val="both"/>
        <w:rPr>
          <w:rFonts w:ascii="David" w:hAnsi="David"/>
          <w:b/>
          <w:bCs/>
          <w:rtl/>
        </w:rPr>
      </w:pPr>
    </w:p>
    <w:p w14:paraId="735F5ABF" w14:textId="77777777" w:rsidR="007859BD" w:rsidRPr="0098543B" w:rsidRDefault="007859BD" w:rsidP="007859BD">
      <w:pPr>
        <w:spacing w:before="240" w:after="240" w:line="360" w:lineRule="auto"/>
        <w:jc w:val="both"/>
        <w:rPr>
          <w:rFonts w:ascii="David" w:hAnsi="David"/>
          <w:b/>
          <w:bCs/>
        </w:rPr>
      </w:pPr>
      <w:r w:rsidRPr="0098543B">
        <w:rPr>
          <w:rFonts w:ascii="David" w:hAnsi="David"/>
          <w:b/>
          <w:bCs/>
          <w:rtl/>
        </w:rPr>
        <w:t>חריגה ממתחם העונש ההולם:</w:t>
      </w:r>
    </w:p>
    <w:p w14:paraId="2C29533D" w14:textId="77777777" w:rsidR="007859BD" w:rsidRPr="0098543B" w:rsidRDefault="007859BD" w:rsidP="007859BD">
      <w:pPr>
        <w:spacing w:before="240" w:after="240" w:line="360" w:lineRule="auto"/>
        <w:jc w:val="both"/>
        <w:rPr>
          <w:rFonts w:ascii="David" w:hAnsi="David"/>
          <w:rtl/>
        </w:rPr>
      </w:pPr>
      <w:r w:rsidRPr="0098543B">
        <w:rPr>
          <w:rFonts w:ascii="David" w:hAnsi="David"/>
          <w:rtl/>
        </w:rPr>
        <w:t>בעניינו של הנאשם לא מצאתי נסיבות המצדיקות סטייה ממתחם העונש ההולם לא לחומרא ולא לקולא</w:t>
      </w:r>
      <w:r w:rsidRPr="0098543B">
        <w:rPr>
          <w:rFonts w:ascii="David" w:hAnsi="David" w:hint="cs"/>
          <w:rtl/>
        </w:rPr>
        <w:t xml:space="preserve">. </w:t>
      </w:r>
    </w:p>
    <w:p w14:paraId="486B1CC2" w14:textId="77777777" w:rsidR="007859BD" w:rsidRPr="0098543B" w:rsidRDefault="007859BD" w:rsidP="007859BD">
      <w:pPr>
        <w:spacing w:before="240" w:after="240" w:line="360" w:lineRule="auto"/>
        <w:jc w:val="both"/>
        <w:rPr>
          <w:rFonts w:ascii="David" w:hAnsi="David"/>
        </w:rPr>
      </w:pPr>
    </w:p>
    <w:p w14:paraId="503B10E6" w14:textId="77777777" w:rsidR="007859BD" w:rsidRPr="0098543B" w:rsidRDefault="007859BD" w:rsidP="007859BD">
      <w:pPr>
        <w:spacing w:before="240" w:after="240" w:line="360" w:lineRule="auto"/>
        <w:jc w:val="both"/>
        <w:rPr>
          <w:rFonts w:ascii="David" w:hAnsi="David"/>
          <w:b/>
          <w:bCs/>
          <w:rtl/>
        </w:rPr>
      </w:pPr>
      <w:r w:rsidRPr="0098543B">
        <w:rPr>
          <w:rFonts w:ascii="David" w:hAnsi="David"/>
          <w:b/>
          <w:bCs/>
          <w:rtl/>
        </w:rPr>
        <w:t>באשר לעונשו של הנאשם בתוך מתחם העונש ההולם:</w:t>
      </w:r>
    </w:p>
    <w:p w14:paraId="050419E8" w14:textId="77777777" w:rsidR="007859BD" w:rsidRPr="0098543B" w:rsidRDefault="007859BD" w:rsidP="007859BD">
      <w:pPr>
        <w:spacing w:before="240" w:after="240" w:line="360" w:lineRule="auto"/>
        <w:jc w:val="both"/>
        <w:rPr>
          <w:rFonts w:ascii="David" w:hAnsi="David"/>
        </w:rPr>
      </w:pPr>
      <w:r w:rsidRPr="0098543B">
        <w:rPr>
          <w:rFonts w:ascii="David" w:hAnsi="David"/>
          <w:rtl/>
        </w:rPr>
        <w:t xml:space="preserve">לקולא שקלתי את העובדה, כי הנאשם הודה בהזדמנות הראשונה, </w:t>
      </w:r>
      <w:r w:rsidRPr="0098543B">
        <w:rPr>
          <w:rFonts w:ascii="David" w:hAnsi="David" w:hint="cs"/>
          <w:rtl/>
        </w:rPr>
        <w:t xml:space="preserve">במסגרת דיון מוקד, </w:t>
      </w:r>
      <w:r w:rsidRPr="0098543B">
        <w:rPr>
          <w:rFonts w:ascii="David" w:hAnsi="David"/>
          <w:rtl/>
        </w:rPr>
        <w:t>נטל אחריות על מעשיו</w:t>
      </w:r>
      <w:r w:rsidRPr="0098543B">
        <w:rPr>
          <w:rFonts w:ascii="David" w:hAnsi="David" w:hint="cs"/>
          <w:rtl/>
        </w:rPr>
        <w:t xml:space="preserve"> והביע חרטה. הודאתו של הנאשם חסכה מזמנו השיפוטי של בית המשפט ומהצורך להעיד עדים.  </w:t>
      </w:r>
    </w:p>
    <w:p w14:paraId="09627E4D" w14:textId="77777777" w:rsidR="007859BD" w:rsidRPr="0098543B" w:rsidRDefault="007859BD" w:rsidP="007859BD">
      <w:pPr>
        <w:spacing w:before="240" w:after="240" w:line="360" w:lineRule="auto"/>
        <w:jc w:val="both"/>
        <w:rPr>
          <w:rFonts w:ascii="David" w:hAnsi="David"/>
          <w:rtl/>
        </w:rPr>
      </w:pPr>
      <w:r w:rsidRPr="0098543B">
        <w:rPr>
          <w:rFonts w:ascii="David" w:hAnsi="David" w:hint="cs"/>
          <w:rtl/>
        </w:rPr>
        <w:t xml:space="preserve">בנוסף נתתי דעתי לפגיעת העונש במשפחתו של הנאשם, כפי שהדברים עלו מעדות אשתו, אשר מגדלת היום בגפה שלושה ילדים, אשר לחלקם בעיות כפי שעלה במהלך הדיון. בנוסף, הנאשם תומך באמו המקבלת קצבת נכות, כאשר מעצרו של הנאשם מקשה גם עליה. </w:t>
      </w:r>
    </w:p>
    <w:p w14:paraId="2293F91C" w14:textId="77777777" w:rsidR="007859BD" w:rsidRPr="0098543B" w:rsidRDefault="007859BD" w:rsidP="007859BD">
      <w:pPr>
        <w:spacing w:before="240" w:after="240" w:line="360" w:lineRule="auto"/>
        <w:jc w:val="both"/>
        <w:rPr>
          <w:rFonts w:ascii="David" w:hAnsi="David"/>
          <w:rtl/>
        </w:rPr>
      </w:pPr>
      <w:r w:rsidRPr="0098543B">
        <w:rPr>
          <w:rFonts w:ascii="David" w:hAnsi="David" w:hint="cs"/>
          <w:rtl/>
        </w:rPr>
        <w:t xml:space="preserve">הנאשם צעיר בן 34, ולחובתו הרשעה אחת בגין אלימות במשפחה, בגינה הוטלה עליו ענישה צופה פני עתיד וזוהי הפעם הראשונה שהוא עצור מאחורי סורג ובריח. </w:t>
      </w:r>
    </w:p>
    <w:p w14:paraId="21C8764C" w14:textId="77777777" w:rsidR="007859BD" w:rsidRPr="0098543B" w:rsidRDefault="007859BD" w:rsidP="007859BD">
      <w:pPr>
        <w:spacing w:before="240" w:after="240" w:line="360" w:lineRule="auto"/>
        <w:jc w:val="both"/>
        <w:rPr>
          <w:rFonts w:ascii="David" w:hAnsi="David"/>
          <w:b/>
          <w:bCs/>
          <w:u w:val="single"/>
          <w:rtl/>
        </w:rPr>
      </w:pPr>
      <w:r w:rsidRPr="0098543B">
        <w:rPr>
          <w:rFonts w:ascii="David" w:hAnsi="David"/>
          <w:b/>
          <w:bCs/>
          <w:u w:val="single"/>
          <w:rtl/>
        </w:rPr>
        <w:t>לאחר ששקלתי את כלל השיקולים המפורטים לעיל, אני גוזרת על הנאשם את העונשים הבאים:</w:t>
      </w:r>
    </w:p>
    <w:p w14:paraId="226F1442" w14:textId="77777777" w:rsidR="007859BD" w:rsidRPr="0098543B" w:rsidRDefault="007859BD" w:rsidP="007859BD">
      <w:pPr>
        <w:pStyle w:val="aa"/>
        <w:numPr>
          <w:ilvl w:val="0"/>
          <w:numId w:val="2"/>
        </w:numPr>
        <w:spacing w:before="240" w:after="240" w:line="360" w:lineRule="auto"/>
        <w:jc w:val="both"/>
        <w:rPr>
          <w:b/>
          <w:bCs/>
        </w:rPr>
      </w:pPr>
      <w:r w:rsidRPr="0098543B">
        <w:rPr>
          <w:b/>
          <w:bCs/>
          <w:rtl/>
        </w:rPr>
        <w:t>20 חודשי מאסר בפועל, מיום מעצרו בתאריך 20.5.24.</w:t>
      </w:r>
    </w:p>
    <w:p w14:paraId="1A68E8DE" w14:textId="77777777" w:rsidR="007859BD" w:rsidRPr="0098543B" w:rsidRDefault="007859BD" w:rsidP="007859BD">
      <w:pPr>
        <w:pStyle w:val="aa"/>
        <w:numPr>
          <w:ilvl w:val="0"/>
          <w:numId w:val="2"/>
        </w:numPr>
        <w:spacing w:before="240" w:after="240" w:line="360" w:lineRule="auto"/>
        <w:jc w:val="both"/>
        <w:rPr>
          <w:rtl/>
        </w:rPr>
      </w:pPr>
      <w:r w:rsidRPr="0098543B">
        <w:rPr>
          <w:rtl/>
        </w:rPr>
        <w:t>6 חודשי מאסר על תנאי למשך 3 שנים מיום שחרורו, והתנאי הוא שהנאשם לא יעבור בתקופת התנאי עבירה בה הורשע, ויורשע בגינה.</w:t>
      </w:r>
    </w:p>
    <w:p w14:paraId="45BA4BAA" w14:textId="77777777" w:rsidR="007859BD" w:rsidRPr="0098543B" w:rsidRDefault="007859BD" w:rsidP="007859BD">
      <w:pPr>
        <w:pStyle w:val="aa"/>
        <w:numPr>
          <w:ilvl w:val="0"/>
          <w:numId w:val="2"/>
        </w:numPr>
        <w:spacing w:before="240" w:after="240" w:line="360" w:lineRule="auto"/>
        <w:jc w:val="both"/>
      </w:pPr>
      <w:r w:rsidRPr="0098543B">
        <w:rPr>
          <w:rtl/>
        </w:rPr>
        <w:t xml:space="preserve">קנס בסך </w:t>
      </w:r>
      <w:r w:rsidRPr="0098543B">
        <w:rPr>
          <w:rFonts w:hint="cs"/>
          <w:rtl/>
        </w:rPr>
        <w:t>3</w:t>
      </w:r>
      <w:r w:rsidRPr="0098543B">
        <w:rPr>
          <w:rtl/>
        </w:rPr>
        <w:t xml:space="preserve">,000 ₪ או 20 ימי מאסר תחתיו.  </w:t>
      </w:r>
      <w:r w:rsidRPr="0098543B">
        <w:rPr>
          <w:rFonts w:hint="cs"/>
          <w:rtl/>
        </w:rPr>
        <w:t>הקנס ישולם תוך 90 יום מהיום.</w:t>
      </w:r>
    </w:p>
    <w:p w14:paraId="16F58962" w14:textId="77777777" w:rsidR="007859BD" w:rsidRPr="0098543B" w:rsidRDefault="007859BD" w:rsidP="007859BD">
      <w:pPr>
        <w:spacing w:line="360" w:lineRule="auto"/>
        <w:jc w:val="both"/>
        <w:rPr>
          <w:rFonts w:ascii="David" w:hAnsi="David"/>
          <w:b/>
          <w:bCs/>
        </w:rPr>
      </w:pPr>
      <w:r w:rsidRPr="0098543B">
        <w:rPr>
          <w:rFonts w:ascii="David" w:hAnsi="David"/>
          <w:b/>
          <w:bCs/>
          <w:rtl/>
        </w:rPr>
        <w:t>הקנס ישולם לחשבון המרכז לגביית קנסות, אגרות והוצאות ברשות האכיפה והגבייה</w:t>
      </w:r>
      <w:r w:rsidRPr="0098543B">
        <w:rPr>
          <w:rFonts w:ascii="David" w:hAnsi="David" w:hint="cs"/>
          <w:b/>
          <w:bCs/>
          <w:rtl/>
        </w:rPr>
        <w:t xml:space="preserve"> </w:t>
      </w:r>
    </w:p>
    <w:p w14:paraId="64A43929" w14:textId="77777777" w:rsidR="007859BD" w:rsidRPr="0098543B" w:rsidRDefault="007859BD" w:rsidP="007859BD">
      <w:pPr>
        <w:spacing w:line="360" w:lineRule="auto"/>
        <w:jc w:val="both"/>
        <w:rPr>
          <w:rFonts w:ascii="David" w:hAnsi="David"/>
          <w:b/>
          <w:bCs/>
          <w:rtl/>
        </w:rPr>
      </w:pPr>
      <w:r w:rsidRPr="0098543B">
        <w:rPr>
          <w:rFonts w:ascii="David" w:hAnsi="David"/>
          <w:b/>
          <w:bCs/>
          <w:rtl/>
        </w:rPr>
        <w:t>ניתן לשלם את הקנס באחת הדרכים הבאות:</w:t>
      </w:r>
    </w:p>
    <w:p w14:paraId="0B31BB74" w14:textId="77777777" w:rsidR="007859BD" w:rsidRPr="0098543B" w:rsidRDefault="007859BD" w:rsidP="007859BD">
      <w:pPr>
        <w:spacing w:line="360" w:lineRule="auto"/>
        <w:jc w:val="both"/>
        <w:rPr>
          <w:rFonts w:ascii="David" w:hAnsi="David"/>
          <w:b/>
          <w:bCs/>
        </w:rPr>
      </w:pPr>
      <w:r w:rsidRPr="0098543B">
        <w:rPr>
          <w:rFonts w:ascii="David" w:hAnsi="David"/>
          <w:b/>
          <w:bCs/>
          <w:rtl/>
        </w:rPr>
        <w:t xml:space="preserve">בכרטיס אשראי – באתר המקוון של רשות האכיפה והגבייה, </w:t>
      </w:r>
      <w:r w:rsidRPr="0098543B">
        <w:rPr>
          <w:rFonts w:ascii="David" w:hAnsi="David"/>
          <w:b/>
          <w:bCs/>
        </w:rPr>
        <w:t>www.eca.gov.il</w:t>
      </w:r>
      <w:r w:rsidRPr="0098543B">
        <w:rPr>
          <w:rFonts w:ascii="David" w:hAnsi="David"/>
          <w:b/>
          <w:bCs/>
          <w:rtl/>
        </w:rPr>
        <w:t xml:space="preserve">  </w:t>
      </w:r>
    </w:p>
    <w:p w14:paraId="0DF117A7" w14:textId="77777777" w:rsidR="007859BD" w:rsidRPr="0098543B" w:rsidRDefault="007859BD" w:rsidP="007859BD">
      <w:pPr>
        <w:spacing w:line="360" w:lineRule="auto"/>
        <w:jc w:val="both"/>
        <w:rPr>
          <w:rFonts w:ascii="David" w:hAnsi="David"/>
          <w:b/>
          <w:bCs/>
        </w:rPr>
      </w:pPr>
      <w:r w:rsidRPr="0098543B">
        <w:rPr>
          <w:rFonts w:ascii="David" w:hAnsi="David"/>
          <w:b/>
          <w:bCs/>
          <w:rtl/>
        </w:rPr>
        <w:t>במזומן בכל סניף של בנק הדואר – בהצגת תעודת זהות בלבד (אין צורך בשוברי תשלום).</w:t>
      </w:r>
    </w:p>
    <w:p w14:paraId="75251238" w14:textId="77777777" w:rsidR="007859BD" w:rsidRPr="0098543B" w:rsidRDefault="004D49AE" w:rsidP="007859BD">
      <w:pPr>
        <w:spacing w:before="240" w:after="240" w:line="360" w:lineRule="auto"/>
        <w:jc w:val="both"/>
        <w:rPr>
          <w:rFonts w:ascii="David" w:hAnsi="David"/>
          <w:b/>
          <w:bCs/>
          <w:u w:val="single"/>
          <w:rtl/>
        </w:rPr>
      </w:pPr>
      <w:r w:rsidRPr="004D49AE">
        <w:rPr>
          <w:rFonts w:ascii="David" w:hAnsi="David"/>
          <w:b/>
          <w:bCs/>
          <w:color w:val="FFFFFF"/>
          <w:sz w:val="2"/>
          <w:szCs w:val="2"/>
          <w:u w:val="single"/>
          <w:rtl/>
        </w:rPr>
        <w:t>5129371</w:t>
      </w:r>
      <w:r w:rsidR="007859BD" w:rsidRPr="0098543B">
        <w:rPr>
          <w:rFonts w:ascii="David" w:hAnsi="David"/>
          <w:b/>
          <w:bCs/>
          <w:u w:val="single"/>
          <w:rtl/>
        </w:rPr>
        <w:t xml:space="preserve">זכות ערעור לבית המשפט המחוזי תוך 45 יום מהיום. </w:t>
      </w:r>
    </w:p>
    <w:p w14:paraId="2A38E329" w14:textId="77777777" w:rsidR="007859BD" w:rsidRPr="004D49AE" w:rsidRDefault="004D49AE" w:rsidP="007859BD">
      <w:pPr>
        <w:spacing w:before="240" w:after="240" w:line="360" w:lineRule="auto"/>
        <w:jc w:val="both"/>
        <w:rPr>
          <w:rFonts w:ascii="Arial" w:hAnsi="Arial"/>
          <w:color w:val="FFFFFF"/>
          <w:sz w:val="2"/>
          <w:szCs w:val="2"/>
          <w:rtl/>
        </w:rPr>
      </w:pPr>
      <w:r w:rsidRPr="004D49AE">
        <w:rPr>
          <w:rFonts w:ascii="Arial" w:hAnsi="Arial"/>
          <w:color w:val="FFFFFF"/>
          <w:sz w:val="2"/>
          <w:szCs w:val="2"/>
          <w:rtl/>
        </w:rPr>
        <w:t>54678313</w:t>
      </w:r>
    </w:p>
    <w:p w14:paraId="636F5643" w14:textId="77777777" w:rsidR="007859BD" w:rsidRPr="0098543B" w:rsidRDefault="007859BD" w:rsidP="007859BD">
      <w:pPr>
        <w:spacing w:before="240" w:after="240" w:line="360" w:lineRule="auto"/>
        <w:jc w:val="both"/>
        <w:rPr>
          <w:rFonts w:ascii="Arial" w:hAnsi="Arial"/>
          <w:rtl/>
        </w:rPr>
      </w:pPr>
    </w:p>
    <w:p w14:paraId="414D3549" w14:textId="77777777" w:rsidR="007859BD" w:rsidRPr="0098543B" w:rsidRDefault="004D49AE" w:rsidP="007859BD">
      <w:pPr>
        <w:spacing w:line="360" w:lineRule="auto"/>
        <w:jc w:val="both"/>
        <w:rPr>
          <w:rFonts w:ascii="Arial" w:hAnsi="Arial"/>
          <w:rtl/>
        </w:rPr>
      </w:pPr>
      <w:bookmarkStart w:id="7" w:name="Nitan"/>
      <w:r>
        <w:rPr>
          <w:rFonts w:ascii="Arial" w:hAnsi="Arial"/>
          <w:rtl/>
        </w:rPr>
        <w:t xml:space="preserve">ניתן היום,  י"ז חשוון תשפ"ה, 18 נובמבר 2024, במעמד הצדדים. </w:t>
      </w:r>
      <w:bookmarkEnd w:id="7"/>
      <w:r w:rsidR="007859BD" w:rsidRPr="0098543B">
        <w:rPr>
          <w:rFonts w:ascii="Arial" w:hAnsi="Arial"/>
          <w:rtl/>
        </w:rPr>
        <w:tab/>
      </w:r>
      <w:r w:rsidR="007859BD" w:rsidRPr="0098543B">
        <w:rPr>
          <w:rFonts w:ascii="Arial" w:hAnsi="Arial"/>
          <w:rtl/>
        </w:rPr>
        <w:tab/>
      </w:r>
      <w:r w:rsidR="007859BD" w:rsidRPr="0098543B">
        <w:rPr>
          <w:rFonts w:ascii="Arial" w:hAnsi="Arial"/>
          <w:rtl/>
        </w:rPr>
        <w:tab/>
      </w:r>
      <w:r w:rsidR="007859BD" w:rsidRPr="0098543B">
        <w:rPr>
          <w:rFonts w:ascii="Arial" w:hAnsi="Arial"/>
          <w:rtl/>
        </w:rPr>
        <w:tab/>
      </w:r>
      <w:r w:rsidR="007859BD" w:rsidRPr="0098543B">
        <w:rPr>
          <w:rFonts w:ascii="Arial" w:hAnsi="Arial"/>
          <w:rtl/>
        </w:rPr>
        <w:tab/>
      </w:r>
      <w:r w:rsidR="007859BD" w:rsidRPr="0098543B">
        <w:rPr>
          <w:rFonts w:ascii="Arial" w:hAnsi="Arial"/>
          <w:rtl/>
        </w:rPr>
        <w:tab/>
      </w:r>
      <w:r w:rsidR="007859BD" w:rsidRPr="0098543B">
        <w:rPr>
          <w:rFonts w:ascii="Arial" w:hAnsi="Arial"/>
          <w:rtl/>
        </w:rPr>
        <w:tab/>
        <w:t xml:space="preserve">         </w:t>
      </w:r>
    </w:p>
    <w:p w14:paraId="4A020F68" w14:textId="77777777" w:rsidR="007859BD" w:rsidRPr="0098543B" w:rsidRDefault="007859BD" w:rsidP="004D49AE">
      <w:pPr>
        <w:jc w:val="center"/>
      </w:pPr>
      <w:r w:rsidRPr="0098543B">
        <w:rPr>
          <w:rFonts w:ascii="Arial" w:hAnsi="Arial"/>
          <w:rtl/>
        </w:rPr>
        <w:t xml:space="preserve">   </w:t>
      </w:r>
      <w:r w:rsidRPr="0098543B">
        <w:rPr>
          <w:rFonts w:ascii="Arial" w:hAnsi="Arial"/>
          <w:rtl/>
        </w:rPr>
        <w:tab/>
      </w:r>
      <w:r w:rsidRPr="0098543B">
        <w:rPr>
          <w:rFonts w:ascii="Arial" w:hAnsi="Arial"/>
          <w:rtl/>
        </w:rPr>
        <w:tab/>
      </w:r>
      <w:r w:rsidRPr="0098543B">
        <w:rPr>
          <w:rFonts w:ascii="Arial" w:hAnsi="Arial"/>
          <w:rtl/>
        </w:rPr>
        <w:tab/>
      </w:r>
      <w:r w:rsidRPr="0098543B">
        <w:rPr>
          <w:rFonts w:ascii="Arial" w:hAnsi="Arial"/>
          <w:rtl/>
        </w:rPr>
        <w:tab/>
      </w:r>
      <w:r w:rsidRPr="0098543B">
        <w:rPr>
          <w:rFonts w:ascii="Arial" w:hAnsi="Arial"/>
          <w:rtl/>
        </w:rPr>
        <w:tab/>
      </w:r>
    </w:p>
    <w:p w14:paraId="4C15D31C" w14:textId="77777777" w:rsidR="007859BD" w:rsidRPr="0098543B" w:rsidRDefault="007859BD" w:rsidP="007859BD">
      <w:pPr>
        <w:jc w:val="center"/>
        <w:rPr>
          <w:rFonts w:ascii="Arial" w:hAnsi="Arial"/>
          <w:rtl/>
        </w:rPr>
      </w:pPr>
    </w:p>
    <w:p w14:paraId="7C50BA33" w14:textId="77777777" w:rsidR="00481C99" w:rsidRPr="004D49AE" w:rsidRDefault="00481C99" w:rsidP="004D49AE">
      <w:pPr>
        <w:keepNext/>
        <w:rPr>
          <w:rFonts w:ascii="David" w:hAnsi="David"/>
          <w:color w:val="000000"/>
          <w:sz w:val="22"/>
          <w:szCs w:val="22"/>
          <w:rtl/>
        </w:rPr>
      </w:pPr>
    </w:p>
    <w:p w14:paraId="40043F59" w14:textId="77777777" w:rsidR="004D49AE" w:rsidRPr="004D49AE" w:rsidRDefault="004D49AE" w:rsidP="004D49AE">
      <w:pPr>
        <w:keepNext/>
        <w:rPr>
          <w:rFonts w:ascii="David" w:hAnsi="David"/>
          <w:color w:val="000000"/>
          <w:sz w:val="22"/>
          <w:szCs w:val="22"/>
          <w:rtl/>
        </w:rPr>
      </w:pPr>
      <w:r w:rsidRPr="004D49AE">
        <w:rPr>
          <w:rFonts w:ascii="David" w:hAnsi="David"/>
          <w:color w:val="000000"/>
          <w:sz w:val="22"/>
          <w:szCs w:val="22"/>
          <w:rtl/>
        </w:rPr>
        <w:t>מריה פיקוס בוגדאנוב 54678313</w:t>
      </w:r>
    </w:p>
    <w:p w14:paraId="7DFF06E1" w14:textId="77777777" w:rsidR="004D49AE" w:rsidRDefault="004D49AE" w:rsidP="004D49AE">
      <w:r w:rsidRPr="004D49AE">
        <w:rPr>
          <w:color w:val="000000"/>
          <w:rtl/>
        </w:rPr>
        <w:t>נוסח מסמך זה כפוף לשינויי ניסוח ועריכה</w:t>
      </w:r>
    </w:p>
    <w:p w14:paraId="3BB7E5DE" w14:textId="77777777" w:rsidR="004D49AE" w:rsidRDefault="004D49AE" w:rsidP="004D49AE">
      <w:pPr>
        <w:rPr>
          <w:rtl/>
        </w:rPr>
      </w:pPr>
    </w:p>
    <w:p w14:paraId="18FA4081" w14:textId="77777777" w:rsidR="004D49AE" w:rsidRDefault="004D49AE" w:rsidP="004D49A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38959F2" w14:textId="77777777" w:rsidR="004D49AE" w:rsidRPr="004D49AE" w:rsidRDefault="004D49AE" w:rsidP="004D49AE">
      <w:pPr>
        <w:jc w:val="center"/>
        <w:rPr>
          <w:color w:val="0000FF"/>
          <w:u w:val="single"/>
        </w:rPr>
      </w:pPr>
    </w:p>
    <w:sectPr w:rsidR="004D49AE" w:rsidRPr="004D49AE" w:rsidSect="004D49A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6ECC8" w14:textId="77777777" w:rsidR="00EE70EC" w:rsidRDefault="00EE70EC" w:rsidP="00A93CFE">
      <w:r>
        <w:separator/>
      </w:r>
    </w:p>
  </w:endnote>
  <w:endnote w:type="continuationSeparator" w:id="0">
    <w:p w14:paraId="5F893E08" w14:textId="77777777" w:rsidR="00EE70EC" w:rsidRDefault="00EE70EC" w:rsidP="00A9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6C148" w14:textId="77777777" w:rsidR="004D49AE" w:rsidRDefault="004D49AE" w:rsidP="004D49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91CC89" w14:textId="77777777" w:rsidR="00780A00" w:rsidRPr="004D49AE" w:rsidRDefault="004D49AE" w:rsidP="004D49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0EB1F" w14:textId="77777777" w:rsidR="004D49AE" w:rsidRDefault="004D49AE" w:rsidP="004D49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6D91">
      <w:rPr>
        <w:rFonts w:ascii="FrankRuehl" w:hAnsi="FrankRuehl" w:cs="FrankRuehl"/>
        <w:noProof/>
        <w:rtl/>
      </w:rPr>
      <w:t>1</w:t>
    </w:r>
    <w:r>
      <w:rPr>
        <w:rFonts w:ascii="FrankRuehl" w:hAnsi="FrankRuehl" w:cs="FrankRuehl"/>
        <w:rtl/>
      </w:rPr>
      <w:fldChar w:fldCharType="end"/>
    </w:r>
  </w:p>
  <w:p w14:paraId="4728E1B2" w14:textId="77777777" w:rsidR="00780A00" w:rsidRPr="004D49AE" w:rsidRDefault="004D49AE" w:rsidP="004D49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3AE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2C87D" w14:textId="77777777" w:rsidR="00EE70EC" w:rsidRDefault="00EE70EC" w:rsidP="00A93CFE">
      <w:r>
        <w:separator/>
      </w:r>
    </w:p>
  </w:footnote>
  <w:footnote w:type="continuationSeparator" w:id="0">
    <w:p w14:paraId="03891271" w14:textId="77777777" w:rsidR="00EE70EC" w:rsidRDefault="00EE70EC" w:rsidP="00A93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5C7" w14:textId="77777777" w:rsidR="004D49AE" w:rsidRPr="004D49AE" w:rsidRDefault="004D49AE" w:rsidP="004D49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18094-06-24</w:t>
    </w:r>
    <w:r>
      <w:rPr>
        <w:rFonts w:ascii="David" w:hAnsi="David"/>
        <w:color w:val="000000"/>
        <w:sz w:val="22"/>
        <w:szCs w:val="22"/>
        <w:rtl/>
      </w:rPr>
      <w:tab/>
      <w:t xml:space="preserve"> מדינת ישראל נ' עובדה זבידאת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464E0" w14:textId="77777777" w:rsidR="004D49AE" w:rsidRPr="004D49AE" w:rsidRDefault="004D49AE" w:rsidP="004D49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18094-06-24</w:t>
    </w:r>
    <w:r>
      <w:rPr>
        <w:rFonts w:ascii="David" w:hAnsi="David"/>
        <w:color w:val="000000"/>
        <w:sz w:val="22"/>
        <w:szCs w:val="22"/>
        <w:rtl/>
      </w:rPr>
      <w:tab/>
      <w:t xml:space="preserve"> מדינת ישראל נ' עובדה זבידאת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DE"/>
    <w:multiLevelType w:val="hybridMultilevel"/>
    <w:tmpl w:val="88E2CFDC"/>
    <w:lvl w:ilvl="0" w:tplc="2E6A186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0800B7"/>
    <w:multiLevelType w:val="hybridMultilevel"/>
    <w:tmpl w:val="CE46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22137666">
    <w:abstractNumId w:val="1"/>
  </w:num>
  <w:num w:numId="2" w16cid:durableId="1024752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59BD"/>
    <w:rsid w:val="00046D91"/>
    <w:rsid w:val="000976DE"/>
    <w:rsid w:val="00481C99"/>
    <w:rsid w:val="004D49AE"/>
    <w:rsid w:val="00780A00"/>
    <w:rsid w:val="007859BD"/>
    <w:rsid w:val="009A4E4C"/>
    <w:rsid w:val="00A93CFE"/>
    <w:rsid w:val="00AE75C1"/>
    <w:rsid w:val="00C30673"/>
    <w:rsid w:val="00EE7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253695"/>
  <w15:chartTrackingRefBased/>
  <w15:docId w15:val="{390DD46E-401C-47B3-85F0-650951DF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59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59BD"/>
    <w:pPr>
      <w:tabs>
        <w:tab w:val="center" w:pos="4153"/>
        <w:tab w:val="right" w:pos="8306"/>
      </w:tabs>
    </w:pPr>
  </w:style>
  <w:style w:type="character" w:customStyle="1" w:styleId="a4">
    <w:name w:val="כותרת עליונה תו"/>
    <w:link w:val="a3"/>
    <w:rsid w:val="007859BD"/>
    <w:rPr>
      <w:rFonts w:ascii="Times New Roman" w:eastAsia="Times New Roman" w:hAnsi="Times New Roman" w:cs="David"/>
      <w:sz w:val="24"/>
      <w:szCs w:val="24"/>
    </w:rPr>
  </w:style>
  <w:style w:type="paragraph" w:styleId="a5">
    <w:name w:val="footer"/>
    <w:basedOn w:val="a"/>
    <w:link w:val="a6"/>
    <w:rsid w:val="007859BD"/>
    <w:pPr>
      <w:tabs>
        <w:tab w:val="center" w:pos="4153"/>
        <w:tab w:val="right" w:pos="8306"/>
      </w:tabs>
    </w:pPr>
  </w:style>
  <w:style w:type="character" w:customStyle="1" w:styleId="a6">
    <w:name w:val="כותרת תחתונה תו"/>
    <w:link w:val="a5"/>
    <w:rsid w:val="007859BD"/>
    <w:rPr>
      <w:rFonts w:ascii="Times New Roman" w:eastAsia="Times New Roman" w:hAnsi="Times New Roman" w:cs="David"/>
      <w:sz w:val="24"/>
      <w:szCs w:val="24"/>
    </w:rPr>
  </w:style>
  <w:style w:type="table" w:styleId="a7">
    <w:name w:val="Table Grid"/>
    <w:basedOn w:val="a1"/>
    <w:rsid w:val="007859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59BD"/>
  </w:style>
  <w:style w:type="character" w:styleId="Hyperlink">
    <w:name w:val="Hyperlink"/>
    <w:rsid w:val="007859BD"/>
    <w:rPr>
      <w:color w:val="0000FF"/>
      <w:u w:val="single"/>
    </w:rPr>
  </w:style>
  <w:style w:type="character" w:customStyle="1" w:styleId="a9">
    <w:name w:val="פיסקת רשימה תו"/>
    <w:link w:val="aa"/>
    <w:locked/>
    <w:rsid w:val="007859BD"/>
    <w:rPr>
      <w:rFonts w:ascii="David" w:hAnsi="David" w:cs="David"/>
      <w:sz w:val="24"/>
      <w:szCs w:val="24"/>
    </w:rPr>
  </w:style>
  <w:style w:type="paragraph" w:styleId="aa">
    <w:name w:val="List Paragraph"/>
    <w:basedOn w:val="a"/>
    <w:link w:val="a9"/>
    <w:qFormat/>
    <w:rsid w:val="007859BD"/>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29" TargetMode="External"/><Relationship Id="rId42" Type="http://schemas.openxmlformats.org/officeDocument/2006/relationships/hyperlink" Target="http://www.nevo.co.il/case/27399392"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40c.a"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83490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4552738" TargetMode="External"/><Relationship Id="rId32" Type="http://schemas.openxmlformats.org/officeDocument/2006/relationships/hyperlink" Target="http://www.nevo.co.il/case/26931111"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144.b"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324370"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648787" TargetMode="External"/><Relationship Id="rId48" Type="http://schemas.openxmlformats.org/officeDocument/2006/relationships/hyperlink" Target="http://www.nevo.co.il/case/26103748"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29"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case/25526059" TargetMode="External"/><Relationship Id="rId41" Type="http://schemas.openxmlformats.org/officeDocument/2006/relationships/hyperlink" Target="http://www.nevo.co.il/case/29513860" TargetMode="External"/><Relationship Id="rId54" Type="http://schemas.openxmlformats.org/officeDocument/2006/relationships/hyperlink" Target="http://www.nevo.co.il/law/70301/2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573417" TargetMode="External"/><Relationship Id="rId23" Type="http://schemas.openxmlformats.org/officeDocument/2006/relationships/hyperlink" Target="http://www.nevo.co.il/case/2358844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case/26499616" TargetMode="External"/><Relationship Id="rId49" Type="http://schemas.openxmlformats.org/officeDocument/2006/relationships/hyperlink" Target="http://www.nevo.co.il/case/22851104"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9702606" TargetMode="External"/><Relationship Id="rId44" Type="http://schemas.openxmlformats.org/officeDocument/2006/relationships/hyperlink" Target="http://www.nevo.co.il/case/25232875"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3117</Words>
  <Characters>15590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18670</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http://www.nevo.co.il/law/70301/40c.a</vt:lpwstr>
      </vt:variant>
      <vt:variant>
        <vt:lpwstr/>
      </vt:variant>
      <vt:variant>
        <vt:i4>7077991</vt:i4>
      </vt:variant>
      <vt:variant>
        <vt:i4>141</vt:i4>
      </vt:variant>
      <vt:variant>
        <vt:i4>0</vt:i4>
      </vt:variant>
      <vt:variant>
        <vt:i4>5</vt:i4>
      </vt:variant>
      <vt:variant>
        <vt:lpwstr>http://www.nevo.co.il/law/70301/29</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7077991</vt:i4>
      </vt:variant>
      <vt:variant>
        <vt:i4>132</vt:i4>
      </vt:variant>
      <vt:variant>
        <vt:i4>0</vt:i4>
      </vt:variant>
      <vt:variant>
        <vt:i4>5</vt:i4>
      </vt:variant>
      <vt:variant>
        <vt:lpwstr>http://www.nevo.co.il/law/70301/29</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3866738</vt:i4>
      </vt:variant>
      <vt:variant>
        <vt:i4>126</vt:i4>
      </vt:variant>
      <vt:variant>
        <vt:i4>0</vt:i4>
      </vt:variant>
      <vt:variant>
        <vt:i4>5</vt:i4>
      </vt:variant>
      <vt:variant>
        <vt:lpwstr>http://www.nevo.co.il/case/22851104</vt:lpwstr>
      </vt:variant>
      <vt:variant>
        <vt:lpwstr/>
      </vt:variant>
      <vt:variant>
        <vt:i4>3407989</vt:i4>
      </vt:variant>
      <vt:variant>
        <vt:i4>123</vt:i4>
      </vt:variant>
      <vt:variant>
        <vt:i4>0</vt:i4>
      </vt:variant>
      <vt:variant>
        <vt:i4>5</vt:i4>
      </vt:variant>
      <vt:variant>
        <vt:lpwstr>http://www.nevo.co.il/case/26103748</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3473530</vt:i4>
      </vt:variant>
      <vt:variant>
        <vt:i4>111</vt:i4>
      </vt:variant>
      <vt:variant>
        <vt:i4>0</vt:i4>
      </vt:variant>
      <vt:variant>
        <vt:i4>5</vt:i4>
      </vt:variant>
      <vt:variant>
        <vt:lpwstr>http://www.nevo.co.il/case/25232875</vt:lpwstr>
      </vt:variant>
      <vt:variant>
        <vt:lpwstr/>
      </vt:variant>
      <vt:variant>
        <vt:i4>3407984</vt:i4>
      </vt:variant>
      <vt:variant>
        <vt:i4>108</vt:i4>
      </vt:variant>
      <vt:variant>
        <vt:i4>0</vt:i4>
      </vt:variant>
      <vt:variant>
        <vt:i4>5</vt:i4>
      </vt:variant>
      <vt:variant>
        <vt:lpwstr>http://www.nevo.co.il/case/27648787</vt:lpwstr>
      </vt:variant>
      <vt:variant>
        <vt:lpwstr/>
      </vt:variant>
      <vt:variant>
        <vt:i4>3211385</vt:i4>
      </vt:variant>
      <vt:variant>
        <vt:i4>105</vt:i4>
      </vt:variant>
      <vt:variant>
        <vt:i4>0</vt:i4>
      </vt:variant>
      <vt:variant>
        <vt:i4>5</vt:i4>
      </vt:variant>
      <vt:variant>
        <vt:lpwstr>http://www.nevo.co.il/case/27399392</vt:lpwstr>
      </vt:variant>
      <vt:variant>
        <vt:lpwstr/>
      </vt:variant>
      <vt:variant>
        <vt:i4>3276916</vt:i4>
      </vt:variant>
      <vt:variant>
        <vt:i4>102</vt:i4>
      </vt:variant>
      <vt:variant>
        <vt:i4>0</vt:i4>
      </vt:variant>
      <vt:variant>
        <vt:i4>5</vt:i4>
      </vt:variant>
      <vt:variant>
        <vt:lpwstr>http://www.nevo.co.il/case/29513860</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4063357</vt:i4>
      </vt:variant>
      <vt:variant>
        <vt:i4>87</vt:i4>
      </vt:variant>
      <vt:variant>
        <vt:i4>0</vt:i4>
      </vt:variant>
      <vt:variant>
        <vt:i4>5</vt:i4>
      </vt:variant>
      <vt:variant>
        <vt:lpwstr>http://www.nevo.co.il/case/26499616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3866736</vt:i4>
      </vt:variant>
      <vt:variant>
        <vt:i4>75</vt:i4>
      </vt:variant>
      <vt:variant>
        <vt:i4>0</vt:i4>
      </vt:variant>
      <vt:variant>
        <vt:i4>5</vt:i4>
      </vt:variant>
      <vt:variant>
        <vt:lpwstr>http://www.nevo.co.il/case/26931111</vt:lpwstr>
      </vt:variant>
      <vt:variant>
        <vt:lpwstr/>
      </vt:variant>
      <vt:variant>
        <vt:i4>3604603</vt:i4>
      </vt:variant>
      <vt:variant>
        <vt:i4>72</vt:i4>
      </vt:variant>
      <vt:variant>
        <vt:i4>0</vt:i4>
      </vt:variant>
      <vt:variant>
        <vt:i4>5</vt:i4>
      </vt:variant>
      <vt:variant>
        <vt:lpwstr>http://www.nevo.co.il/case/29702606</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3276925</vt:i4>
      </vt:variant>
      <vt:variant>
        <vt:i4>60</vt:i4>
      </vt:variant>
      <vt:variant>
        <vt:i4>0</vt:i4>
      </vt:variant>
      <vt:variant>
        <vt:i4>5</vt:i4>
      </vt:variant>
      <vt:variant>
        <vt:lpwstr>http://www.nevo.co.il/case/28324370</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4063344</vt:i4>
      </vt:variant>
      <vt:variant>
        <vt:i4>51</vt:i4>
      </vt:variant>
      <vt:variant>
        <vt:i4>0</vt:i4>
      </vt:variant>
      <vt:variant>
        <vt:i4>5</vt:i4>
      </vt:variant>
      <vt:variant>
        <vt:lpwstr>http://www.nevo.co.il/case/4552738</vt:lpwstr>
      </vt:variant>
      <vt:variant>
        <vt:lpwstr/>
      </vt:variant>
      <vt:variant>
        <vt:i4>3866747</vt:i4>
      </vt:variant>
      <vt:variant>
        <vt:i4>48</vt:i4>
      </vt:variant>
      <vt:variant>
        <vt:i4>0</vt:i4>
      </vt:variant>
      <vt:variant>
        <vt:i4>5</vt:i4>
      </vt:variant>
      <vt:variant>
        <vt:lpwstr>http://www.nevo.co.il/case/23588441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3407987</vt:i4>
      </vt:variant>
      <vt:variant>
        <vt:i4>39</vt:i4>
      </vt:variant>
      <vt:variant>
        <vt:i4>0</vt:i4>
      </vt:variant>
      <vt:variant>
        <vt:i4>5</vt:i4>
      </vt:variant>
      <vt:variant>
        <vt:lpwstr>http://www.nevo.co.il/case/25526059</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3670136</vt:i4>
      </vt:variant>
      <vt:variant>
        <vt:i4>27</vt:i4>
      </vt:variant>
      <vt:variant>
        <vt:i4>0</vt:i4>
      </vt:variant>
      <vt:variant>
        <vt:i4>5</vt:i4>
      </vt:variant>
      <vt:variant>
        <vt:lpwstr>http://www.nevo.co.il/case/6834904</vt:lpwstr>
      </vt:variant>
      <vt:variant>
        <vt:lpwstr/>
      </vt:variant>
      <vt:variant>
        <vt:i4>3211379</vt:i4>
      </vt:variant>
      <vt:variant>
        <vt:i4>24</vt:i4>
      </vt:variant>
      <vt:variant>
        <vt:i4>0</vt:i4>
      </vt:variant>
      <vt:variant>
        <vt:i4>5</vt:i4>
      </vt:variant>
      <vt:variant>
        <vt:lpwstr>http://www.nevo.co.il/case/5573417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18094</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עובדה זבידאת</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20241118</vt:lpwstr>
  </property>
  <property fmtid="{D5CDD505-2E9C-101B-9397-08002B2CF9AE}" pid="13" name="TYPE_N_DATE">
    <vt:lpwstr>38020241118</vt:lpwstr>
  </property>
  <property fmtid="{D5CDD505-2E9C-101B-9397-08002B2CF9AE}" pid="14" name="CASESLISTTMP1">
    <vt:lpwstr>5573417;6834904;25526059;23588441;4552738;28324370;29702606;26931111;26499616;29513860;27399392;27648787;25232875;26103748;22851104</vt:lpwstr>
  </property>
  <property fmtid="{D5CDD505-2E9C-101B-9397-08002B2CF9AE}" pid="15" name="CASENOTES1">
    <vt:lpwstr>ProcID=133;209&amp;PartA=1332&amp;PartC=04</vt:lpwstr>
  </property>
  <property fmtid="{D5CDD505-2E9C-101B-9397-08002B2CF9AE}" pid="16" name="WORDNUMPAGES">
    <vt:lpwstr>8</vt:lpwstr>
  </property>
  <property fmtid="{D5CDD505-2E9C-101B-9397-08002B2CF9AE}" pid="17" name="TYPE_ABS_DATE">
    <vt:lpwstr>380020241118</vt:lpwstr>
  </property>
  <property fmtid="{D5CDD505-2E9C-101B-9397-08002B2CF9AE}" pid="18" name="ISABSTRACT">
    <vt:lpwstr>Y</vt:lpwstr>
  </property>
  <property fmtid="{D5CDD505-2E9C-101B-9397-08002B2CF9AE}" pid="19" name="LAWLISTTMP1">
    <vt:lpwstr>70301/144.a:11;144.g;029:4;144.b;040c.a</vt:lpwstr>
  </property>
</Properties>
</file>