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CD1AD5" w:rsidRPr="0056681F" w14:paraId="486D4788" w14:textId="77777777" w:rsidTr="007E1A31">
        <w:trPr>
          <w:gridAfter w:val="1"/>
          <w:wAfter w:w="99" w:type="dxa"/>
          <w:trHeight w:hRule="exact" w:val="418"/>
          <w:jc w:val="center"/>
        </w:trPr>
        <w:tc>
          <w:tcPr>
            <w:tcW w:w="8721" w:type="dxa"/>
            <w:gridSpan w:val="4"/>
          </w:tcPr>
          <w:p w14:paraId="084489F6" w14:textId="77777777" w:rsidR="00CD1AD5" w:rsidRPr="0056681F" w:rsidRDefault="00CD1AD5" w:rsidP="00DE23C8">
            <w:pPr>
              <w:pStyle w:val="a3"/>
              <w:jc w:val="center"/>
              <w:rPr>
                <w:rFonts w:ascii="Tahoma" w:hAnsi="Tahoma" w:cs="Tahoma"/>
                <w:color w:val="000080"/>
                <w:rtl/>
              </w:rPr>
            </w:pPr>
            <w:bookmarkStart w:id="0" w:name="LastJudge"/>
            <w:r w:rsidRPr="0056681F">
              <w:rPr>
                <w:rFonts w:ascii="Tahoma" w:hAnsi="Tahoma" w:cs="Tahoma"/>
                <w:b/>
                <w:bCs/>
                <w:color w:val="000080"/>
                <w:rtl/>
              </w:rPr>
              <w:t>בית משפט השלום בחיפה</w:t>
            </w:r>
          </w:p>
        </w:tc>
      </w:tr>
      <w:tr w:rsidR="00CD1AD5" w:rsidRPr="0056681F" w14:paraId="34209C90" w14:textId="77777777" w:rsidTr="007E1A31">
        <w:trPr>
          <w:gridAfter w:val="1"/>
          <w:wAfter w:w="99" w:type="dxa"/>
          <w:trHeight w:val="337"/>
          <w:jc w:val="center"/>
        </w:trPr>
        <w:tc>
          <w:tcPr>
            <w:tcW w:w="5057" w:type="dxa"/>
            <w:gridSpan w:val="3"/>
          </w:tcPr>
          <w:p w14:paraId="235E09D8" w14:textId="77777777" w:rsidR="00CD1AD5" w:rsidRPr="0056681F" w:rsidRDefault="00CD1AD5" w:rsidP="00DE23C8">
            <w:pPr>
              <w:rPr>
                <w:rFonts w:cs="FrankRuehl"/>
                <w:sz w:val="28"/>
                <w:szCs w:val="28"/>
                <w:rtl/>
              </w:rPr>
            </w:pPr>
            <w:r w:rsidRPr="0056681F">
              <w:rPr>
                <w:rFonts w:cs="FrankRuehl"/>
                <w:sz w:val="28"/>
                <w:szCs w:val="28"/>
                <w:rtl/>
              </w:rPr>
              <w:t>ת"פ</w:t>
            </w:r>
            <w:r w:rsidRPr="0056681F">
              <w:rPr>
                <w:rFonts w:cs="FrankRuehl" w:hint="cs"/>
                <w:sz w:val="28"/>
                <w:szCs w:val="28"/>
                <w:rtl/>
              </w:rPr>
              <w:t xml:space="preserve"> </w:t>
            </w:r>
            <w:r w:rsidRPr="0056681F">
              <w:rPr>
                <w:rFonts w:cs="FrankRuehl"/>
                <w:sz w:val="28"/>
                <w:szCs w:val="28"/>
                <w:rtl/>
              </w:rPr>
              <w:t>28624-07-24</w:t>
            </w:r>
            <w:r w:rsidRPr="0056681F">
              <w:rPr>
                <w:rFonts w:cs="FrankRuehl" w:hint="cs"/>
                <w:sz w:val="28"/>
                <w:szCs w:val="28"/>
                <w:rtl/>
              </w:rPr>
              <w:t xml:space="preserve"> </w:t>
            </w:r>
            <w:r w:rsidRPr="0056681F">
              <w:rPr>
                <w:rFonts w:cs="FrankRuehl"/>
                <w:sz w:val="28"/>
                <w:szCs w:val="28"/>
                <w:rtl/>
              </w:rPr>
              <w:t>מדינת ישראל נ' כיוף(עציר)</w:t>
            </w:r>
          </w:p>
          <w:p w14:paraId="69AC6A59" w14:textId="77777777" w:rsidR="00CD1AD5" w:rsidRPr="0056681F" w:rsidRDefault="00CD1AD5" w:rsidP="00DE23C8">
            <w:pPr>
              <w:pStyle w:val="a3"/>
              <w:rPr>
                <w:rFonts w:cs="FrankRuehl"/>
                <w:sz w:val="28"/>
                <w:szCs w:val="28"/>
                <w:rtl/>
              </w:rPr>
            </w:pPr>
          </w:p>
        </w:tc>
        <w:tc>
          <w:tcPr>
            <w:tcW w:w="3664" w:type="dxa"/>
          </w:tcPr>
          <w:p w14:paraId="1678D218" w14:textId="77777777" w:rsidR="00CD1AD5" w:rsidRPr="0056681F" w:rsidRDefault="00CD1AD5" w:rsidP="00DE23C8">
            <w:pPr>
              <w:pStyle w:val="a3"/>
              <w:jc w:val="right"/>
              <w:rPr>
                <w:rFonts w:cs="FrankRuehl"/>
                <w:sz w:val="28"/>
                <w:szCs w:val="28"/>
                <w:rtl/>
              </w:rPr>
            </w:pPr>
          </w:p>
        </w:tc>
      </w:tr>
      <w:tr w:rsidR="00CD1AD5" w:rsidRPr="0056681F" w14:paraId="5FC6D036" w14:textId="77777777" w:rsidTr="007E1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2322D7" w14:textId="77777777" w:rsidR="00CD1AD5" w:rsidRPr="0056681F" w:rsidRDefault="00CD1AD5" w:rsidP="00CD1AD5">
            <w:pPr>
              <w:jc w:val="both"/>
              <w:rPr>
                <w:rFonts w:ascii="David" w:hAnsi="David"/>
                <w:sz w:val="26"/>
                <w:szCs w:val="26"/>
              </w:rPr>
            </w:pPr>
            <w:r w:rsidRPr="0056681F">
              <w:rPr>
                <w:rFonts w:hint="cs"/>
                <w:rtl/>
              </w:rPr>
              <w:t xml:space="preserve"> </w:t>
            </w:r>
            <w:r w:rsidRPr="0056681F">
              <w:rPr>
                <w:rFonts w:ascii="David" w:hAnsi="David" w:hint="cs"/>
                <w:sz w:val="26"/>
                <w:szCs w:val="26"/>
                <w:rtl/>
              </w:rPr>
              <w:t>ל</w:t>
            </w:r>
            <w:r w:rsidRPr="0056681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8FC8CD6" w14:textId="77777777" w:rsidR="00CD1AD5" w:rsidRPr="0056681F" w:rsidRDefault="00CD1AD5" w:rsidP="00DE23C8">
            <w:pPr>
              <w:rPr>
                <w:rFonts w:ascii="David" w:hAnsi="David"/>
                <w:b/>
                <w:bCs/>
                <w:sz w:val="26"/>
                <w:szCs w:val="26"/>
                <w:rtl/>
              </w:rPr>
            </w:pPr>
            <w:r w:rsidRPr="0056681F">
              <w:rPr>
                <w:rFonts w:ascii="David" w:hAnsi="David"/>
                <w:b/>
                <w:bCs/>
                <w:sz w:val="26"/>
                <w:szCs w:val="26"/>
                <w:rtl/>
              </w:rPr>
              <w:t>כבוד השופטת  מריה פיקוס בוגדאנוב</w:t>
            </w:r>
          </w:p>
          <w:p w14:paraId="0BB3DBD1" w14:textId="77777777" w:rsidR="00CD1AD5" w:rsidRPr="0056681F" w:rsidRDefault="00CD1AD5" w:rsidP="00DE23C8">
            <w:pPr>
              <w:rPr>
                <w:rFonts w:ascii="David" w:hAnsi="David"/>
                <w:sz w:val="26"/>
                <w:szCs w:val="26"/>
                <w:rtl/>
              </w:rPr>
            </w:pPr>
          </w:p>
          <w:p w14:paraId="0E048DF6" w14:textId="77777777" w:rsidR="00CD1AD5" w:rsidRPr="0056681F" w:rsidRDefault="00CD1AD5" w:rsidP="00CD1AD5">
            <w:pPr>
              <w:jc w:val="both"/>
              <w:rPr>
                <w:rFonts w:ascii="David" w:hAnsi="David"/>
                <w:sz w:val="26"/>
                <w:szCs w:val="26"/>
              </w:rPr>
            </w:pPr>
          </w:p>
        </w:tc>
      </w:tr>
      <w:tr w:rsidR="00CD1AD5" w:rsidRPr="0056681F" w14:paraId="65580B77" w14:textId="77777777" w:rsidTr="007E1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2E8A25" w14:textId="77777777" w:rsidR="00CD1AD5" w:rsidRPr="0056681F" w:rsidRDefault="00CD1AD5" w:rsidP="00CD1AD5">
            <w:pPr>
              <w:jc w:val="both"/>
              <w:rPr>
                <w:rFonts w:ascii="David" w:hAnsi="David"/>
                <w:sz w:val="26"/>
                <w:szCs w:val="26"/>
              </w:rPr>
            </w:pPr>
            <w:bookmarkStart w:id="1" w:name="FirstAppellant"/>
            <w:r w:rsidRPr="0056681F">
              <w:rPr>
                <w:rFonts w:ascii="David" w:hAnsi="David"/>
                <w:sz w:val="26"/>
                <w:szCs w:val="26"/>
                <w:rtl/>
              </w:rPr>
              <w:t>בעניין:</w:t>
            </w:r>
          </w:p>
        </w:tc>
        <w:tc>
          <w:tcPr>
            <w:tcW w:w="3219" w:type="dxa"/>
            <w:tcBorders>
              <w:top w:val="nil"/>
              <w:left w:val="nil"/>
              <w:bottom w:val="nil"/>
              <w:right w:val="nil"/>
            </w:tcBorders>
            <w:shd w:val="clear" w:color="auto" w:fill="auto"/>
          </w:tcPr>
          <w:p w14:paraId="3976A82D" w14:textId="77777777" w:rsidR="00CD1AD5" w:rsidRPr="0056681F" w:rsidRDefault="00CD1AD5" w:rsidP="00CD1AD5">
            <w:pPr>
              <w:suppressLineNumbers/>
            </w:pPr>
            <w:r w:rsidRPr="0056681F">
              <w:rPr>
                <w:rFonts w:ascii="Arial" w:hAnsi="Arial" w:hint="cs"/>
                <w:b/>
                <w:bCs/>
                <w:sz w:val="26"/>
                <w:szCs w:val="26"/>
                <w:rtl/>
              </w:rPr>
              <w:t>ה</w:t>
            </w:r>
            <w:r w:rsidRPr="0056681F">
              <w:rPr>
                <w:rFonts w:ascii="Arial" w:hAnsi="Arial"/>
                <w:b/>
                <w:bCs/>
                <w:sz w:val="26"/>
                <w:szCs w:val="26"/>
                <w:rtl/>
              </w:rPr>
              <w:t>מאשימה</w:t>
            </w:r>
          </w:p>
          <w:p w14:paraId="181E8E0F" w14:textId="77777777" w:rsidR="00CD1AD5" w:rsidRPr="0056681F" w:rsidRDefault="00CD1AD5" w:rsidP="00DE23C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73C8267" w14:textId="77777777" w:rsidR="00CD1AD5" w:rsidRPr="0056681F" w:rsidRDefault="00CD1AD5" w:rsidP="00CD1AD5">
            <w:pPr>
              <w:suppressLineNumbers/>
            </w:pPr>
            <w:r w:rsidRPr="0056681F">
              <w:rPr>
                <w:rFonts w:ascii="Arial" w:hAnsi="Arial"/>
                <w:b/>
                <w:bCs/>
                <w:sz w:val="26"/>
                <w:szCs w:val="26"/>
                <w:rtl/>
              </w:rPr>
              <w:t>מדינת ישראל</w:t>
            </w:r>
            <w:r w:rsidRPr="0056681F">
              <w:rPr>
                <w:rFonts w:ascii="Arial" w:hAnsi="Arial" w:hint="cs"/>
                <w:b/>
                <w:bCs/>
                <w:sz w:val="26"/>
                <w:szCs w:val="26"/>
                <w:rtl/>
              </w:rPr>
              <w:t xml:space="preserve">  </w:t>
            </w:r>
          </w:p>
          <w:p w14:paraId="1763A906" w14:textId="77777777" w:rsidR="00CD1AD5" w:rsidRPr="0056681F" w:rsidRDefault="00CD1AD5" w:rsidP="00DE23C8">
            <w:pPr>
              <w:rPr>
                <w:rFonts w:ascii="David" w:hAnsi="David"/>
                <w:sz w:val="26"/>
                <w:szCs w:val="26"/>
              </w:rPr>
            </w:pPr>
          </w:p>
        </w:tc>
      </w:tr>
      <w:bookmarkEnd w:id="1"/>
      <w:tr w:rsidR="00CD1AD5" w:rsidRPr="0056681F" w14:paraId="6954C789" w14:textId="77777777" w:rsidTr="007E1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BCCE96" w14:textId="77777777" w:rsidR="00CD1AD5" w:rsidRPr="0056681F" w:rsidRDefault="00CD1AD5" w:rsidP="00CD1AD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F4E4215" w14:textId="77777777" w:rsidR="00CD1AD5" w:rsidRPr="0056681F" w:rsidRDefault="00CD1AD5" w:rsidP="00CD1AD5">
            <w:pPr>
              <w:jc w:val="center"/>
              <w:rPr>
                <w:rFonts w:ascii="David" w:hAnsi="David"/>
                <w:b/>
                <w:bCs/>
                <w:sz w:val="26"/>
                <w:szCs w:val="26"/>
                <w:rtl/>
              </w:rPr>
            </w:pPr>
          </w:p>
          <w:p w14:paraId="084A078F" w14:textId="77777777" w:rsidR="00CD1AD5" w:rsidRPr="0056681F" w:rsidRDefault="00CD1AD5" w:rsidP="00CD1AD5">
            <w:pPr>
              <w:jc w:val="center"/>
              <w:rPr>
                <w:rFonts w:ascii="David" w:hAnsi="David"/>
                <w:b/>
                <w:bCs/>
                <w:sz w:val="26"/>
                <w:szCs w:val="26"/>
                <w:rtl/>
              </w:rPr>
            </w:pPr>
            <w:r w:rsidRPr="0056681F">
              <w:rPr>
                <w:rFonts w:ascii="David" w:hAnsi="David"/>
                <w:b/>
                <w:bCs/>
                <w:sz w:val="26"/>
                <w:szCs w:val="26"/>
                <w:rtl/>
              </w:rPr>
              <w:t>נגד</w:t>
            </w:r>
          </w:p>
          <w:p w14:paraId="1B10A9F4" w14:textId="77777777" w:rsidR="00CD1AD5" w:rsidRPr="0056681F" w:rsidRDefault="00CD1AD5" w:rsidP="00CD1AD5">
            <w:pPr>
              <w:jc w:val="both"/>
              <w:rPr>
                <w:rFonts w:ascii="David" w:hAnsi="David"/>
                <w:sz w:val="26"/>
                <w:szCs w:val="26"/>
              </w:rPr>
            </w:pPr>
          </w:p>
        </w:tc>
      </w:tr>
      <w:tr w:rsidR="00CD1AD5" w:rsidRPr="0056681F" w14:paraId="5DC713AF" w14:textId="77777777" w:rsidTr="007E1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77C110" w14:textId="77777777" w:rsidR="00CD1AD5" w:rsidRPr="0056681F" w:rsidRDefault="00CD1AD5" w:rsidP="00DE23C8">
            <w:pPr>
              <w:rPr>
                <w:rFonts w:ascii="David" w:hAnsi="David"/>
                <w:sz w:val="26"/>
                <w:szCs w:val="26"/>
                <w:rtl/>
              </w:rPr>
            </w:pPr>
          </w:p>
        </w:tc>
        <w:tc>
          <w:tcPr>
            <w:tcW w:w="3219" w:type="dxa"/>
            <w:tcBorders>
              <w:top w:val="nil"/>
              <w:left w:val="nil"/>
              <w:bottom w:val="nil"/>
              <w:right w:val="nil"/>
            </w:tcBorders>
            <w:shd w:val="clear" w:color="auto" w:fill="auto"/>
          </w:tcPr>
          <w:p w14:paraId="31366B0A" w14:textId="77777777" w:rsidR="00CD1AD5" w:rsidRPr="0056681F" w:rsidRDefault="00CD1AD5" w:rsidP="00DE23C8">
            <w:pPr>
              <w:rPr>
                <w:rFonts w:ascii="Arial" w:hAnsi="Arial"/>
                <w:b/>
                <w:bCs/>
                <w:sz w:val="26"/>
                <w:szCs w:val="26"/>
                <w:rtl/>
              </w:rPr>
            </w:pPr>
            <w:r w:rsidRPr="0056681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FB52B96" w14:textId="77777777" w:rsidR="00CD1AD5" w:rsidRPr="0056681F" w:rsidRDefault="00CD1AD5" w:rsidP="00CD1AD5">
            <w:pPr>
              <w:suppressLineNumbers/>
            </w:pPr>
            <w:r w:rsidRPr="0056681F">
              <w:rPr>
                <w:rFonts w:ascii="Arial" w:hAnsi="Arial"/>
                <w:b/>
                <w:bCs/>
                <w:sz w:val="26"/>
                <w:szCs w:val="26"/>
                <w:rtl/>
              </w:rPr>
              <w:t>עאטף כיוף (עציר)</w:t>
            </w:r>
            <w:r w:rsidRPr="0056681F">
              <w:rPr>
                <w:rFonts w:ascii="Arial" w:hAnsi="Arial" w:hint="cs"/>
                <w:b/>
                <w:bCs/>
                <w:sz w:val="26"/>
                <w:szCs w:val="26"/>
                <w:rtl/>
              </w:rPr>
              <w:t xml:space="preserve"> </w:t>
            </w:r>
          </w:p>
          <w:p w14:paraId="3455E1E0" w14:textId="77777777" w:rsidR="00CD1AD5" w:rsidRPr="0056681F" w:rsidRDefault="00CD1AD5" w:rsidP="00DE23C8">
            <w:pPr>
              <w:rPr>
                <w:rFonts w:ascii="David" w:hAnsi="David"/>
                <w:sz w:val="26"/>
                <w:szCs w:val="26"/>
              </w:rPr>
            </w:pPr>
          </w:p>
        </w:tc>
      </w:tr>
    </w:tbl>
    <w:p w14:paraId="394AFB17" w14:textId="77777777" w:rsidR="0056681F" w:rsidRPr="0056681F" w:rsidRDefault="0056681F" w:rsidP="0056681F">
      <w:pPr>
        <w:spacing w:before="120" w:after="120" w:line="240" w:lineRule="exact"/>
        <w:ind w:left="283" w:hanging="283"/>
        <w:jc w:val="both"/>
        <w:rPr>
          <w:rFonts w:ascii="FrankRuehl" w:hAnsi="FrankRuehl" w:cs="FrankRuehl"/>
          <w:rtl/>
        </w:rPr>
      </w:pPr>
    </w:p>
    <w:p w14:paraId="0C8F6505" w14:textId="77777777" w:rsidR="0056681F" w:rsidRPr="0056681F" w:rsidRDefault="0056681F" w:rsidP="0056681F">
      <w:pPr>
        <w:rPr>
          <w:sz w:val="26"/>
          <w:szCs w:val="26"/>
          <w:rtl/>
        </w:rPr>
      </w:pPr>
    </w:p>
    <w:p w14:paraId="7423251D" w14:textId="77777777" w:rsidR="007E1A31" w:rsidRPr="007E1A31" w:rsidRDefault="007E1A31" w:rsidP="007E1A31">
      <w:pPr>
        <w:spacing w:before="120" w:after="120" w:line="240" w:lineRule="exact"/>
        <w:ind w:left="283" w:hanging="283"/>
        <w:jc w:val="both"/>
        <w:rPr>
          <w:rFonts w:ascii="FrankRuehl" w:hAnsi="FrankRuehl" w:cs="FrankRuehl"/>
          <w:rtl/>
        </w:rPr>
      </w:pPr>
      <w:bookmarkStart w:id="2" w:name="LawTable"/>
      <w:bookmarkEnd w:id="2"/>
    </w:p>
    <w:p w14:paraId="0353C180" w14:textId="77777777" w:rsidR="007E1A31" w:rsidRPr="007E1A31" w:rsidRDefault="007E1A31" w:rsidP="007E1A31">
      <w:pPr>
        <w:spacing w:before="120" w:after="120" w:line="240" w:lineRule="exact"/>
        <w:ind w:left="283" w:hanging="283"/>
        <w:jc w:val="both"/>
        <w:rPr>
          <w:rFonts w:ascii="FrankRuehl" w:hAnsi="FrankRuehl" w:cs="FrankRuehl"/>
          <w:rtl/>
        </w:rPr>
      </w:pPr>
      <w:r w:rsidRPr="007E1A31">
        <w:rPr>
          <w:rFonts w:ascii="FrankRuehl" w:hAnsi="FrankRuehl" w:cs="FrankRuehl"/>
          <w:rtl/>
        </w:rPr>
        <w:t xml:space="preserve">חקיקה שאוזכרה: </w:t>
      </w:r>
    </w:p>
    <w:p w14:paraId="3F32F7A2" w14:textId="77777777" w:rsidR="007E1A31" w:rsidRPr="007E1A31" w:rsidRDefault="007E1A31" w:rsidP="007E1A31">
      <w:pPr>
        <w:spacing w:before="120" w:after="120" w:line="240" w:lineRule="exact"/>
        <w:ind w:left="283" w:hanging="283"/>
        <w:jc w:val="both"/>
        <w:rPr>
          <w:rFonts w:ascii="FrankRuehl" w:hAnsi="FrankRuehl" w:cs="FrankRuehl"/>
          <w:color w:val="0000FF"/>
          <w:rtl/>
        </w:rPr>
      </w:pPr>
      <w:hyperlink r:id="rId7" w:history="1">
        <w:r w:rsidRPr="007E1A31">
          <w:rPr>
            <w:rStyle w:val="Hyperlink"/>
            <w:rFonts w:ascii="FrankRuehl" w:hAnsi="FrankRuehl" w:cs="FrankRuehl"/>
            <w:u w:val="none"/>
            <w:rtl/>
          </w:rPr>
          <w:t>חוק העונשין, תשל"ז-1977</w:t>
        </w:r>
      </w:hyperlink>
      <w:r w:rsidRPr="007E1A31">
        <w:rPr>
          <w:rFonts w:ascii="FrankRuehl" w:hAnsi="FrankRuehl" w:cs="FrankRuehl"/>
          <w:color w:val="0000FF"/>
          <w:rtl/>
        </w:rPr>
        <w:t xml:space="preserve">: סע'  </w:t>
      </w:r>
      <w:hyperlink r:id="rId8" w:history="1">
        <w:r w:rsidRPr="007E1A31">
          <w:rPr>
            <w:rStyle w:val="Hyperlink"/>
            <w:rFonts w:ascii="FrankRuehl" w:hAnsi="FrankRuehl" w:cs="FrankRuehl"/>
            <w:u w:val="none"/>
          </w:rPr>
          <w:t>29</w:t>
        </w:r>
      </w:hyperlink>
      <w:r w:rsidRPr="007E1A31">
        <w:rPr>
          <w:rFonts w:ascii="FrankRuehl" w:hAnsi="FrankRuehl" w:cs="FrankRuehl"/>
          <w:color w:val="0000FF"/>
          <w:rtl/>
        </w:rPr>
        <w:t xml:space="preserve">, </w:t>
      </w:r>
      <w:hyperlink r:id="rId9" w:history="1">
        <w:r w:rsidRPr="007E1A31">
          <w:rPr>
            <w:rStyle w:val="Hyperlink"/>
            <w:rFonts w:ascii="FrankRuehl" w:hAnsi="FrankRuehl" w:cs="FrankRuehl"/>
            <w:u w:val="none"/>
          </w:rPr>
          <w:t>40</w:t>
        </w:r>
        <w:r w:rsidRPr="007E1A31">
          <w:rPr>
            <w:rStyle w:val="Hyperlink"/>
            <w:rFonts w:ascii="FrankRuehl" w:hAnsi="FrankRuehl" w:cs="FrankRuehl"/>
            <w:u w:val="none"/>
            <w:rtl/>
          </w:rPr>
          <w:t>ג</w:t>
        </w:r>
      </w:hyperlink>
      <w:r w:rsidRPr="007E1A31">
        <w:rPr>
          <w:rFonts w:ascii="FrankRuehl" w:hAnsi="FrankRuehl" w:cs="FrankRuehl"/>
          <w:color w:val="0000FF"/>
          <w:rtl/>
        </w:rPr>
        <w:t xml:space="preserve">(א), </w:t>
      </w:r>
      <w:hyperlink r:id="rId10" w:history="1">
        <w:r w:rsidRPr="007E1A31">
          <w:rPr>
            <w:rStyle w:val="Hyperlink"/>
            <w:rFonts w:ascii="FrankRuehl" w:hAnsi="FrankRuehl" w:cs="FrankRuehl"/>
            <w:u w:val="none"/>
          </w:rPr>
          <w:t>144</w:t>
        </w:r>
      </w:hyperlink>
      <w:r w:rsidRPr="007E1A31">
        <w:rPr>
          <w:rFonts w:ascii="FrankRuehl" w:hAnsi="FrankRuehl" w:cs="FrankRuehl"/>
          <w:color w:val="0000FF"/>
          <w:rtl/>
        </w:rPr>
        <w:t xml:space="preserve">(א), </w:t>
      </w:r>
      <w:hyperlink r:id="rId11" w:history="1">
        <w:r w:rsidRPr="007E1A31">
          <w:rPr>
            <w:rStyle w:val="Hyperlink"/>
            <w:rFonts w:ascii="FrankRuehl" w:hAnsi="FrankRuehl" w:cs="FrankRuehl"/>
            <w:u w:val="none"/>
          </w:rPr>
          <w:t>144</w:t>
        </w:r>
      </w:hyperlink>
      <w:r w:rsidRPr="007E1A31">
        <w:rPr>
          <w:rFonts w:ascii="FrankRuehl" w:hAnsi="FrankRuehl" w:cs="FrankRuehl"/>
          <w:color w:val="0000FF"/>
          <w:rtl/>
        </w:rPr>
        <w:t xml:space="preserve">(ב), </w:t>
      </w:r>
      <w:hyperlink r:id="rId12" w:history="1">
        <w:r w:rsidRPr="007E1A31">
          <w:rPr>
            <w:rStyle w:val="Hyperlink"/>
            <w:rFonts w:ascii="FrankRuehl" w:hAnsi="FrankRuehl" w:cs="FrankRuehl"/>
            <w:u w:val="none"/>
          </w:rPr>
          <w:t>144</w:t>
        </w:r>
      </w:hyperlink>
      <w:r w:rsidRPr="007E1A31">
        <w:rPr>
          <w:rFonts w:ascii="FrankRuehl" w:hAnsi="FrankRuehl" w:cs="FrankRuehl"/>
          <w:color w:val="0000FF"/>
          <w:rtl/>
        </w:rPr>
        <w:t>(ז)</w:t>
      </w:r>
    </w:p>
    <w:p w14:paraId="2152DB2C" w14:textId="77777777" w:rsidR="00CD1AD5" w:rsidRPr="007E1A31" w:rsidRDefault="00CD1AD5" w:rsidP="007E1A31">
      <w:pPr>
        <w:rPr>
          <w:sz w:val="26"/>
          <w:szCs w:val="26"/>
        </w:rPr>
      </w:pPr>
      <w:bookmarkStart w:id="3" w:name="LawTable_End"/>
      <w:bookmarkEnd w:id="3"/>
    </w:p>
    <w:p w14:paraId="02AEDEE3" w14:textId="77777777" w:rsidR="007E1A31" w:rsidRPr="0056681F" w:rsidRDefault="007E1A31" w:rsidP="0056681F">
      <w:pPr>
        <w:spacing w:before="240" w:after="240"/>
        <w:jc w:val="center"/>
        <w:rPr>
          <w:rFonts w:ascii="David" w:hAnsi="David"/>
          <w:b/>
          <w:bCs/>
          <w:sz w:val="32"/>
          <w:szCs w:val="32"/>
          <w:u w:val="single"/>
          <w:rtl/>
        </w:rPr>
      </w:pPr>
      <w:bookmarkStart w:id="4" w:name="PsakDin" w:colFirst="0" w:colLast="0"/>
      <w:bookmarkEnd w:id="0"/>
      <w:r w:rsidRPr="0056681F">
        <w:rPr>
          <w:rFonts w:ascii="David" w:hAnsi="David"/>
          <w:b/>
          <w:bCs/>
          <w:sz w:val="32"/>
          <w:szCs w:val="32"/>
          <w:u w:val="single"/>
          <w:rtl/>
        </w:rPr>
        <w:t>גזר דין</w:t>
      </w:r>
    </w:p>
    <w:p w14:paraId="09A94AEA" w14:textId="77777777" w:rsidR="007E1A31" w:rsidRPr="0056681F" w:rsidRDefault="007E1A31" w:rsidP="0056681F">
      <w:pPr>
        <w:spacing w:before="240" w:after="240"/>
        <w:jc w:val="center"/>
        <w:rPr>
          <w:rFonts w:ascii="David" w:hAnsi="David"/>
          <w:bCs/>
          <w:sz w:val="32"/>
          <w:szCs w:val="32"/>
          <w:u w:val="single"/>
          <w:rtl/>
        </w:rPr>
      </w:pPr>
    </w:p>
    <w:p w14:paraId="3EAB9913" w14:textId="77777777" w:rsidR="00CD1AD5" w:rsidRPr="00BA6A8B" w:rsidRDefault="00CD1AD5" w:rsidP="00CD1AD5">
      <w:pPr>
        <w:spacing w:before="240" w:after="240" w:line="360" w:lineRule="auto"/>
        <w:jc w:val="both"/>
        <w:rPr>
          <w:rFonts w:ascii="Arial" w:hAnsi="Arial"/>
          <w:rtl/>
        </w:rPr>
      </w:pPr>
      <w:bookmarkStart w:id="5" w:name="ABSTRACT_START"/>
      <w:bookmarkEnd w:id="4"/>
      <w:bookmarkEnd w:id="5"/>
      <w:r>
        <w:rPr>
          <w:rFonts w:ascii="Arial" w:hAnsi="Arial" w:hint="cs"/>
          <w:rtl/>
        </w:rPr>
        <w:t xml:space="preserve">הנאשם הורשע, על סמך הודאתו, בביצוע עבירה של החזקת נשק בניגוד </w:t>
      </w:r>
      <w:hyperlink r:id="rId13" w:history="1">
        <w:r w:rsidR="007E1A31" w:rsidRPr="007E1A31">
          <w:rPr>
            <w:rStyle w:val="Hyperlink"/>
            <w:rFonts w:ascii="Arial" w:hAnsi="Arial" w:hint="eastAsia"/>
            <w:rtl/>
          </w:rPr>
          <w:t>לסעיף</w:t>
        </w:r>
        <w:r w:rsidR="007E1A31" w:rsidRPr="007E1A31">
          <w:rPr>
            <w:rStyle w:val="Hyperlink"/>
            <w:rFonts w:ascii="Arial" w:hAnsi="Arial"/>
            <w:rtl/>
          </w:rPr>
          <w:t xml:space="preserve"> 144(א)</w:t>
        </w:r>
      </w:hyperlink>
      <w:r>
        <w:rPr>
          <w:rFonts w:ascii="Arial" w:hAnsi="Arial" w:hint="cs"/>
          <w:rtl/>
        </w:rPr>
        <w:t xml:space="preserve"> רישא ל</w:t>
      </w:r>
      <w:hyperlink r:id="rId14" w:history="1">
        <w:r w:rsidR="0056681F" w:rsidRPr="0056681F">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w:t>
      </w:r>
      <w:r w:rsidRPr="00956260">
        <w:rPr>
          <w:rFonts w:ascii="Arial" w:hAnsi="Arial" w:hint="eastAsia"/>
          <w:b/>
          <w:bCs/>
          <w:rtl/>
        </w:rPr>
        <w:t>חוק</w:t>
      </w:r>
      <w:r w:rsidRPr="00956260">
        <w:rPr>
          <w:rFonts w:ascii="Arial" w:hAnsi="Arial"/>
          <w:b/>
          <w:bCs/>
          <w:rtl/>
        </w:rPr>
        <w:t xml:space="preserve"> </w:t>
      </w:r>
      <w:r w:rsidRPr="00956260">
        <w:rPr>
          <w:rFonts w:ascii="Arial" w:hAnsi="Arial" w:hint="eastAsia"/>
          <w:b/>
          <w:bCs/>
          <w:rtl/>
        </w:rPr>
        <w:t>העונשין</w:t>
      </w:r>
      <w:r>
        <w:rPr>
          <w:rFonts w:ascii="Arial" w:hAnsi="Arial" w:hint="cs"/>
          <w:rtl/>
        </w:rPr>
        <w:t xml:space="preserve">") ובעבירה של החזקת אביזרי נשק ותחמושת בניגוד </w:t>
      </w:r>
      <w:hyperlink r:id="rId15" w:history="1">
        <w:r w:rsidR="007E1A31" w:rsidRPr="007E1A31">
          <w:rPr>
            <w:rStyle w:val="Hyperlink"/>
            <w:rFonts w:ascii="Arial" w:hAnsi="Arial" w:hint="eastAsia"/>
            <w:rtl/>
          </w:rPr>
          <w:t>לסעיף</w:t>
        </w:r>
        <w:r w:rsidR="007E1A31" w:rsidRPr="007E1A31">
          <w:rPr>
            <w:rStyle w:val="Hyperlink"/>
            <w:rFonts w:ascii="Arial" w:hAnsi="Arial"/>
            <w:rtl/>
          </w:rPr>
          <w:t xml:space="preserve"> 144(א)</w:t>
        </w:r>
      </w:hyperlink>
      <w:r>
        <w:rPr>
          <w:rFonts w:ascii="Arial" w:hAnsi="Arial" w:hint="cs"/>
          <w:rtl/>
        </w:rPr>
        <w:t xml:space="preserve"> סיפא לחוק העונשין. </w:t>
      </w:r>
    </w:p>
    <w:p w14:paraId="581C42DC" w14:textId="77777777" w:rsidR="00CD1AD5" w:rsidRPr="00266679" w:rsidRDefault="00CD1AD5" w:rsidP="00CD1AD5">
      <w:pPr>
        <w:spacing w:before="240" w:after="240" w:line="360" w:lineRule="auto"/>
        <w:jc w:val="both"/>
        <w:rPr>
          <w:rFonts w:ascii="Arial" w:hAnsi="Arial"/>
          <w:b/>
          <w:bCs/>
          <w:rtl/>
        </w:rPr>
      </w:pPr>
      <w:bookmarkStart w:id="6" w:name="ABSTRACT_END"/>
      <w:bookmarkEnd w:id="6"/>
      <w:r w:rsidRPr="00266679">
        <w:rPr>
          <w:rFonts w:ascii="Arial" w:hAnsi="Arial" w:hint="cs"/>
          <w:b/>
          <w:bCs/>
          <w:rtl/>
        </w:rPr>
        <w:t>תמצית עובדות כתב האישום:</w:t>
      </w:r>
    </w:p>
    <w:p w14:paraId="4F3DE217" w14:textId="77777777" w:rsidR="00CD1AD5" w:rsidRDefault="00CD1AD5" w:rsidP="00CD1AD5">
      <w:pPr>
        <w:spacing w:before="240" w:after="240" w:line="360" w:lineRule="auto"/>
        <w:jc w:val="both"/>
        <w:rPr>
          <w:rFonts w:ascii="Arial" w:hAnsi="Arial"/>
          <w:rtl/>
        </w:rPr>
      </w:pPr>
      <w:r>
        <w:rPr>
          <w:rFonts w:ascii="Arial" w:hAnsi="Arial" w:hint="cs"/>
          <w:rtl/>
        </w:rPr>
        <w:t xml:space="preserve">בתאריך 30.6.24 סמוך לשעה 6:00 במהלך חיפוש שערכו שוטרים בביתו של הנאשם בעוספיה, בפינת ישיבה מתחת לכרית עליה לן הנאשם, איתרו השוטרים אקדח מסוג </w:t>
      </w:r>
      <w:r>
        <w:rPr>
          <w:rFonts w:ascii="Arial" w:hAnsi="Arial"/>
        </w:rPr>
        <w:t>Glock</w:t>
      </w:r>
      <w:r>
        <w:rPr>
          <w:rFonts w:ascii="Arial" w:hAnsi="Arial" w:hint="cs"/>
          <w:rtl/>
        </w:rPr>
        <w:t xml:space="preserve"> קליבר 9 מ"מ פאראבלום, כשהוא טעון במחסנית תואמת, המכילה 5 כדורי תחמושת מסוג 9 מ"מ. </w:t>
      </w:r>
    </w:p>
    <w:p w14:paraId="141762FA" w14:textId="77777777" w:rsidR="00CD1AD5" w:rsidRDefault="00CD1AD5" w:rsidP="00CD1AD5">
      <w:pPr>
        <w:spacing w:before="240" w:after="240" w:line="360" w:lineRule="auto"/>
        <w:jc w:val="both"/>
        <w:rPr>
          <w:rFonts w:ascii="Arial" w:hAnsi="Arial"/>
          <w:rtl/>
        </w:rPr>
      </w:pPr>
      <w:r>
        <w:rPr>
          <w:rFonts w:ascii="Arial" w:hAnsi="Arial" w:hint="cs"/>
          <w:rtl/>
        </w:rPr>
        <w:t xml:space="preserve">בחדר שינה של הנאשם, נמצא כי הנאשם החזיק במגירה בשידה, שקית ניילון אפורה שהכילה 11 כדורי תחמושת מסוג 5.56 מ"מ. </w:t>
      </w:r>
    </w:p>
    <w:p w14:paraId="603CC365" w14:textId="77777777" w:rsidR="00CD1AD5" w:rsidRPr="00266679" w:rsidRDefault="00CD1AD5" w:rsidP="00CD1AD5">
      <w:pPr>
        <w:spacing w:before="240" w:after="240" w:line="360" w:lineRule="auto"/>
        <w:jc w:val="both"/>
        <w:rPr>
          <w:rFonts w:ascii="Arial" w:hAnsi="Arial"/>
          <w:b/>
          <w:bCs/>
          <w:rtl/>
        </w:rPr>
      </w:pPr>
      <w:r w:rsidRPr="00266679">
        <w:rPr>
          <w:rFonts w:ascii="Arial" w:hAnsi="Arial" w:hint="cs"/>
          <w:b/>
          <w:bCs/>
          <w:rtl/>
        </w:rPr>
        <w:t xml:space="preserve">ראיות לעונש: </w:t>
      </w:r>
    </w:p>
    <w:p w14:paraId="1620EAD6" w14:textId="77777777" w:rsidR="00CD1AD5" w:rsidRDefault="00CD1AD5" w:rsidP="00CD1AD5">
      <w:pPr>
        <w:spacing w:before="240" w:after="240" w:line="360" w:lineRule="auto"/>
        <w:jc w:val="both"/>
        <w:rPr>
          <w:rFonts w:ascii="Arial" w:hAnsi="Arial"/>
          <w:rtl/>
        </w:rPr>
      </w:pPr>
      <w:r>
        <w:rPr>
          <w:rFonts w:ascii="Arial" w:hAnsi="Arial" w:hint="cs"/>
          <w:rtl/>
        </w:rPr>
        <w:t xml:space="preserve">המאשימה הגישה צילום של האקדח והתחמושת מושא כתב האישום (טע/1). </w:t>
      </w:r>
    </w:p>
    <w:p w14:paraId="07DDD1DD" w14:textId="77777777" w:rsidR="00CD1AD5" w:rsidRDefault="00CD1AD5" w:rsidP="00CD1AD5">
      <w:pPr>
        <w:spacing w:before="240" w:after="240" w:line="360" w:lineRule="auto"/>
        <w:jc w:val="both"/>
        <w:rPr>
          <w:rFonts w:ascii="Arial" w:hAnsi="Arial"/>
          <w:rtl/>
        </w:rPr>
      </w:pPr>
      <w:r>
        <w:rPr>
          <w:rFonts w:ascii="Arial" w:hAnsi="Arial" w:hint="cs"/>
          <w:rtl/>
        </w:rPr>
        <w:lastRenderedPageBreak/>
        <w:t xml:space="preserve">ב"כ הנאשם הגישה מכתב של שר לשעבר, מר איוב קרא, בדבר אופיו של הנאשם (טע/4). </w:t>
      </w:r>
    </w:p>
    <w:p w14:paraId="63C8AEA6" w14:textId="77777777" w:rsidR="00CD1AD5" w:rsidRPr="00266679" w:rsidRDefault="00CD1AD5" w:rsidP="00CD1AD5">
      <w:pPr>
        <w:spacing w:before="240" w:after="240" w:line="360" w:lineRule="auto"/>
        <w:jc w:val="both"/>
        <w:rPr>
          <w:rFonts w:ascii="Arial" w:hAnsi="Arial"/>
          <w:b/>
          <w:bCs/>
          <w:rtl/>
        </w:rPr>
      </w:pPr>
      <w:r w:rsidRPr="00266679">
        <w:rPr>
          <w:rFonts w:ascii="Arial" w:hAnsi="Arial" w:hint="cs"/>
          <w:b/>
          <w:bCs/>
          <w:rtl/>
        </w:rPr>
        <w:t>טיעוני הצדדים לעונש:</w:t>
      </w:r>
    </w:p>
    <w:p w14:paraId="24E10C52" w14:textId="77777777" w:rsidR="00CD1AD5" w:rsidRDefault="00CD1AD5" w:rsidP="00CD1AD5">
      <w:pPr>
        <w:spacing w:before="240" w:after="240" w:line="360" w:lineRule="auto"/>
        <w:jc w:val="both"/>
        <w:rPr>
          <w:rFonts w:ascii="Arial" w:hAnsi="Arial"/>
          <w:rtl/>
        </w:rPr>
      </w:pPr>
      <w:r>
        <w:rPr>
          <w:rFonts w:ascii="Arial" w:hAnsi="Arial" w:hint="cs"/>
          <w:rtl/>
        </w:rPr>
        <w:t xml:space="preserve">המאשימה בטיעוניה בכתב (טע/2) ובעל פה, טענה כי הערכים החברתיים המוגנים אשר נפגעו מביצוע העבירות, הם הגנה על חיי אדם והגנה על שלום חייו, גופו ובטחונו של הציבור. עוד נטען, כי קיים פוטנציאל נזק אדיר בעבירות בנשק, כאשר נשק שמוחזק באופן לא חוקי מיועד לשימוש לא חוקי. ב"כ המאשימה הדגישה, כי יש לראות בחומרה את העובדה כי האקדח אותו החזיק הנאשם היה טעון במחסנית עם כדורים. </w:t>
      </w:r>
    </w:p>
    <w:p w14:paraId="68A25C7C" w14:textId="77777777" w:rsidR="00CD1AD5" w:rsidRDefault="00CD1AD5" w:rsidP="00CD1AD5">
      <w:pPr>
        <w:spacing w:before="240" w:after="240" w:line="360" w:lineRule="auto"/>
        <w:jc w:val="both"/>
        <w:rPr>
          <w:rFonts w:ascii="Arial" w:hAnsi="Arial"/>
          <w:rtl/>
        </w:rPr>
      </w:pPr>
      <w:r>
        <w:rPr>
          <w:rFonts w:ascii="Arial" w:hAnsi="Arial" w:hint="cs"/>
          <w:rtl/>
        </w:rPr>
        <w:t xml:space="preserve">ב"כ המאשימה הפנתה לפסקי דין רבים מהם ביקשה ללמוד על מדיניות הענישה הנוהגת, אך יוער כבר כעת כי חלק גדול מהפסיקה אליה הפנתה המאשימה הוא בעבירות של נשיאת נשק ולא החזקת נשק שלא כדין, כמו גם בגין החזקת כלי נשק ארוכים ולא אקדחים. יש לציין, כי הנחיות פרקליט המדינה אליהן הפנתה המאשימה, עושות הבחנה ברורה באשר למתחמים במקרים של אקדחים לעומת נשקים ארוכים. </w:t>
      </w:r>
    </w:p>
    <w:p w14:paraId="37C2F1D1" w14:textId="77777777" w:rsidR="00CD1AD5" w:rsidRDefault="00CD1AD5" w:rsidP="00CD1AD5">
      <w:pPr>
        <w:spacing w:before="240" w:after="240" w:line="360" w:lineRule="auto"/>
        <w:jc w:val="both"/>
        <w:rPr>
          <w:rFonts w:ascii="Arial" w:hAnsi="Arial"/>
          <w:rtl/>
        </w:rPr>
      </w:pPr>
      <w:r>
        <w:rPr>
          <w:rFonts w:ascii="Arial" w:hAnsi="Arial" w:hint="cs"/>
          <w:rtl/>
        </w:rPr>
        <w:t xml:space="preserve">המאשימה עתרה לקבוע כי מתחם העונש ההולם נע בין 24 ל- 36 חודשי מאסר בפועל, לצד ענישה נלוות. </w:t>
      </w:r>
    </w:p>
    <w:p w14:paraId="4CC3A090" w14:textId="77777777" w:rsidR="00CD1AD5" w:rsidRDefault="00CD1AD5" w:rsidP="00CD1AD5">
      <w:pPr>
        <w:spacing w:before="240" w:after="240" w:line="360" w:lineRule="auto"/>
        <w:jc w:val="both"/>
        <w:rPr>
          <w:rFonts w:ascii="Arial" w:hAnsi="Arial"/>
          <w:rtl/>
        </w:rPr>
      </w:pPr>
      <w:r>
        <w:rPr>
          <w:rFonts w:ascii="Arial" w:hAnsi="Arial" w:hint="cs"/>
          <w:rtl/>
        </w:rPr>
        <w:t>באשר לעונשו של הנאשם, בתוך מתחם העונש ההולם, בשים לב להעדר עבר פלילי לחובתו של הנאשם, עתרה המאשימה לגזור את עונשו של הנאשם בתחתית המתחם לו עתרה, לצד מאסר על תנאי מרתיע וקנס.</w:t>
      </w:r>
    </w:p>
    <w:p w14:paraId="07F392A7" w14:textId="77777777" w:rsidR="00CD1AD5" w:rsidRDefault="00CD1AD5" w:rsidP="00CD1AD5">
      <w:pPr>
        <w:spacing w:before="240" w:after="240" w:line="360" w:lineRule="auto"/>
        <w:jc w:val="both"/>
        <w:rPr>
          <w:rFonts w:ascii="Arial" w:hAnsi="Arial"/>
          <w:rtl/>
        </w:rPr>
      </w:pPr>
      <w:r>
        <w:rPr>
          <w:rFonts w:ascii="Arial" w:hAnsi="Arial" w:hint="cs"/>
          <w:rtl/>
        </w:rPr>
        <w:t xml:space="preserve">ב"כ הנאשם טענה כי המתחם לו עתרה המאשימה אינו מגובה במדיניות הענישה הנוהגת. עוד נטען, בהקשר זה, כי הפסיקה אליה הפנתה המאשימה אינה רלוונטית לענייננו, בשים לב לעובדה כי מדובר בנסיבות שונות מזה של הנאשם, כאשר חלק מהפסיקה מתייחסת לנשקים ארוכים, פסק דין נוסף מתייחס להחזקה של 2 אקדחים ופסיקה נוספת עניינה נשיאת נשק ולא החזקתו. </w:t>
      </w:r>
    </w:p>
    <w:p w14:paraId="264DB815" w14:textId="77777777" w:rsidR="00CD1AD5" w:rsidRDefault="00CD1AD5" w:rsidP="00CD1AD5">
      <w:pPr>
        <w:spacing w:before="240" w:after="240" w:line="360" w:lineRule="auto"/>
        <w:jc w:val="both"/>
        <w:rPr>
          <w:rFonts w:ascii="Arial" w:hAnsi="Arial"/>
          <w:rtl/>
        </w:rPr>
      </w:pPr>
      <w:r>
        <w:rPr>
          <w:rFonts w:ascii="Arial" w:hAnsi="Arial" w:hint="cs"/>
          <w:rtl/>
        </w:rPr>
        <w:t xml:space="preserve">ב"כ הנאשם הדגישה את הודאתו המיידית של הנאשם, נטילת האחריות על מעשיו, והבעת החרטה. עוד נטען כי מדובר בנאשם צעיר בגיל, ללא עבר פלילי, אשר השלים שירות מלא בצה"ל והוא בן למשפחה נורמטיבית. בהקשר זה הפנתה ב"כ הנאשם למכתבו של השר לשעבר מר איוב קרא (טע/4). על כן ביקשה ב"כ הנאשם להסתפק בעונש מאסר קצר. </w:t>
      </w:r>
    </w:p>
    <w:p w14:paraId="0E9BC5F0" w14:textId="77777777" w:rsidR="00CD1AD5" w:rsidRDefault="00CD1AD5" w:rsidP="00CD1AD5">
      <w:pPr>
        <w:spacing w:before="240" w:after="240" w:line="360" w:lineRule="auto"/>
        <w:jc w:val="both"/>
        <w:rPr>
          <w:rFonts w:ascii="Arial" w:hAnsi="Arial"/>
          <w:rtl/>
        </w:rPr>
      </w:pPr>
      <w:r w:rsidRPr="00956260">
        <w:rPr>
          <w:rFonts w:ascii="Arial" w:hAnsi="Arial" w:hint="cs"/>
          <w:b/>
          <w:bCs/>
          <w:rtl/>
        </w:rPr>
        <w:t>הנאשם</w:t>
      </w:r>
      <w:r>
        <w:rPr>
          <w:rFonts w:ascii="Arial" w:hAnsi="Arial" w:hint="cs"/>
          <w:rtl/>
        </w:rPr>
        <w:t xml:space="preserve"> הביע חרטה על מעשיו. </w:t>
      </w:r>
    </w:p>
    <w:p w14:paraId="09054688" w14:textId="77777777" w:rsidR="00CD1AD5" w:rsidRDefault="00CD1AD5" w:rsidP="00CD1AD5">
      <w:pPr>
        <w:spacing w:before="240" w:after="240" w:line="360" w:lineRule="auto"/>
        <w:jc w:val="both"/>
        <w:rPr>
          <w:rFonts w:ascii="Arial" w:hAnsi="Arial"/>
          <w:b/>
          <w:bCs/>
        </w:rPr>
      </w:pPr>
      <w:r>
        <w:rPr>
          <w:rFonts w:ascii="Arial" w:hAnsi="Arial"/>
          <w:b/>
          <w:bCs/>
          <w:rtl/>
        </w:rPr>
        <w:t>דיון והכרעה :</w:t>
      </w:r>
    </w:p>
    <w:p w14:paraId="2A6F87AE" w14:textId="77777777" w:rsidR="00CD1AD5" w:rsidRPr="00CD1AD5" w:rsidRDefault="00CD1AD5" w:rsidP="00CD1AD5">
      <w:pPr>
        <w:spacing w:before="240" w:after="240" w:line="360" w:lineRule="auto"/>
        <w:jc w:val="both"/>
        <w:rPr>
          <w:rFonts w:ascii="Calibri" w:eastAsia="Calibri" w:hAnsi="Calibri"/>
        </w:rPr>
      </w:pPr>
      <w:r w:rsidRPr="00CD1AD5">
        <w:rPr>
          <w:rFonts w:ascii="Calibri" w:eastAsia="Calibri" w:hAnsi="Calibri"/>
          <w:rtl/>
        </w:rPr>
        <w:lastRenderedPageBreak/>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6" w:history="1">
        <w:r w:rsidR="0056681F" w:rsidRPr="0056681F">
          <w:rPr>
            <w:rFonts w:ascii="Calibri" w:eastAsia="Calibri" w:hAnsi="Calibri" w:hint="cs"/>
            <w:color w:val="0000FF"/>
            <w:u w:val="single"/>
            <w:rtl/>
          </w:rPr>
          <w:t>ע</w:t>
        </w:r>
        <w:r w:rsidR="0056681F" w:rsidRPr="0056681F">
          <w:rPr>
            <w:rFonts w:ascii="Calibri" w:eastAsia="Calibri" w:hAnsi="Calibri"/>
            <w:color w:val="0000FF"/>
            <w:u w:val="single"/>
            <w:rtl/>
          </w:rPr>
          <w:t>"</w:t>
        </w:r>
        <w:r w:rsidR="0056681F" w:rsidRPr="0056681F">
          <w:rPr>
            <w:rFonts w:ascii="Calibri" w:eastAsia="Calibri" w:hAnsi="Calibri" w:hint="cs"/>
            <w:color w:val="0000FF"/>
            <w:u w:val="single"/>
            <w:rtl/>
          </w:rPr>
          <w:t>פ</w:t>
        </w:r>
        <w:r w:rsidR="0056681F" w:rsidRPr="0056681F">
          <w:rPr>
            <w:rFonts w:ascii="Calibri" w:eastAsia="Calibri" w:hAnsi="Calibri"/>
            <w:color w:val="0000FF"/>
            <w:u w:val="single"/>
            <w:rtl/>
          </w:rPr>
          <w:t xml:space="preserve"> 8641/12</w:t>
        </w:r>
      </w:hyperlink>
      <w:r w:rsidRPr="00CD1AD5">
        <w:rPr>
          <w:rFonts w:ascii="Calibri" w:eastAsia="Calibri" w:hAnsi="Calibri"/>
          <w:rtl/>
        </w:rPr>
        <w:t xml:space="preserve"> </w:t>
      </w:r>
      <w:r w:rsidRPr="00CD1AD5">
        <w:rPr>
          <w:rFonts w:ascii="Calibri" w:eastAsia="Calibri" w:hAnsi="Calibri"/>
          <w:b/>
          <w:bCs/>
          <w:rtl/>
        </w:rPr>
        <w:t>מוחמד סעד נ' מ"י</w:t>
      </w:r>
      <w:r w:rsidRPr="00CD1AD5">
        <w:rPr>
          <w:rFonts w:ascii="Calibri" w:eastAsia="Calibri" w:hAnsi="Calibri"/>
          <w:rtl/>
        </w:rPr>
        <w:t xml:space="preserve"> (5.8.13)).</w:t>
      </w:r>
    </w:p>
    <w:p w14:paraId="13B4E180" w14:textId="77777777" w:rsidR="00CD1AD5" w:rsidRDefault="00CD1AD5" w:rsidP="00CD1AD5">
      <w:pPr>
        <w:spacing w:before="240" w:after="240" w:line="360" w:lineRule="auto"/>
        <w:jc w:val="both"/>
        <w:rPr>
          <w:rFonts w:ascii="David" w:hAnsi="David"/>
          <w:rtl/>
        </w:rPr>
      </w:pPr>
      <w:r>
        <w:rPr>
          <w:rFonts w:ascii="David" w:hAnsi="David"/>
          <w:b/>
          <w:bCs/>
          <w:rtl/>
        </w:rPr>
        <w:t>הערך החברתי המוגן</w:t>
      </w:r>
      <w:r>
        <w:rPr>
          <w:rFonts w:ascii="David" w:hAnsi="David"/>
          <w:rtl/>
        </w:rPr>
        <w:t xml:space="preserve"> שנפגע </w:t>
      </w:r>
      <w:r>
        <w:rPr>
          <w:rFonts w:ascii="David" w:hAnsi="David" w:hint="cs"/>
          <w:rtl/>
        </w:rPr>
        <w:t>מביצוע עבירות של החזקת נשק ותחמושת, הו</w:t>
      </w:r>
      <w:r>
        <w:rPr>
          <w:rFonts w:ascii="David" w:hAnsi="David"/>
          <w:rtl/>
        </w:rPr>
        <w:t xml:space="preserve">א ערך של הגנה על חיי אדם והגנה על תחושת הביטחון של הציבור. </w:t>
      </w:r>
      <w:r>
        <w:rPr>
          <w:rFonts w:ascii="David" w:hAnsi="David" w:hint="cs"/>
          <w:rtl/>
        </w:rPr>
        <w:t xml:space="preserve"> </w:t>
      </w:r>
    </w:p>
    <w:p w14:paraId="1D3BA353" w14:textId="77777777" w:rsidR="00CD1AD5" w:rsidRDefault="00CD1AD5" w:rsidP="00CD1AD5">
      <w:pPr>
        <w:spacing w:before="240" w:after="240" w:line="360" w:lineRule="auto"/>
        <w:jc w:val="both"/>
        <w:rPr>
          <w:rFonts w:ascii="David" w:hAnsi="David"/>
          <w:b/>
          <w:bCs/>
        </w:rPr>
      </w:pPr>
      <w:r>
        <w:rPr>
          <w:rFonts w:ascii="David" w:hAnsi="David"/>
          <w:rtl/>
        </w:rPr>
        <w:t>באשר לחומרה היתרה שיש לראות בביצוע עבירות בנשק, קבע בית המשפט העליון ב</w:t>
      </w:r>
      <w:hyperlink r:id="rId17" w:history="1">
        <w:r w:rsidR="0056681F" w:rsidRPr="0056681F">
          <w:rPr>
            <w:rFonts w:ascii="David" w:hAnsi="David"/>
            <w:color w:val="0000FF"/>
            <w:u w:val="single"/>
            <w:rtl/>
          </w:rPr>
          <w:t>ע"פ 1945/13</w:t>
        </w:r>
      </w:hyperlink>
      <w:r w:rsidRPr="00D30C38">
        <w:rPr>
          <w:rFonts w:ascii="David" w:hAnsi="David"/>
          <w:rtl/>
        </w:rPr>
        <w:t xml:space="preserve"> </w:t>
      </w:r>
      <w:r>
        <w:rPr>
          <w:rFonts w:ascii="David" w:hAnsi="David"/>
          <w:b/>
          <w:bCs/>
          <w:rtl/>
        </w:rPr>
        <w:t xml:space="preserve">מדינת ישראל נ' עבד אל כרים סלימאן, </w:t>
      </w:r>
      <w:r>
        <w:rPr>
          <w:rFonts w:ascii="David" w:hAnsi="David"/>
          <w:rtl/>
        </w:rPr>
        <w:t>(19.1.14) מדיניות ברורה:</w:t>
      </w:r>
    </w:p>
    <w:p w14:paraId="13F566FF" w14:textId="77777777" w:rsidR="00CD1AD5" w:rsidRDefault="00CD1AD5" w:rsidP="00CD1AD5">
      <w:pPr>
        <w:spacing w:before="240" w:after="240" w:line="360" w:lineRule="auto"/>
        <w:ind w:left="850"/>
        <w:jc w:val="both"/>
        <w:rPr>
          <w:rFonts w:ascii="David" w:hAnsi="David"/>
          <w:b/>
          <w:bCs/>
          <w:rtl/>
        </w:rPr>
      </w:pP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487CEED2" w14:textId="77777777" w:rsidR="00CD1AD5" w:rsidRDefault="00CD1AD5" w:rsidP="00CD1AD5">
      <w:pPr>
        <w:spacing w:before="240" w:after="240" w:line="360" w:lineRule="auto"/>
        <w:jc w:val="both"/>
        <w:rPr>
          <w:rFonts w:ascii="David" w:hAnsi="David"/>
          <w:rtl/>
        </w:rPr>
      </w:pPr>
      <w:r>
        <w:rPr>
          <w:rFonts w:ascii="David" w:hAnsi="David"/>
          <w:rtl/>
        </w:rPr>
        <w:t>לאחרונה תוקן החוק, באופן שקבע כי העונש שיושת על מבצע העבירה יתחיל מרבע העונש המרבי שנקבע לעבירה, אלא אם החליט בית המשפט מטעמים מיוחדים להקל בעונש, והעונש לא יהיה כולו על תנאי (</w:t>
      </w:r>
      <w:hyperlink r:id="rId18" w:history="1">
        <w:r w:rsidR="007E1A31" w:rsidRPr="007E1A31">
          <w:rPr>
            <w:rStyle w:val="Hyperlink"/>
            <w:rFonts w:ascii="David" w:hAnsi="David"/>
            <w:rtl/>
          </w:rPr>
          <w:t>סעיף 144(ז)</w:t>
        </w:r>
      </w:hyperlink>
      <w:r w:rsidRPr="00D30C38">
        <w:rPr>
          <w:rFonts w:ascii="David" w:hAnsi="David"/>
          <w:rtl/>
        </w:rPr>
        <w:t xml:space="preserve"> ל</w:t>
      </w:r>
      <w:hyperlink r:id="rId19" w:history="1">
        <w:r w:rsidR="0056681F" w:rsidRPr="0056681F">
          <w:rPr>
            <w:rFonts w:ascii="David" w:hAnsi="David"/>
            <w:color w:val="0000FF"/>
            <w:u w:val="single"/>
            <w:rtl/>
          </w:rPr>
          <w:t>חוק העונשין</w:t>
        </w:r>
      </w:hyperlink>
      <w:r w:rsidRPr="00D30C38">
        <w:rPr>
          <w:rFonts w:ascii="David" w:hAnsi="David"/>
          <w:rtl/>
        </w:rPr>
        <w:t>,</w:t>
      </w:r>
      <w:r>
        <w:rPr>
          <w:rFonts w:ascii="David" w:hAnsi="David" w:hint="cs"/>
          <w:rtl/>
        </w:rPr>
        <w:t xml:space="preserve"> חוק העונשין</w:t>
      </w:r>
      <w:r>
        <w:rPr>
          <w:rFonts w:ascii="David" w:hAnsi="David"/>
          <w:rtl/>
        </w:rPr>
        <w:t xml:space="preserve"> (תיקון מס' 140 - הוראת שעה), התשפ"ב-2021).  </w:t>
      </w:r>
    </w:p>
    <w:p w14:paraId="7BE2D23D" w14:textId="77777777" w:rsidR="00CD1AD5" w:rsidRDefault="00CD1AD5" w:rsidP="00CD1AD5">
      <w:pPr>
        <w:spacing w:before="240" w:after="240" w:line="360" w:lineRule="auto"/>
        <w:jc w:val="both"/>
        <w:rPr>
          <w:rFonts w:ascii="David" w:hAnsi="David"/>
        </w:rPr>
      </w:pPr>
      <w:r>
        <w:rPr>
          <w:rFonts w:ascii="David" w:hAnsi="David"/>
          <w:rtl/>
        </w:rPr>
        <w:t>בפסיקה נקבע, כי החזקתו</w:t>
      </w:r>
      <w:r>
        <w:rPr>
          <w:rFonts w:ascii="David" w:hAnsi="David"/>
        </w:rPr>
        <w:t xml:space="preserve"> </w:t>
      </w:r>
      <w:r>
        <w:rPr>
          <w:rFonts w:ascii="David" w:hAnsi="David"/>
          <w:rtl/>
        </w:rPr>
        <w:t>של</w:t>
      </w:r>
      <w:r>
        <w:rPr>
          <w:rFonts w:ascii="David" w:hAnsi="David"/>
        </w:rPr>
        <w:t xml:space="preserve"> </w:t>
      </w:r>
      <w:r>
        <w:rPr>
          <w:rFonts w:ascii="David" w:hAnsi="David"/>
          <w:rtl/>
        </w:rPr>
        <w:t>נשק</w:t>
      </w:r>
      <w:r>
        <w:rPr>
          <w:rFonts w:ascii="David" w:hAnsi="David"/>
        </w:rPr>
        <w:t xml:space="preserve"> </w:t>
      </w:r>
      <w:r>
        <w:rPr>
          <w:rFonts w:ascii="David" w:hAnsi="David"/>
          <w:rtl/>
        </w:rPr>
        <w:t>חם</w:t>
      </w:r>
      <w:r>
        <w:rPr>
          <w:rFonts w:ascii="David" w:hAnsi="David"/>
        </w:rPr>
        <w:t xml:space="preserve"> </w:t>
      </w:r>
      <w:r>
        <w:rPr>
          <w:rFonts w:ascii="David" w:hAnsi="David"/>
          <w:rtl/>
        </w:rPr>
        <w:t>באופן</w:t>
      </w:r>
      <w:r>
        <w:rPr>
          <w:rFonts w:ascii="David" w:hAnsi="David"/>
        </w:rPr>
        <w:t xml:space="preserve"> </w:t>
      </w:r>
      <w:r>
        <w:rPr>
          <w:rFonts w:ascii="David" w:hAnsi="David"/>
          <w:rtl/>
        </w:rPr>
        <w:t>בלתי</w:t>
      </w:r>
      <w:r>
        <w:rPr>
          <w:rFonts w:ascii="David" w:hAnsi="David"/>
        </w:rPr>
        <w:t xml:space="preserve"> </w:t>
      </w:r>
      <w:r>
        <w:rPr>
          <w:rFonts w:ascii="David" w:hAnsi="David"/>
          <w:rtl/>
        </w:rPr>
        <w:t>חוקי,</w:t>
      </w:r>
      <w:r>
        <w:rPr>
          <w:rFonts w:ascii="David" w:hAnsi="David"/>
        </w:rPr>
        <w:t xml:space="preserve"> </w:t>
      </w:r>
      <w:r>
        <w:rPr>
          <w:rFonts w:ascii="David" w:hAnsi="David"/>
          <w:rtl/>
        </w:rPr>
        <w:t>עלול להוביל</w:t>
      </w:r>
      <w:r>
        <w:rPr>
          <w:rFonts w:ascii="David" w:hAnsi="David"/>
        </w:rPr>
        <w:t xml:space="preserve"> </w:t>
      </w:r>
      <w:r>
        <w:rPr>
          <w:rFonts w:ascii="David" w:hAnsi="David"/>
          <w:rtl/>
        </w:rPr>
        <w:t>לאלימות</w:t>
      </w:r>
      <w:r>
        <w:rPr>
          <w:rFonts w:ascii="David" w:hAnsi="David"/>
        </w:rPr>
        <w:t xml:space="preserve"> </w:t>
      </w:r>
      <w:r>
        <w:rPr>
          <w:rFonts w:ascii="David" w:hAnsi="David"/>
          <w:rtl/>
        </w:rPr>
        <w:t>קשה</w:t>
      </w:r>
      <w:r>
        <w:rPr>
          <w:rFonts w:ascii="David" w:hAnsi="David"/>
        </w:rPr>
        <w:t xml:space="preserve"> </w:t>
      </w:r>
      <w:r>
        <w:rPr>
          <w:rFonts w:ascii="David" w:hAnsi="David"/>
          <w:rtl/>
        </w:rPr>
        <w:t>עד</w:t>
      </w:r>
      <w:r>
        <w:rPr>
          <w:rFonts w:ascii="David" w:hAnsi="David"/>
        </w:rPr>
        <w:t xml:space="preserve"> </w:t>
      </w:r>
      <w:r>
        <w:rPr>
          <w:rFonts w:ascii="David" w:hAnsi="David"/>
          <w:rtl/>
        </w:rPr>
        <w:t>קטלנית. זמינות כלי</w:t>
      </w:r>
      <w:r>
        <w:rPr>
          <w:rFonts w:ascii="David" w:hAnsi="David"/>
        </w:rPr>
        <w:t xml:space="preserve"> </w:t>
      </w:r>
      <w:r>
        <w:rPr>
          <w:rFonts w:ascii="David" w:hAnsi="David"/>
          <w:rtl/>
        </w:rPr>
        <w:t>הנשק</w:t>
      </w:r>
      <w:r>
        <w:rPr>
          <w:rFonts w:ascii="David" w:hAnsi="David"/>
        </w:rPr>
        <w:t xml:space="preserve"> </w:t>
      </w:r>
      <w:r>
        <w:rPr>
          <w:rFonts w:ascii="David" w:hAnsi="David"/>
          <w:rtl/>
        </w:rPr>
        <w:t>העוברים</w:t>
      </w:r>
      <w:r>
        <w:rPr>
          <w:rFonts w:ascii="David" w:hAnsi="David"/>
        </w:rPr>
        <w:t xml:space="preserve"> </w:t>
      </w:r>
      <w:r>
        <w:rPr>
          <w:rFonts w:ascii="David" w:hAnsi="David"/>
          <w:rtl/>
        </w:rPr>
        <w:t>מיד</w:t>
      </w:r>
      <w:r>
        <w:rPr>
          <w:rFonts w:ascii="David" w:hAnsi="David"/>
        </w:rPr>
        <w:t xml:space="preserve"> </w:t>
      </w:r>
      <w:r>
        <w:rPr>
          <w:rFonts w:ascii="David" w:hAnsi="David"/>
          <w:rtl/>
        </w:rPr>
        <w:t>ליד, אם</w:t>
      </w:r>
      <w:r>
        <w:rPr>
          <w:rFonts w:ascii="David" w:hAnsi="David"/>
        </w:rPr>
        <w:t xml:space="preserve"> </w:t>
      </w:r>
      <w:r>
        <w:rPr>
          <w:rFonts w:ascii="David" w:hAnsi="David"/>
          <w:rtl/>
        </w:rPr>
        <w:t>לידיים</w:t>
      </w:r>
      <w:r>
        <w:rPr>
          <w:rFonts w:ascii="David" w:hAnsi="David"/>
        </w:rPr>
        <w:t xml:space="preserve"> </w:t>
      </w:r>
      <w:r>
        <w:rPr>
          <w:rFonts w:ascii="David" w:hAnsi="David"/>
          <w:rtl/>
        </w:rPr>
        <w:t>עוינות ואם לידיים פליליות, תורמים</w:t>
      </w:r>
      <w:r>
        <w:rPr>
          <w:rFonts w:ascii="David" w:hAnsi="David"/>
        </w:rPr>
        <w:t xml:space="preserve"> </w:t>
      </w:r>
      <w:r>
        <w:rPr>
          <w:rFonts w:ascii="David" w:hAnsi="David"/>
          <w:rtl/>
        </w:rPr>
        <w:t>להגדלת</w:t>
      </w:r>
      <w:r>
        <w:rPr>
          <w:rFonts w:ascii="David" w:hAnsi="David"/>
        </w:rPr>
        <w:t xml:space="preserve"> </w:t>
      </w:r>
      <w:r>
        <w:rPr>
          <w:rFonts w:ascii="David" w:hAnsi="David"/>
          <w:rtl/>
        </w:rPr>
        <w:t>מעגל</w:t>
      </w:r>
      <w:r>
        <w:rPr>
          <w:rFonts w:ascii="David" w:hAnsi="David"/>
        </w:rPr>
        <w:t xml:space="preserve"> </w:t>
      </w:r>
      <w:r>
        <w:rPr>
          <w:rFonts w:ascii="David" w:hAnsi="David"/>
          <w:rtl/>
        </w:rPr>
        <w:t>האלימות</w:t>
      </w:r>
      <w:r>
        <w:rPr>
          <w:rFonts w:ascii="David" w:hAnsi="David"/>
        </w:rPr>
        <w:t xml:space="preserve"> </w:t>
      </w:r>
      <w:r>
        <w:rPr>
          <w:rFonts w:ascii="David" w:hAnsi="David"/>
          <w:rtl/>
        </w:rPr>
        <w:t>ולתוצאות</w:t>
      </w:r>
      <w:r>
        <w:rPr>
          <w:rFonts w:ascii="David" w:hAnsi="David"/>
        </w:rPr>
        <w:t xml:space="preserve"> </w:t>
      </w:r>
      <w:r>
        <w:rPr>
          <w:rFonts w:ascii="David" w:hAnsi="David"/>
          <w:rtl/>
        </w:rPr>
        <w:t>הקשות</w:t>
      </w:r>
      <w:r>
        <w:rPr>
          <w:rFonts w:ascii="David" w:hAnsi="David"/>
        </w:rPr>
        <w:t xml:space="preserve"> </w:t>
      </w:r>
      <w:r>
        <w:rPr>
          <w:rFonts w:ascii="David" w:hAnsi="David"/>
          <w:rtl/>
        </w:rPr>
        <w:t>הנובעות</w:t>
      </w:r>
      <w:r>
        <w:rPr>
          <w:rFonts w:ascii="David" w:hAnsi="David"/>
        </w:rPr>
        <w:t xml:space="preserve"> </w:t>
      </w:r>
      <w:r>
        <w:rPr>
          <w:rFonts w:ascii="David" w:hAnsi="David"/>
          <w:rtl/>
        </w:rPr>
        <w:t xml:space="preserve">מכך. בשנים האחרונות אנו עדים לגל אלימות קשה תוך שימוש בנשק חם הגובה חיי אדם. </w:t>
      </w:r>
    </w:p>
    <w:p w14:paraId="47A87A33" w14:textId="77777777" w:rsidR="00CD1AD5" w:rsidRDefault="00CD1AD5" w:rsidP="00CD1AD5">
      <w:pPr>
        <w:spacing w:before="240" w:after="240" w:line="360" w:lineRule="auto"/>
        <w:jc w:val="both"/>
        <w:rPr>
          <w:rFonts w:ascii="David" w:hAnsi="David"/>
          <w:rtl/>
        </w:rPr>
      </w:pPr>
      <w:r>
        <w:rPr>
          <w:rFonts w:ascii="David" w:hAnsi="David"/>
          <w:rtl/>
        </w:rPr>
        <w:t xml:space="preserve">לעניין זה ראה ע"פ 1332/04 </w:t>
      </w:r>
      <w:r>
        <w:rPr>
          <w:rFonts w:ascii="David" w:hAnsi="David"/>
          <w:b/>
          <w:bCs/>
          <w:rtl/>
        </w:rPr>
        <w:t>מדינת ישראל נ' פס</w:t>
      </w:r>
      <w:r>
        <w:rPr>
          <w:rFonts w:ascii="David" w:hAnsi="David"/>
          <w:rtl/>
        </w:rPr>
        <w:t>, פ"ד נח (5), 541 בעמ' 545:</w:t>
      </w:r>
    </w:p>
    <w:p w14:paraId="2564E31A" w14:textId="77777777" w:rsidR="00CD1AD5" w:rsidRDefault="00CD1AD5" w:rsidP="00CD1AD5">
      <w:pPr>
        <w:spacing w:before="240" w:after="240" w:line="360" w:lineRule="auto"/>
        <w:ind w:left="850"/>
        <w:jc w:val="both"/>
        <w:rPr>
          <w:rFonts w:ascii="David" w:hAnsi="David"/>
          <w:rtl/>
        </w:rPr>
      </w:pPr>
      <w:r>
        <w:rPr>
          <w:rFonts w:ascii="David" w:hAnsi="David"/>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2A69177E" w14:textId="77777777" w:rsidR="00CD1AD5" w:rsidRDefault="00CD1AD5" w:rsidP="00CD1AD5">
      <w:pPr>
        <w:spacing w:before="240" w:after="240" w:line="360" w:lineRule="auto"/>
        <w:jc w:val="both"/>
        <w:rPr>
          <w:rFonts w:ascii="David" w:hAnsi="David"/>
          <w:rtl/>
        </w:rPr>
      </w:pPr>
      <w:r>
        <w:rPr>
          <w:rFonts w:ascii="David" w:hAnsi="David"/>
          <w:b/>
          <w:bCs/>
          <w:rtl/>
        </w:rPr>
        <w:t xml:space="preserve">באשר לנסיבות הקשורות בביצוע העבירות: </w:t>
      </w:r>
    </w:p>
    <w:p w14:paraId="1CB6F559" w14:textId="77777777" w:rsidR="00CD1AD5" w:rsidRDefault="00CD1AD5" w:rsidP="00CD1AD5">
      <w:pPr>
        <w:spacing w:before="240" w:after="240" w:line="360" w:lineRule="auto"/>
        <w:jc w:val="both"/>
        <w:rPr>
          <w:rFonts w:ascii="David" w:hAnsi="David"/>
          <w:color w:val="000000"/>
          <w:rtl/>
        </w:rPr>
      </w:pPr>
      <w:r>
        <w:rPr>
          <w:rFonts w:ascii="David" w:hAnsi="David"/>
          <w:b/>
          <w:bCs/>
          <w:rtl/>
        </w:rPr>
        <w:t>התכנון שקדם לביצוע העבירות</w:t>
      </w:r>
      <w:r>
        <w:rPr>
          <w:rFonts w:ascii="David" w:hAnsi="David"/>
          <w:rtl/>
        </w:rPr>
        <w:t xml:space="preserve">: הנאשם החזיק </w:t>
      </w:r>
      <w:r>
        <w:rPr>
          <w:rFonts w:ascii="David" w:hAnsi="David" w:hint="cs"/>
          <w:rtl/>
        </w:rPr>
        <w:t xml:space="preserve">אקדח </w:t>
      </w:r>
      <w:r>
        <w:rPr>
          <w:rFonts w:ascii="David" w:hAnsi="David"/>
          <w:rtl/>
        </w:rPr>
        <w:t>טעו</w:t>
      </w:r>
      <w:r>
        <w:rPr>
          <w:rFonts w:ascii="David" w:hAnsi="David" w:hint="cs"/>
          <w:rtl/>
        </w:rPr>
        <w:t xml:space="preserve">ן </w:t>
      </w:r>
      <w:r>
        <w:rPr>
          <w:rFonts w:ascii="David" w:hAnsi="David"/>
          <w:rtl/>
        </w:rPr>
        <w:t>במחסנית עם כדורים,</w:t>
      </w:r>
      <w:r>
        <w:rPr>
          <w:rFonts w:ascii="David" w:hAnsi="David" w:hint="cs"/>
          <w:rtl/>
        </w:rPr>
        <w:t xml:space="preserve"> מתחת לכרית בפינת ישיבה בביתו כשהנשק בהישג ידו באופן מיידי</w:t>
      </w:r>
      <w:r>
        <w:rPr>
          <w:rFonts w:ascii="David" w:hAnsi="David" w:hint="cs"/>
        </w:rPr>
        <w:t xml:space="preserve"> </w:t>
      </w:r>
      <w:r>
        <w:rPr>
          <w:rFonts w:ascii="David" w:hAnsi="David"/>
          <w:rtl/>
        </w:rPr>
        <w:t xml:space="preserve">ומכאן שמדובר בביצוע עבירה מתוכננת מראש. </w:t>
      </w:r>
      <w:r>
        <w:rPr>
          <w:rFonts w:ascii="David" w:hAnsi="David" w:hint="cs"/>
          <w:rtl/>
        </w:rPr>
        <w:t xml:space="preserve"> </w:t>
      </w:r>
    </w:p>
    <w:p w14:paraId="31EF1021" w14:textId="77777777" w:rsidR="00CD1AD5" w:rsidRDefault="00CD1AD5" w:rsidP="00CD1AD5">
      <w:pPr>
        <w:spacing w:before="240" w:after="240" w:line="360" w:lineRule="auto"/>
        <w:jc w:val="both"/>
        <w:rPr>
          <w:rFonts w:ascii="David" w:hAnsi="David"/>
          <w:color w:val="000000"/>
          <w:rtl/>
        </w:rPr>
      </w:pPr>
      <w:r>
        <w:rPr>
          <w:rFonts w:ascii="David" w:hAnsi="David"/>
          <w:b/>
          <w:bCs/>
          <w:color w:val="000000"/>
          <w:rtl/>
        </w:rPr>
        <w:t xml:space="preserve">חלקו של הנאשם בביצוע העבירות: </w:t>
      </w:r>
      <w:r>
        <w:rPr>
          <w:rFonts w:ascii="David" w:hAnsi="David"/>
          <w:color w:val="000000"/>
          <w:rtl/>
        </w:rPr>
        <w:t xml:space="preserve"> חלקו של הנאשם בביצוע העבירות היה בלעדי, כאשר מיקום כלי הנשק </w:t>
      </w:r>
      <w:r>
        <w:rPr>
          <w:rFonts w:ascii="David" w:hAnsi="David" w:hint="cs"/>
          <w:color w:val="000000"/>
          <w:rtl/>
        </w:rPr>
        <w:t xml:space="preserve">מתחת לכרית עליה לן בעת החיפוש, כשהנשק טעון </w:t>
      </w:r>
      <w:r>
        <w:rPr>
          <w:rFonts w:ascii="David" w:hAnsi="David"/>
          <w:color w:val="000000"/>
          <w:rtl/>
        </w:rPr>
        <w:t xml:space="preserve">בכדורים, מלמד על הזמינות והמוכנות לעשות </w:t>
      </w:r>
      <w:r>
        <w:rPr>
          <w:rFonts w:ascii="David" w:hAnsi="David" w:hint="cs"/>
          <w:color w:val="000000"/>
          <w:rtl/>
        </w:rPr>
        <w:t>בו</w:t>
      </w:r>
      <w:r>
        <w:rPr>
          <w:rFonts w:ascii="David" w:hAnsi="David"/>
          <w:color w:val="000000"/>
          <w:rtl/>
        </w:rPr>
        <w:t xml:space="preserve"> שימוש. </w:t>
      </w:r>
    </w:p>
    <w:p w14:paraId="3B4A8FB1" w14:textId="77777777" w:rsidR="00CD1AD5" w:rsidRDefault="00CD1AD5" w:rsidP="00CD1AD5">
      <w:pPr>
        <w:spacing w:before="240" w:after="240" w:line="360" w:lineRule="auto"/>
        <w:jc w:val="both"/>
        <w:rPr>
          <w:rFonts w:ascii="David" w:hAnsi="David"/>
          <w:rtl/>
        </w:rPr>
      </w:pPr>
      <w:r>
        <w:rPr>
          <w:rFonts w:ascii="David" w:hAnsi="David"/>
          <w:b/>
          <w:bCs/>
          <w:rtl/>
        </w:rPr>
        <w:t>הנזק שעלול היה להיגרם מביצוע העבירות:</w:t>
      </w:r>
      <w:r>
        <w:rPr>
          <w:rFonts w:ascii="David" w:hAnsi="David"/>
          <w:rtl/>
        </w:rPr>
        <w:t xml:space="preserve"> הנאשם החזיק </w:t>
      </w:r>
      <w:r>
        <w:rPr>
          <w:rFonts w:ascii="David" w:hAnsi="David" w:hint="cs"/>
          <w:rtl/>
        </w:rPr>
        <w:t>ב</w:t>
      </w:r>
      <w:r>
        <w:rPr>
          <w:rFonts w:ascii="David" w:hAnsi="David"/>
          <w:rtl/>
        </w:rPr>
        <w:t>אקדח עם תחמושת תואמת</w:t>
      </w:r>
      <w:r>
        <w:rPr>
          <w:rFonts w:ascii="David" w:hAnsi="David" w:hint="cs"/>
          <w:rtl/>
        </w:rPr>
        <w:t xml:space="preserve"> ועוד תחמושת מסוג אחר</w:t>
      </w:r>
      <w:r>
        <w:rPr>
          <w:rFonts w:ascii="David" w:hAnsi="David"/>
          <w:rtl/>
        </w:rPr>
        <w:t>. מכאן, שגם אם לא נגרם נזק בפועל, הרי פוטנציאל הנזק הוא גדול אשר עלול ל</w:t>
      </w:r>
      <w:r>
        <w:rPr>
          <w:rFonts w:ascii="David" w:hAnsi="David" w:hint="cs"/>
          <w:rtl/>
        </w:rPr>
        <w:t xml:space="preserve">הביא לפגיעה בגוף ואף לקיפוח חיי אדם. </w:t>
      </w:r>
      <w:r>
        <w:rPr>
          <w:rFonts w:ascii="David" w:hAnsi="David"/>
          <w:rtl/>
        </w:rPr>
        <w:t xml:space="preserve"> </w:t>
      </w:r>
    </w:p>
    <w:p w14:paraId="36773AA4" w14:textId="77777777" w:rsidR="00CD1AD5" w:rsidRDefault="00CD1AD5" w:rsidP="00CD1AD5">
      <w:pPr>
        <w:spacing w:before="240" w:after="240" w:line="360" w:lineRule="auto"/>
        <w:jc w:val="both"/>
        <w:rPr>
          <w:rFonts w:ascii="David" w:hAnsi="David"/>
          <w:rtl/>
        </w:rPr>
      </w:pPr>
      <w:r>
        <w:rPr>
          <w:rFonts w:ascii="David" w:hAnsi="David"/>
          <w:b/>
          <w:bCs/>
          <w:rtl/>
        </w:rPr>
        <w:t>מידת הפגיעה בערכים המוגנים</w:t>
      </w:r>
      <w:r>
        <w:rPr>
          <w:rFonts w:ascii="David" w:hAnsi="David"/>
          <w:rtl/>
        </w:rPr>
        <w:t xml:space="preserve">: בשים לב לעובדה כי מדובר </w:t>
      </w:r>
      <w:r>
        <w:rPr>
          <w:rFonts w:ascii="David" w:hAnsi="David" w:hint="cs"/>
          <w:rtl/>
        </w:rPr>
        <w:t>ב</w:t>
      </w:r>
      <w:r>
        <w:rPr>
          <w:rFonts w:ascii="David" w:hAnsi="David"/>
          <w:rtl/>
        </w:rPr>
        <w:t>אקדח, אשר הוחזק  טעו</w:t>
      </w:r>
      <w:r>
        <w:rPr>
          <w:rFonts w:ascii="David" w:hAnsi="David" w:hint="cs"/>
          <w:rtl/>
        </w:rPr>
        <w:t>ן</w:t>
      </w:r>
      <w:r>
        <w:rPr>
          <w:rFonts w:ascii="David" w:hAnsi="David"/>
          <w:rtl/>
        </w:rPr>
        <w:t xml:space="preserve"> ובהישג יד</w:t>
      </w:r>
      <w:r>
        <w:rPr>
          <w:rFonts w:ascii="David" w:hAnsi="David" w:hint="cs"/>
          <w:rtl/>
        </w:rPr>
        <w:t>ו</w:t>
      </w:r>
      <w:r>
        <w:rPr>
          <w:rFonts w:ascii="David" w:hAnsi="David"/>
          <w:rtl/>
        </w:rPr>
        <w:t xml:space="preserve"> של הנאשם, והנזק הפוטנציאלי הגדול, אני קובעת כי מידת הפגיעה בערכים המוגנים היא </w:t>
      </w:r>
      <w:r>
        <w:rPr>
          <w:rFonts w:ascii="David" w:hAnsi="David" w:hint="cs"/>
          <w:rtl/>
        </w:rPr>
        <w:t>ממשית</w:t>
      </w:r>
      <w:r>
        <w:rPr>
          <w:rFonts w:ascii="David" w:hAnsi="David"/>
          <w:rtl/>
        </w:rPr>
        <w:t xml:space="preserve">. </w:t>
      </w:r>
    </w:p>
    <w:p w14:paraId="1711680B" w14:textId="77777777" w:rsidR="00CD1AD5" w:rsidRDefault="00CD1AD5" w:rsidP="00CD1AD5">
      <w:pPr>
        <w:spacing w:before="240" w:after="240" w:line="360" w:lineRule="auto"/>
        <w:jc w:val="both"/>
        <w:rPr>
          <w:rFonts w:ascii="David" w:hAnsi="David"/>
          <w:b/>
          <w:bCs/>
          <w:rtl/>
        </w:rPr>
      </w:pPr>
      <w:r>
        <w:rPr>
          <w:rFonts w:ascii="David" w:hAnsi="David"/>
          <w:b/>
          <w:bCs/>
          <w:rtl/>
        </w:rPr>
        <w:t>באשר למדיניות הענישה הנהוגה:</w:t>
      </w:r>
    </w:p>
    <w:p w14:paraId="11D125E5" w14:textId="77777777" w:rsidR="00CD1AD5" w:rsidRDefault="00CD1AD5" w:rsidP="00CD1AD5">
      <w:pPr>
        <w:spacing w:before="240" w:after="240" w:line="360" w:lineRule="auto"/>
        <w:jc w:val="both"/>
        <w:rPr>
          <w:rFonts w:ascii="David" w:hAnsi="David"/>
          <w:rtl/>
        </w:rPr>
      </w:pPr>
      <w:r>
        <w:rPr>
          <w:rFonts w:ascii="David" w:hAnsi="David"/>
          <w:rtl/>
        </w:rPr>
        <w:t>הצדדים הפנו לפסיקה</w:t>
      </w:r>
      <w:r>
        <w:rPr>
          <w:rFonts w:ascii="David" w:hAnsi="David" w:hint="cs"/>
          <w:rtl/>
        </w:rPr>
        <w:t xml:space="preserve"> וביקשו ללמוד ממנה באשר למדיניות הענישה הנוהגת. כפי שכבר ציינתי לעיל המאשימה הפנתה בנוסף לפסיקה הנוגעת להחזקת אקדחים גם לפסיקה של נשיאת כלי נשק וגם לפסיקה בה נדונו מקרים של החזקת נשק ארוך. על כן, אתייחס להלן רק לפסיקה הרלוונטית לענייננו.  </w:t>
      </w:r>
      <w:r>
        <w:rPr>
          <w:rFonts w:ascii="David" w:hAnsi="David"/>
          <w:rtl/>
        </w:rPr>
        <w:t xml:space="preserve"> </w:t>
      </w:r>
      <w:r>
        <w:rPr>
          <w:rFonts w:ascii="David" w:hAnsi="David" w:hint="cs"/>
          <w:rtl/>
        </w:rPr>
        <w:t xml:space="preserve">יש לציין כי בהדרגה ישנה החמרה בעונש המוטל בגין עבירות בנשק.  </w:t>
      </w:r>
    </w:p>
    <w:p w14:paraId="1FA78900" w14:textId="77777777" w:rsidR="00CD1AD5" w:rsidRDefault="00CD1AD5" w:rsidP="00CD1AD5">
      <w:pPr>
        <w:pStyle w:val="aa"/>
        <w:numPr>
          <w:ilvl w:val="0"/>
          <w:numId w:val="1"/>
        </w:numPr>
        <w:spacing w:before="240" w:after="240" w:line="360" w:lineRule="auto"/>
        <w:ind w:left="567" w:hanging="567"/>
        <w:jc w:val="both"/>
        <w:rPr>
          <w:rtl/>
        </w:rPr>
      </w:pPr>
      <w:r>
        <w:rPr>
          <w:rFonts w:hint="cs"/>
          <w:rtl/>
        </w:rPr>
        <w:t>ב</w:t>
      </w:r>
      <w:hyperlink r:id="rId20" w:history="1">
        <w:r w:rsidR="0056681F" w:rsidRPr="0056681F">
          <w:rPr>
            <w:color w:val="0000FF"/>
            <w:u w:val="single"/>
            <w:rtl/>
          </w:rPr>
          <w:t>ע"פ 5646/15</w:t>
        </w:r>
      </w:hyperlink>
      <w:r>
        <w:rPr>
          <w:rFonts w:hint="cs"/>
          <w:rtl/>
        </w:rPr>
        <w:t xml:space="preserve">  </w:t>
      </w:r>
      <w:r w:rsidRPr="00C85DCD">
        <w:rPr>
          <w:rFonts w:hint="eastAsia"/>
          <w:b/>
          <w:bCs/>
          <w:rtl/>
        </w:rPr>
        <w:t>תיהוואי</w:t>
      </w:r>
      <w:r w:rsidRPr="00C85DCD">
        <w:rPr>
          <w:b/>
          <w:bCs/>
          <w:rtl/>
        </w:rPr>
        <w:t xml:space="preserve"> </w:t>
      </w:r>
      <w:r w:rsidRPr="00C85DCD">
        <w:rPr>
          <w:rFonts w:hint="eastAsia"/>
          <w:b/>
          <w:bCs/>
          <w:rtl/>
        </w:rPr>
        <w:t>נ</w:t>
      </w:r>
      <w:r w:rsidRPr="00C85DCD">
        <w:rPr>
          <w:b/>
          <w:bCs/>
          <w:rtl/>
        </w:rPr>
        <w:t xml:space="preserve">' </w:t>
      </w:r>
      <w:r w:rsidRPr="00C85DCD">
        <w:rPr>
          <w:rFonts w:hint="eastAsia"/>
          <w:b/>
          <w:bCs/>
          <w:rtl/>
        </w:rPr>
        <w:t>מדינת</w:t>
      </w:r>
      <w:r w:rsidRPr="00C85DCD">
        <w:rPr>
          <w:b/>
          <w:bCs/>
          <w:rtl/>
        </w:rPr>
        <w:t xml:space="preserve"> </w:t>
      </w:r>
      <w:r w:rsidRPr="00C85DCD">
        <w:rPr>
          <w:rFonts w:hint="eastAsia"/>
          <w:b/>
          <w:bCs/>
          <w:rtl/>
        </w:rPr>
        <w:t>ישראל</w:t>
      </w:r>
      <w:r>
        <w:rPr>
          <w:rFonts w:hint="cs"/>
          <w:rtl/>
        </w:rPr>
        <w:t xml:space="preserve"> (14.2.16), אליו הפנתה המאשימה, </w:t>
      </w:r>
      <w:r w:rsidRPr="00C85DCD">
        <w:rPr>
          <w:rtl/>
        </w:rPr>
        <w:t xml:space="preserve">המערער </w:t>
      </w:r>
      <w:r>
        <w:rPr>
          <w:rFonts w:hint="cs"/>
          <w:rtl/>
        </w:rPr>
        <w:t>ואחר</w:t>
      </w:r>
      <w:r w:rsidRPr="00C85DCD">
        <w:rPr>
          <w:rtl/>
        </w:rPr>
        <w:t xml:space="preserve"> </w:t>
      </w:r>
      <w:r w:rsidRPr="00C85DCD">
        <w:rPr>
          <w:rFonts w:hint="eastAsia"/>
          <w:rtl/>
        </w:rPr>
        <w:t>הורשעו</w:t>
      </w:r>
      <w:r w:rsidRPr="00C85DCD">
        <w:rPr>
          <w:rtl/>
        </w:rPr>
        <w:t xml:space="preserve"> </w:t>
      </w:r>
      <w:r w:rsidRPr="00C85DCD">
        <w:rPr>
          <w:rFonts w:hint="eastAsia"/>
          <w:rtl/>
        </w:rPr>
        <w:t>ב</w:t>
      </w:r>
      <w:r w:rsidRPr="00C85DCD">
        <w:rPr>
          <w:rtl/>
        </w:rPr>
        <w:t xml:space="preserve">עבירה של החזקת נשק בצוותא חדא לפי </w:t>
      </w:r>
      <w:hyperlink r:id="rId21" w:history="1">
        <w:r w:rsidR="007E1A31" w:rsidRPr="007E1A31">
          <w:rPr>
            <w:rStyle w:val="Hyperlink"/>
            <w:rtl/>
          </w:rPr>
          <w:t>סעיף 144(א)</w:t>
        </w:r>
      </w:hyperlink>
      <w:r w:rsidRPr="00C85DCD">
        <w:rPr>
          <w:rtl/>
        </w:rPr>
        <w:t xml:space="preserve"> (רישא וסיפא) </w:t>
      </w:r>
      <w:hyperlink r:id="rId22" w:history="1">
        <w:r w:rsidR="007E1A31" w:rsidRPr="007E1A31">
          <w:rPr>
            <w:rStyle w:val="Hyperlink"/>
            <w:rtl/>
          </w:rPr>
          <w:t>וסעיף 29</w:t>
        </w:r>
      </w:hyperlink>
      <w:r w:rsidRPr="00C85DCD">
        <w:rPr>
          <w:rtl/>
        </w:rPr>
        <w:t xml:space="preserve"> ל</w:t>
      </w:r>
      <w:hyperlink r:id="rId23" w:history="1">
        <w:r w:rsidR="0056681F" w:rsidRPr="0056681F">
          <w:rPr>
            <w:color w:val="0000FF"/>
            <w:u w:val="single"/>
            <w:rtl/>
          </w:rPr>
          <w:t>חוק העונשין</w:t>
        </w:r>
      </w:hyperlink>
      <w:r w:rsidRPr="00C85DCD">
        <w:rPr>
          <w:rtl/>
        </w:rPr>
        <w:t>. המערער ו</w:t>
      </w:r>
      <w:r w:rsidRPr="00C85DCD">
        <w:rPr>
          <w:rFonts w:hint="eastAsia"/>
          <w:rtl/>
        </w:rPr>
        <w:t>אחר</w:t>
      </w:r>
      <w:r w:rsidRPr="00C85DCD">
        <w:rPr>
          <w:rtl/>
        </w:rPr>
        <w:t xml:space="preserve"> </w:t>
      </w:r>
      <w:r w:rsidRPr="00C85DCD">
        <w:rPr>
          <w:rFonts w:hint="eastAsia"/>
          <w:rtl/>
        </w:rPr>
        <w:t>החזיקו</w:t>
      </w:r>
      <w:r w:rsidRPr="00C85DCD">
        <w:rPr>
          <w:rtl/>
        </w:rPr>
        <w:t xml:space="preserve"> ברכב בו שהו אקדח מסוג </w:t>
      </w:r>
      <w:r w:rsidRPr="00C85DCD">
        <w:t>S&amp;W</w:t>
      </w:r>
      <w:r w:rsidRPr="00C85DCD">
        <w:rPr>
          <w:rtl/>
        </w:rPr>
        <w:t xml:space="preserve">, טעון במחסנית ובה 5 כדורים, שהוטמנו תחת שטיח שהיה מונח לרגליו של </w:t>
      </w:r>
      <w:r w:rsidRPr="00C85DCD">
        <w:rPr>
          <w:rFonts w:hint="eastAsia"/>
          <w:rtl/>
        </w:rPr>
        <w:t>האחר</w:t>
      </w:r>
      <w:r>
        <w:rPr>
          <w:rFonts w:hint="cs"/>
          <w:rtl/>
        </w:rPr>
        <w:t xml:space="preserve"> והכל על רקע סכסוך משפחתי</w:t>
      </w:r>
      <w:r w:rsidRPr="00C85DCD">
        <w:rPr>
          <w:rtl/>
        </w:rPr>
        <w:t xml:space="preserve">. </w:t>
      </w:r>
      <w:r>
        <w:rPr>
          <w:b/>
          <w:bCs/>
          <w:rtl/>
        </w:rPr>
        <w:t xml:space="preserve">נקבע </w:t>
      </w:r>
      <w:r>
        <w:rPr>
          <w:rFonts w:hint="cs"/>
          <w:b/>
          <w:bCs/>
          <w:rtl/>
        </w:rPr>
        <w:t xml:space="preserve">כי </w:t>
      </w:r>
      <w:r w:rsidRPr="00C85DCD">
        <w:rPr>
          <w:b/>
          <w:bCs/>
          <w:rtl/>
        </w:rPr>
        <w:t xml:space="preserve">מתחם העונש ההולם </w:t>
      </w:r>
      <w:r w:rsidRPr="00577E9E">
        <w:rPr>
          <w:rFonts w:hint="eastAsia"/>
          <w:b/>
          <w:bCs/>
          <w:rtl/>
        </w:rPr>
        <w:t>מתחיל</w:t>
      </w:r>
      <w:r w:rsidRPr="00577E9E">
        <w:rPr>
          <w:b/>
          <w:bCs/>
          <w:rtl/>
        </w:rPr>
        <w:t xml:space="preserve"> </w:t>
      </w:r>
      <w:r w:rsidRPr="00577E9E">
        <w:rPr>
          <w:rFonts w:hint="eastAsia"/>
          <w:b/>
          <w:bCs/>
          <w:rtl/>
        </w:rPr>
        <w:t>מ</w:t>
      </w:r>
      <w:r w:rsidRPr="00577E9E">
        <w:rPr>
          <w:b/>
          <w:bCs/>
          <w:rtl/>
        </w:rPr>
        <w:t>-</w:t>
      </w:r>
      <w:r w:rsidRPr="00C85DCD">
        <w:rPr>
          <w:b/>
          <w:bCs/>
          <w:rtl/>
        </w:rPr>
        <w:t xml:space="preserve"> 9 חודשי מאסר בפועל עד 3 שנות מאסר בפועל</w:t>
      </w:r>
      <w:r w:rsidRPr="00C85DCD">
        <w:rPr>
          <w:rtl/>
        </w:rPr>
        <w:t xml:space="preserve">. על </w:t>
      </w:r>
      <w:r>
        <w:rPr>
          <w:rFonts w:hint="cs"/>
          <w:rtl/>
        </w:rPr>
        <w:t xml:space="preserve"> המערער, בעל עבר פלילי לא משמעותי </w:t>
      </w:r>
      <w:r w:rsidRPr="00C85DCD">
        <w:rPr>
          <w:rtl/>
        </w:rPr>
        <w:t>הוטל</w:t>
      </w:r>
      <w:r>
        <w:rPr>
          <w:rFonts w:hint="cs"/>
          <w:rtl/>
        </w:rPr>
        <w:t xml:space="preserve"> עונש של </w:t>
      </w:r>
      <w:r w:rsidRPr="00C85DCD">
        <w:rPr>
          <w:rtl/>
        </w:rPr>
        <w:t xml:space="preserve"> 15 חודשי מאסר בפועל, </w:t>
      </w:r>
      <w:r w:rsidRPr="00C85DCD">
        <w:rPr>
          <w:rFonts w:hint="eastAsia"/>
          <w:rtl/>
        </w:rPr>
        <w:t>וענישה</w:t>
      </w:r>
      <w:r w:rsidRPr="00C85DCD">
        <w:rPr>
          <w:rtl/>
        </w:rPr>
        <w:t xml:space="preserve"> </w:t>
      </w:r>
      <w:r w:rsidRPr="00C85DCD">
        <w:rPr>
          <w:rFonts w:hint="eastAsia"/>
          <w:rtl/>
        </w:rPr>
        <w:t>נלווית</w:t>
      </w:r>
      <w:r w:rsidRPr="00C85DCD">
        <w:rPr>
          <w:rtl/>
        </w:rPr>
        <w:t>.</w:t>
      </w:r>
      <w:r>
        <w:rPr>
          <w:rFonts w:hint="cs"/>
          <w:rtl/>
        </w:rPr>
        <w:t xml:space="preserve"> ערעור שהגיש המערער לבית המשפט העליון נדחה. </w:t>
      </w:r>
    </w:p>
    <w:p w14:paraId="793F916C" w14:textId="77777777" w:rsidR="00CD1AD5" w:rsidRDefault="00CD1AD5" w:rsidP="00CD1AD5">
      <w:pPr>
        <w:pStyle w:val="aa"/>
        <w:numPr>
          <w:ilvl w:val="0"/>
          <w:numId w:val="1"/>
        </w:numPr>
        <w:spacing w:before="240" w:after="240" w:line="360" w:lineRule="auto"/>
        <w:ind w:left="567" w:hanging="567"/>
        <w:jc w:val="both"/>
      </w:pPr>
      <w:r>
        <w:rPr>
          <w:rFonts w:hint="cs"/>
          <w:rtl/>
        </w:rPr>
        <w:t>ב</w:t>
      </w:r>
      <w:hyperlink r:id="rId24" w:history="1">
        <w:r w:rsidR="0056681F" w:rsidRPr="0056681F">
          <w:rPr>
            <w:color w:val="0000FF"/>
            <w:u w:val="single"/>
            <w:rtl/>
          </w:rPr>
          <w:t>רע"פ 4559/16</w:t>
        </w:r>
      </w:hyperlink>
      <w:r>
        <w:rPr>
          <w:rFonts w:hint="cs"/>
          <w:rtl/>
        </w:rPr>
        <w:t xml:space="preserve"> </w:t>
      </w:r>
      <w:r w:rsidRPr="004D1E82">
        <w:rPr>
          <w:rFonts w:hint="eastAsia"/>
          <w:b/>
          <w:bCs/>
          <w:rtl/>
        </w:rPr>
        <w:t>נוסיראת</w:t>
      </w:r>
      <w:r w:rsidRPr="004D1E82">
        <w:rPr>
          <w:b/>
          <w:bCs/>
          <w:rtl/>
        </w:rPr>
        <w:t xml:space="preserve"> </w:t>
      </w:r>
      <w:r w:rsidRPr="004D1E82">
        <w:rPr>
          <w:rFonts w:hint="eastAsia"/>
          <w:b/>
          <w:bCs/>
          <w:rtl/>
        </w:rPr>
        <w:t>נ</w:t>
      </w:r>
      <w:r w:rsidRPr="004D1E82">
        <w:rPr>
          <w:b/>
          <w:bCs/>
          <w:rtl/>
        </w:rPr>
        <w:t xml:space="preserve">' </w:t>
      </w:r>
      <w:r w:rsidRPr="004D1E82">
        <w:rPr>
          <w:rFonts w:hint="eastAsia"/>
          <w:b/>
          <w:bCs/>
          <w:rtl/>
        </w:rPr>
        <w:t>מדינת</w:t>
      </w:r>
      <w:r w:rsidRPr="004D1E82">
        <w:rPr>
          <w:b/>
          <w:bCs/>
          <w:rtl/>
        </w:rPr>
        <w:t xml:space="preserve"> </w:t>
      </w:r>
      <w:r w:rsidRPr="004D1E82">
        <w:rPr>
          <w:rFonts w:hint="eastAsia"/>
          <w:b/>
          <w:bCs/>
          <w:rtl/>
        </w:rPr>
        <w:t>ישראל</w:t>
      </w:r>
      <w:r>
        <w:rPr>
          <w:rFonts w:hint="cs"/>
          <w:rtl/>
        </w:rPr>
        <w:t xml:space="preserve"> (26.6.16), אליו הפנתה ב"כ המאשימה, </w:t>
      </w:r>
      <w:r w:rsidRPr="004D1E82">
        <w:rPr>
          <w:rtl/>
        </w:rPr>
        <w:t xml:space="preserve">המבקש הורשע בעבירה של החזקת נשק ותחמושת בלא רשות על פי דין. </w:t>
      </w:r>
      <w:r>
        <w:rPr>
          <w:rFonts w:hint="cs"/>
          <w:b/>
          <w:bCs/>
          <w:rtl/>
        </w:rPr>
        <w:t xml:space="preserve">בית המשפט השלום קבע </w:t>
      </w:r>
      <w:r w:rsidRPr="004D1E82">
        <w:rPr>
          <w:b/>
          <w:bCs/>
          <w:rtl/>
        </w:rPr>
        <w:t xml:space="preserve"> כי מתחם העונש ההולם </w:t>
      </w:r>
      <w:r w:rsidRPr="004D1E82">
        <w:rPr>
          <w:rFonts w:hint="eastAsia"/>
          <w:b/>
          <w:bCs/>
          <w:rtl/>
        </w:rPr>
        <w:t>נע</w:t>
      </w:r>
      <w:r w:rsidRPr="004D1E82">
        <w:rPr>
          <w:b/>
          <w:bCs/>
          <w:rtl/>
        </w:rPr>
        <w:t xml:space="preserve"> בין 9 ל-24 חודשי מאסר בפועל</w:t>
      </w:r>
      <w:r w:rsidRPr="004D1E82">
        <w:rPr>
          <w:rtl/>
        </w:rPr>
        <w:t xml:space="preserve">. על המבקש  </w:t>
      </w:r>
      <w:r w:rsidRPr="004D1E82">
        <w:rPr>
          <w:rFonts w:hint="eastAsia"/>
          <w:rtl/>
        </w:rPr>
        <w:t>נגזרו</w:t>
      </w:r>
      <w:r w:rsidRPr="004D1E82">
        <w:rPr>
          <w:rtl/>
        </w:rPr>
        <w:t xml:space="preserve"> 6 חודשי מאסר בפועל לריצוי בדרך של עבודות שירות וענישה נלווית</w:t>
      </w:r>
      <w:r>
        <w:rPr>
          <w:rFonts w:hint="cs"/>
          <w:rtl/>
        </w:rPr>
        <w:t>,</w:t>
      </w:r>
      <w:r w:rsidRPr="004D1E82">
        <w:rPr>
          <w:rtl/>
        </w:rPr>
        <w:t xml:space="preserve"> לאחר ש</w:t>
      </w:r>
      <w:r w:rsidRPr="004D1E82">
        <w:rPr>
          <w:rFonts w:hint="eastAsia"/>
          <w:rtl/>
        </w:rPr>
        <w:t>בית</w:t>
      </w:r>
      <w:r w:rsidRPr="004D1E82">
        <w:rPr>
          <w:rtl/>
        </w:rPr>
        <w:t xml:space="preserve"> המשפט מצא לחרוג לקולה </w:t>
      </w:r>
      <w:r w:rsidRPr="004D1E82">
        <w:rPr>
          <w:rFonts w:hint="eastAsia"/>
          <w:rtl/>
        </w:rPr>
        <w:t>מהמתחם</w:t>
      </w:r>
      <w:r w:rsidRPr="004D1E82">
        <w:rPr>
          <w:rtl/>
        </w:rPr>
        <w:t xml:space="preserve"> עקב נסיבות אישיות של המבקש</w:t>
      </w:r>
      <w:r>
        <w:rPr>
          <w:rFonts w:hint="cs"/>
          <w:rtl/>
        </w:rPr>
        <w:t>.</w:t>
      </w:r>
      <w:r w:rsidRPr="004D1E82">
        <w:rPr>
          <w:rtl/>
        </w:rPr>
        <w:t xml:space="preserve"> </w:t>
      </w:r>
      <w:r>
        <w:rPr>
          <w:rtl/>
        </w:rPr>
        <w:t>המשיבה ערערה על ק</w:t>
      </w:r>
      <w:r>
        <w:rPr>
          <w:rFonts w:hint="cs"/>
          <w:rtl/>
        </w:rPr>
        <w:t>ו</w:t>
      </w:r>
      <w:r>
        <w:rPr>
          <w:rtl/>
        </w:rPr>
        <w:t>ל</w:t>
      </w:r>
      <w:r w:rsidRPr="004D1E82">
        <w:rPr>
          <w:rtl/>
        </w:rPr>
        <w:t>ת העונש לבית המשפט המחוזי, אשר קיבל את הערעור והעמיד את עונשו של המבקש על 9 חודשי מאסר בפועל חלף 6 חודשי המאסר שהוטלו עליו לריצוי בעבודות שירות. יתר רכיבי גזר הדין שקבע בית משפט השלום נשארו בעינם.</w:t>
      </w:r>
      <w:r>
        <w:rPr>
          <w:rFonts w:hint="cs"/>
          <w:rtl/>
        </w:rPr>
        <w:t xml:space="preserve"> בקשת רשות ערעור שהגיש המבקש לבית המשפט העליון נדחתה. </w:t>
      </w:r>
    </w:p>
    <w:p w14:paraId="16BAE6EE" w14:textId="77777777" w:rsidR="00CD1AD5" w:rsidRDefault="00CD1AD5" w:rsidP="00CD1AD5">
      <w:pPr>
        <w:pStyle w:val="aa"/>
        <w:numPr>
          <w:ilvl w:val="0"/>
          <w:numId w:val="1"/>
        </w:numPr>
        <w:spacing w:before="240" w:after="240" w:line="360" w:lineRule="auto"/>
        <w:ind w:left="567" w:hanging="567"/>
        <w:jc w:val="both"/>
      </w:pPr>
      <w:r>
        <w:rPr>
          <w:rFonts w:hint="cs"/>
          <w:rtl/>
        </w:rPr>
        <w:t>ב</w:t>
      </w:r>
      <w:hyperlink r:id="rId25" w:history="1">
        <w:r w:rsidR="0056681F" w:rsidRPr="0056681F">
          <w:rPr>
            <w:color w:val="0000FF"/>
            <w:u w:val="single"/>
            <w:rtl/>
          </w:rPr>
          <w:t>ת"פ 7617-07-23</w:t>
        </w:r>
      </w:hyperlink>
      <w:r>
        <w:rPr>
          <w:rFonts w:hint="cs"/>
          <w:rtl/>
        </w:rPr>
        <w:t xml:space="preserve"> </w:t>
      </w:r>
      <w:r w:rsidRPr="004D1E82">
        <w:rPr>
          <w:rFonts w:hint="eastAsia"/>
          <w:b/>
          <w:bCs/>
          <w:rtl/>
        </w:rPr>
        <w:t>מ</w:t>
      </w:r>
      <w:r>
        <w:rPr>
          <w:rFonts w:hint="cs"/>
          <w:b/>
          <w:bCs/>
          <w:rtl/>
        </w:rPr>
        <w:t>דינת ישראל</w:t>
      </w:r>
      <w:r w:rsidRPr="004D1E82">
        <w:rPr>
          <w:b/>
          <w:bCs/>
          <w:rtl/>
        </w:rPr>
        <w:t xml:space="preserve"> נ' אבו פאני ואח'</w:t>
      </w:r>
      <w:r>
        <w:rPr>
          <w:rFonts w:hint="cs"/>
          <w:rtl/>
        </w:rPr>
        <w:t xml:space="preserve"> (23.9.24), אליו הפנתה המאשימה, </w:t>
      </w:r>
      <w:r w:rsidRPr="004D1E82">
        <w:rPr>
          <w:rtl/>
        </w:rPr>
        <w:t>הנאשם</w:t>
      </w:r>
      <w:r w:rsidR="0056681F">
        <w:rPr>
          <w:rtl/>
        </w:rPr>
        <w:t xml:space="preserve"> </w:t>
      </w:r>
      <w:r w:rsidRPr="004D1E82">
        <w:rPr>
          <w:rtl/>
        </w:rPr>
        <w:t>הורשע</w:t>
      </w:r>
      <w:r w:rsidR="0056681F">
        <w:rPr>
          <w:rtl/>
        </w:rPr>
        <w:t xml:space="preserve"> </w:t>
      </w:r>
      <w:r w:rsidRPr="004D1E82">
        <w:rPr>
          <w:rtl/>
        </w:rPr>
        <w:t>בהחזקת נשק שלא כדין</w:t>
      </w:r>
      <w:r w:rsidR="0056681F">
        <w:rPr>
          <w:rtl/>
        </w:rPr>
        <w:t xml:space="preserve"> </w:t>
      </w:r>
      <w:r w:rsidRPr="004D1E82">
        <w:rPr>
          <w:rtl/>
        </w:rPr>
        <w:t>והחזקת חלק של נשק או תחמושת שלא כדי</w:t>
      </w:r>
      <w:r>
        <w:rPr>
          <w:rFonts w:hint="cs"/>
          <w:rtl/>
        </w:rPr>
        <w:t>ן.</w:t>
      </w:r>
      <w:r w:rsidRPr="004D1E82">
        <w:t xml:space="preserve"> </w:t>
      </w:r>
      <w:r w:rsidR="0056681F">
        <w:t xml:space="preserve"> </w:t>
      </w:r>
      <w:r w:rsidRPr="004D1E82">
        <w:rPr>
          <w:rtl/>
        </w:rPr>
        <w:t xml:space="preserve"> הנאשם החזיק באקדח חצי אוטומטי </w:t>
      </w:r>
      <w:r w:rsidRPr="004D1E82">
        <w:t>D.D.G</w:t>
      </w:r>
      <w:r w:rsidR="0056681F">
        <w:t xml:space="preserve"> </w:t>
      </w:r>
      <w:r w:rsidRPr="004D1E82">
        <w:t xml:space="preserve"> </w:t>
      </w:r>
      <w:r w:rsidRPr="004D1E82">
        <w:rPr>
          <w:rtl/>
        </w:rPr>
        <w:t>מודל</w:t>
      </w:r>
      <w:r w:rsidR="0056681F">
        <w:rPr>
          <w:rtl/>
        </w:rPr>
        <w:t xml:space="preserve"> </w:t>
      </w:r>
      <w:r w:rsidRPr="004D1E82">
        <w:t xml:space="preserve"> C5 </w:t>
      </w:r>
      <w:r w:rsidRPr="004D1E82">
        <w:rPr>
          <w:rtl/>
        </w:rPr>
        <w:t>כשהוא טעון במחסנית מלאה תואמת וב- 16 כדורי תחמושת בקוטר 9 מ"מ וכן מחסנית נוספת תואמת המכילה כדור תחמושת בקוטר 9 מ"מ אחד וזאת בלא רשות על פי דין</w:t>
      </w:r>
      <w:r w:rsidRPr="004D1E82">
        <w:t>.</w:t>
      </w:r>
      <w:r w:rsidRPr="004D1E82">
        <w:rPr>
          <w:rtl/>
        </w:rPr>
        <w:t xml:space="preserve"> </w:t>
      </w:r>
      <w:r w:rsidRPr="004D1E82">
        <w:rPr>
          <w:rFonts w:hint="eastAsia"/>
          <w:b/>
          <w:bCs/>
          <w:rtl/>
        </w:rPr>
        <w:t>נקבע</w:t>
      </w:r>
      <w:r w:rsidRPr="004D1E82">
        <w:rPr>
          <w:b/>
          <w:bCs/>
          <w:rtl/>
        </w:rPr>
        <w:t xml:space="preserve"> כי מתחם העונש ההולם בעניינו של הנאשם נע בין 18 - 36 חודשי מאסר בפועל</w:t>
      </w:r>
      <w:r w:rsidRPr="004D1E82">
        <w:rPr>
          <w:rtl/>
        </w:rPr>
        <w:t xml:space="preserve">. על הנאשם נגזרו 18 חודשי מאסר בפועל וענישה נלווית. </w:t>
      </w:r>
    </w:p>
    <w:p w14:paraId="1B39F455" w14:textId="77777777" w:rsidR="00CD1AD5" w:rsidRPr="00B67A6E" w:rsidRDefault="00CD1AD5" w:rsidP="00CD1AD5">
      <w:pPr>
        <w:pStyle w:val="aa"/>
        <w:numPr>
          <w:ilvl w:val="0"/>
          <w:numId w:val="1"/>
        </w:numPr>
        <w:spacing w:before="240" w:after="240" w:line="360" w:lineRule="auto"/>
        <w:ind w:left="567" w:hanging="567"/>
        <w:jc w:val="both"/>
      </w:pPr>
      <w:r w:rsidRPr="00B67A6E">
        <w:rPr>
          <w:rFonts w:hint="eastAsia"/>
          <w:rtl/>
        </w:rPr>
        <w:t>ב</w:t>
      </w:r>
      <w:r w:rsidRPr="00B67A6E">
        <w:rPr>
          <w:rFonts w:hint="cs"/>
          <w:rtl/>
        </w:rPr>
        <w:t xml:space="preserve">ת"פ 63991-03-23  </w:t>
      </w:r>
      <w:r w:rsidRPr="00B67A6E">
        <w:rPr>
          <w:rFonts w:hint="eastAsia"/>
          <w:b/>
          <w:bCs/>
          <w:rtl/>
        </w:rPr>
        <w:t>מ</w:t>
      </w:r>
      <w:r w:rsidRPr="00B67A6E">
        <w:rPr>
          <w:b/>
          <w:bCs/>
          <w:rtl/>
        </w:rPr>
        <w:t xml:space="preserve">"י נ' חטיב </w:t>
      </w:r>
      <w:r w:rsidRPr="00B67A6E">
        <w:rPr>
          <w:rFonts w:hint="eastAsia"/>
          <w:b/>
          <w:bCs/>
          <w:rtl/>
        </w:rPr>
        <w:t>ואח</w:t>
      </w:r>
      <w:r w:rsidRPr="00B67A6E">
        <w:rPr>
          <w:b/>
          <w:bCs/>
          <w:rtl/>
        </w:rPr>
        <w:t>'</w:t>
      </w:r>
      <w:r w:rsidRPr="00B67A6E">
        <w:rPr>
          <w:rFonts w:hint="cs"/>
          <w:rtl/>
        </w:rPr>
        <w:t xml:space="preserve"> (25.10.23), אליו הפנתה המאשימה, הנאשם הורשע</w:t>
      </w:r>
      <w:r>
        <w:rPr>
          <w:rFonts w:hint="cs"/>
          <w:rtl/>
        </w:rPr>
        <w:t xml:space="preserve"> בעבירה של החזקת נשק והחזקת חלק של נשק ותחמושת שלא כדין בניגוד לסעיף </w:t>
      </w:r>
      <w:hyperlink r:id="rId26" w:history="1">
        <w:r w:rsidR="007E1A31" w:rsidRPr="007E1A31">
          <w:rPr>
            <w:rStyle w:val="Hyperlink"/>
            <w:rtl/>
          </w:rPr>
          <w:t>144 (א)</w:t>
        </w:r>
      </w:hyperlink>
      <w:r>
        <w:rPr>
          <w:rFonts w:hint="cs"/>
          <w:rtl/>
        </w:rPr>
        <w:t xml:space="preserve"> ל</w:t>
      </w:r>
      <w:hyperlink r:id="rId27" w:history="1">
        <w:r w:rsidR="0056681F" w:rsidRPr="0056681F">
          <w:rPr>
            <w:color w:val="0000FF"/>
            <w:u w:val="single"/>
            <w:rtl/>
          </w:rPr>
          <w:t>חוק העונשין</w:t>
        </w:r>
      </w:hyperlink>
      <w:r>
        <w:rPr>
          <w:rFonts w:hint="cs"/>
          <w:rtl/>
        </w:rPr>
        <w:t xml:space="preserve">. בעת חיפוש שנערך בבית הנאשם נמצא כי הוא מחזיק בסיועו של נאשם 2 באקדח חצי אוטומטי </w:t>
      </w:r>
      <w:r>
        <w:t xml:space="preserve"> CZ</w:t>
      </w:r>
      <w:r>
        <w:rPr>
          <w:rFonts w:hint="cs"/>
          <w:rtl/>
        </w:rPr>
        <w:t xml:space="preserve"> קליבר 9 מ"מ פאראבלום, כשהוא טעון במחסנית שהכילה 18 כדורי תחמושת תואמים. האקדח הוסלק באחד מחדרי הבית בתוך מכשיר מיקרוגל כשהוא עטוף בגרב. בנוסף, הנאשם החזיק בסיועו של נאשם 2 על גבי חלקו החיצוני של אדן החלון של מבנה הממוקם מתחת לביתו, במתקן לאחסון כדורי תחמושת ובתחמושת שכללה 36 כדורי תחמושת בקוטר 9 מ"מ בתפזורת. </w:t>
      </w:r>
      <w:r w:rsidRPr="00B67A6E">
        <w:rPr>
          <w:rFonts w:hint="cs"/>
          <w:b/>
          <w:bCs/>
          <w:rtl/>
        </w:rPr>
        <w:t xml:space="preserve">בית המשפט השלום קבע כי </w:t>
      </w:r>
      <w:r w:rsidRPr="00B67A6E">
        <w:rPr>
          <w:b/>
          <w:bCs/>
          <w:rtl/>
        </w:rPr>
        <w:t xml:space="preserve"> </w:t>
      </w:r>
      <w:r w:rsidRPr="00B67A6E">
        <w:rPr>
          <w:rFonts w:hint="eastAsia"/>
          <w:b/>
          <w:bCs/>
          <w:rtl/>
        </w:rPr>
        <w:t>מתחם</w:t>
      </w:r>
      <w:r w:rsidRPr="00B67A6E">
        <w:rPr>
          <w:b/>
          <w:bCs/>
          <w:rtl/>
        </w:rPr>
        <w:t xml:space="preserve"> </w:t>
      </w:r>
      <w:r w:rsidRPr="00B67A6E">
        <w:rPr>
          <w:rFonts w:hint="eastAsia"/>
          <w:b/>
          <w:bCs/>
          <w:rtl/>
        </w:rPr>
        <w:t>העונש</w:t>
      </w:r>
      <w:r w:rsidRPr="00B67A6E">
        <w:rPr>
          <w:b/>
          <w:bCs/>
          <w:rtl/>
        </w:rPr>
        <w:t xml:space="preserve"> </w:t>
      </w:r>
      <w:r w:rsidRPr="00B67A6E">
        <w:rPr>
          <w:rFonts w:hint="eastAsia"/>
          <w:b/>
          <w:bCs/>
          <w:rtl/>
        </w:rPr>
        <w:t>ההולם</w:t>
      </w:r>
      <w:r w:rsidRPr="00B67A6E">
        <w:rPr>
          <w:b/>
          <w:bCs/>
          <w:rtl/>
        </w:rPr>
        <w:t xml:space="preserve"> </w:t>
      </w:r>
      <w:r w:rsidRPr="00B67A6E">
        <w:rPr>
          <w:rFonts w:hint="eastAsia"/>
          <w:b/>
          <w:bCs/>
          <w:rtl/>
        </w:rPr>
        <w:t>נע</w:t>
      </w:r>
      <w:r w:rsidRPr="00B67A6E">
        <w:rPr>
          <w:b/>
          <w:bCs/>
          <w:rtl/>
        </w:rPr>
        <w:t xml:space="preserve"> </w:t>
      </w:r>
      <w:r w:rsidRPr="00B67A6E">
        <w:rPr>
          <w:rFonts w:hint="eastAsia"/>
          <w:b/>
          <w:bCs/>
          <w:rtl/>
        </w:rPr>
        <w:t>בין</w:t>
      </w:r>
      <w:r w:rsidRPr="00B67A6E">
        <w:rPr>
          <w:b/>
          <w:bCs/>
          <w:rtl/>
        </w:rPr>
        <w:t xml:space="preserve"> 10 </w:t>
      </w:r>
      <w:r w:rsidRPr="00B67A6E">
        <w:rPr>
          <w:rFonts w:hint="eastAsia"/>
          <w:b/>
          <w:bCs/>
          <w:rtl/>
        </w:rPr>
        <w:t>ל</w:t>
      </w:r>
      <w:r w:rsidRPr="00B67A6E">
        <w:rPr>
          <w:b/>
          <w:bCs/>
          <w:rtl/>
        </w:rPr>
        <w:t xml:space="preserve">-30 </w:t>
      </w:r>
      <w:r w:rsidRPr="00B67A6E">
        <w:rPr>
          <w:rFonts w:hint="eastAsia"/>
          <w:b/>
          <w:bCs/>
          <w:rtl/>
        </w:rPr>
        <w:t>חודשי</w:t>
      </w:r>
      <w:r w:rsidRPr="00B67A6E">
        <w:rPr>
          <w:b/>
          <w:bCs/>
          <w:rtl/>
        </w:rPr>
        <w:t xml:space="preserve"> </w:t>
      </w:r>
      <w:r w:rsidRPr="00B67A6E">
        <w:rPr>
          <w:rFonts w:hint="eastAsia"/>
          <w:b/>
          <w:bCs/>
          <w:rtl/>
        </w:rPr>
        <w:t>מאסר</w:t>
      </w:r>
      <w:r w:rsidRPr="00B67A6E">
        <w:rPr>
          <w:b/>
          <w:bCs/>
          <w:rtl/>
        </w:rPr>
        <w:t xml:space="preserve"> </w:t>
      </w:r>
      <w:r w:rsidRPr="00B67A6E">
        <w:rPr>
          <w:rFonts w:hint="eastAsia"/>
          <w:b/>
          <w:bCs/>
          <w:rtl/>
        </w:rPr>
        <w:t>ומאסר</w:t>
      </w:r>
      <w:r w:rsidRPr="00B67A6E">
        <w:rPr>
          <w:b/>
          <w:bCs/>
          <w:rtl/>
        </w:rPr>
        <w:t xml:space="preserve"> </w:t>
      </w:r>
      <w:r w:rsidRPr="00B67A6E">
        <w:rPr>
          <w:rFonts w:hint="eastAsia"/>
          <w:b/>
          <w:bCs/>
          <w:rtl/>
        </w:rPr>
        <w:t>על</w:t>
      </w:r>
      <w:r w:rsidRPr="00B67A6E">
        <w:rPr>
          <w:b/>
          <w:bCs/>
          <w:rtl/>
        </w:rPr>
        <w:t xml:space="preserve"> </w:t>
      </w:r>
      <w:r w:rsidRPr="00B67A6E">
        <w:rPr>
          <w:rFonts w:hint="eastAsia"/>
          <w:b/>
          <w:bCs/>
          <w:rtl/>
        </w:rPr>
        <w:t>תנאי</w:t>
      </w:r>
      <w:r w:rsidRPr="00B67A6E">
        <w:rPr>
          <w:b/>
          <w:bCs/>
          <w:rtl/>
        </w:rPr>
        <w:t>.</w:t>
      </w:r>
      <w:r>
        <w:rPr>
          <w:rFonts w:hint="cs"/>
          <w:rtl/>
        </w:rPr>
        <w:t xml:space="preserve"> על הנאשם, בעל עבר פלילי הוטל עונש של  18 חודשי מאסר בפועל ומאסר על תנאי.  </w:t>
      </w:r>
    </w:p>
    <w:p w14:paraId="195F1961" w14:textId="77777777" w:rsidR="00CD1AD5" w:rsidRDefault="00CD1AD5" w:rsidP="00CD1AD5">
      <w:pPr>
        <w:pStyle w:val="aa"/>
        <w:numPr>
          <w:ilvl w:val="0"/>
          <w:numId w:val="1"/>
        </w:numPr>
        <w:spacing w:before="240" w:after="240" w:line="360" w:lineRule="auto"/>
        <w:ind w:left="567" w:hanging="567"/>
        <w:jc w:val="both"/>
      </w:pPr>
      <w:r>
        <w:rPr>
          <w:rFonts w:hint="cs"/>
          <w:rtl/>
        </w:rPr>
        <w:t>ב</w:t>
      </w:r>
      <w:hyperlink r:id="rId28" w:history="1">
        <w:r w:rsidR="0056681F" w:rsidRPr="0056681F">
          <w:rPr>
            <w:color w:val="0000FF"/>
            <w:u w:val="single"/>
            <w:rtl/>
          </w:rPr>
          <w:t>ת"פ 33262-02-22</w:t>
        </w:r>
      </w:hyperlink>
      <w:r>
        <w:rPr>
          <w:rFonts w:hint="cs"/>
          <w:rtl/>
        </w:rPr>
        <w:t xml:space="preserve"> </w:t>
      </w:r>
      <w:r w:rsidRPr="00EE592E">
        <w:rPr>
          <w:rFonts w:hint="eastAsia"/>
          <w:b/>
          <w:bCs/>
          <w:rtl/>
        </w:rPr>
        <w:t>מ</w:t>
      </w:r>
      <w:r w:rsidRPr="00EE592E">
        <w:rPr>
          <w:b/>
          <w:bCs/>
          <w:rtl/>
        </w:rPr>
        <w:t xml:space="preserve">"י </w:t>
      </w:r>
      <w:r w:rsidRPr="00EE592E">
        <w:rPr>
          <w:rFonts w:hint="eastAsia"/>
          <w:b/>
          <w:bCs/>
          <w:rtl/>
        </w:rPr>
        <w:t>נ</w:t>
      </w:r>
      <w:r w:rsidRPr="00EE592E">
        <w:rPr>
          <w:b/>
          <w:bCs/>
          <w:rtl/>
        </w:rPr>
        <w:t xml:space="preserve">' </w:t>
      </w:r>
      <w:r w:rsidRPr="00EE592E">
        <w:rPr>
          <w:rFonts w:hint="eastAsia"/>
          <w:b/>
          <w:bCs/>
          <w:rtl/>
        </w:rPr>
        <w:t>חמאד</w:t>
      </w:r>
      <w:r>
        <w:rPr>
          <w:rFonts w:hint="cs"/>
          <w:rtl/>
        </w:rPr>
        <w:t xml:space="preserve"> (10.5.22), אליו הפנתה המאשימה, הנאשם הורשע בעבירות של החזקת חלק של נשק או תחמושת בניגוד </w:t>
      </w:r>
      <w:hyperlink r:id="rId29" w:history="1">
        <w:r w:rsidR="007E1A31" w:rsidRPr="007E1A31">
          <w:rPr>
            <w:rStyle w:val="Hyperlink"/>
            <w:rFonts w:hint="eastAsia"/>
            <w:rtl/>
          </w:rPr>
          <w:t>לסעיף</w:t>
        </w:r>
        <w:r w:rsidR="007E1A31" w:rsidRPr="007E1A31">
          <w:rPr>
            <w:rStyle w:val="Hyperlink"/>
            <w:rtl/>
          </w:rPr>
          <w:t xml:space="preserve"> 144(א)</w:t>
        </w:r>
      </w:hyperlink>
      <w:r>
        <w:rPr>
          <w:rFonts w:hint="cs"/>
          <w:rtl/>
        </w:rPr>
        <w:t xml:space="preserve"> ל</w:t>
      </w:r>
      <w:hyperlink r:id="rId30" w:history="1">
        <w:r w:rsidR="0056681F" w:rsidRPr="0056681F">
          <w:rPr>
            <w:color w:val="0000FF"/>
            <w:u w:val="single"/>
            <w:rtl/>
          </w:rPr>
          <w:t>חוק העונשין</w:t>
        </w:r>
      </w:hyperlink>
      <w:r>
        <w:rPr>
          <w:rFonts w:hint="cs"/>
          <w:rtl/>
        </w:rPr>
        <w:t xml:space="preserve"> ועבירה של החזקת נשק שלא כדין בניגוד </w:t>
      </w:r>
      <w:hyperlink r:id="rId31" w:history="1">
        <w:r w:rsidR="007E1A31" w:rsidRPr="007E1A31">
          <w:rPr>
            <w:rStyle w:val="Hyperlink"/>
            <w:rFonts w:hint="eastAsia"/>
            <w:rtl/>
          </w:rPr>
          <w:t>לסעיף</w:t>
        </w:r>
        <w:r w:rsidR="007E1A31" w:rsidRPr="007E1A31">
          <w:rPr>
            <w:rStyle w:val="Hyperlink"/>
            <w:rtl/>
          </w:rPr>
          <w:t xml:space="preserve"> 144(א)</w:t>
        </w:r>
      </w:hyperlink>
      <w:r>
        <w:rPr>
          <w:rFonts w:hint="cs"/>
          <w:rtl/>
        </w:rPr>
        <w:t xml:space="preserve"> לחוק העונשין. הנאשם החזיק בביתו בארון המטבח בנשק מסוג אקדח חצי אוטומט </w:t>
      </w:r>
      <w:r>
        <w:t>FN</w:t>
      </w:r>
      <w:r>
        <w:rPr>
          <w:rFonts w:hint="cs"/>
          <w:rtl/>
        </w:rPr>
        <w:t xml:space="preserve"> כשהוא טעון במחסנית ריקה ו- 11 כדורי תחמושת 9 מ"מ אשר הוסלקו בתוך גרביים שחורות עטופות בחולצה כחולה בארון המטבח.  </w:t>
      </w:r>
      <w:r w:rsidRPr="00EE592E">
        <w:rPr>
          <w:rFonts w:hint="eastAsia"/>
          <w:b/>
          <w:bCs/>
          <w:rtl/>
        </w:rPr>
        <w:t>נקבע</w:t>
      </w:r>
      <w:r w:rsidRPr="00EE592E">
        <w:rPr>
          <w:b/>
          <w:bCs/>
          <w:rtl/>
        </w:rPr>
        <w:t xml:space="preserve"> </w:t>
      </w:r>
      <w:r w:rsidRPr="00EE592E">
        <w:rPr>
          <w:rFonts w:hint="eastAsia"/>
          <w:b/>
          <w:bCs/>
          <w:rtl/>
        </w:rPr>
        <w:t>כי</w:t>
      </w:r>
      <w:r w:rsidRPr="00EE592E">
        <w:rPr>
          <w:b/>
          <w:bCs/>
          <w:rtl/>
        </w:rPr>
        <w:t xml:space="preserve"> </w:t>
      </w:r>
      <w:r w:rsidRPr="00EE592E">
        <w:rPr>
          <w:rFonts w:hint="eastAsia"/>
          <w:b/>
          <w:bCs/>
          <w:rtl/>
        </w:rPr>
        <w:t>מתחם</w:t>
      </w:r>
      <w:r w:rsidRPr="00EE592E">
        <w:rPr>
          <w:b/>
          <w:bCs/>
          <w:rtl/>
        </w:rPr>
        <w:t xml:space="preserve"> </w:t>
      </w:r>
      <w:r w:rsidRPr="00EE592E">
        <w:rPr>
          <w:rFonts w:hint="eastAsia"/>
          <w:b/>
          <w:bCs/>
          <w:rtl/>
        </w:rPr>
        <w:t>העונש</w:t>
      </w:r>
      <w:r w:rsidRPr="00EE592E">
        <w:rPr>
          <w:b/>
          <w:bCs/>
          <w:rtl/>
        </w:rPr>
        <w:t xml:space="preserve"> </w:t>
      </w:r>
      <w:r w:rsidRPr="00EE592E">
        <w:rPr>
          <w:rFonts w:hint="eastAsia"/>
          <w:b/>
          <w:bCs/>
          <w:rtl/>
        </w:rPr>
        <w:t>ההולם</w:t>
      </w:r>
      <w:r w:rsidRPr="00EE592E">
        <w:rPr>
          <w:b/>
          <w:bCs/>
          <w:rtl/>
        </w:rPr>
        <w:t xml:space="preserve"> </w:t>
      </w:r>
      <w:r w:rsidRPr="00EE592E">
        <w:rPr>
          <w:rFonts w:hint="eastAsia"/>
          <w:b/>
          <w:bCs/>
          <w:rtl/>
        </w:rPr>
        <w:t>נע</w:t>
      </w:r>
      <w:r w:rsidRPr="00EE592E">
        <w:rPr>
          <w:b/>
          <w:bCs/>
          <w:rtl/>
        </w:rPr>
        <w:t xml:space="preserve"> </w:t>
      </w:r>
      <w:r w:rsidRPr="00EE592E">
        <w:rPr>
          <w:rFonts w:hint="eastAsia"/>
          <w:b/>
          <w:bCs/>
          <w:rtl/>
        </w:rPr>
        <w:t>בין</w:t>
      </w:r>
      <w:r w:rsidRPr="00EE592E">
        <w:rPr>
          <w:b/>
          <w:bCs/>
          <w:rtl/>
        </w:rPr>
        <w:t xml:space="preserve"> 15 </w:t>
      </w:r>
      <w:r w:rsidRPr="00EE592E">
        <w:rPr>
          <w:rFonts w:hint="eastAsia"/>
          <w:b/>
          <w:bCs/>
          <w:rtl/>
        </w:rPr>
        <w:t>ל</w:t>
      </w:r>
      <w:r w:rsidRPr="00EE592E">
        <w:rPr>
          <w:b/>
          <w:bCs/>
          <w:rtl/>
        </w:rPr>
        <w:t xml:space="preserve">-28 </w:t>
      </w:r>
      <w:r w:rsidRPr="00EE592E">
        <w:rPr>
          <w:rFonts w:hint="eastAsia"/>
          <w:b/>
          <w:bCs/>
          <w:rtl/>
        </w:rPr>
        <w:t>חודשי</w:t>
      </w:r>
      <w:r w:rsidRPr="00EE592E">
        <w:rPr>
          <w:b/>
          <w:bCs/>
          <w:rtl/>
        </w:rPr>
        <w:t xml:space="preserve"> </w:t>
      </w:r>
      <w:r w:rsidRPr="00EE592E">
        <w:rPr>
          <w:rFonts w:hint="eastAsia"/>
          <w:b/>
          <w:bCs/>
          <w:rtl/>
        </w:rPr>
        <w:t>מאסר</w:t>
      </w:r>
      <w:r w:rsidRPr="00EE592E">
        <w:rPr>
          <w:b/>
          <w:bCs/>
          <w:rtl/>
        </w:rPr>
        <w:t xml:space="preserve"> </w:t>
      </w:r>
      <w:r w:rsidRPr="00EE592E">
        <w:rPr>
          <w:rFonts w:hint="eastAsia"/>
          <w:b/>
          <w:bCs/>
          <w:rtl/>
        </w:rPr>
        <w:t>בפועל</w:t>
      </w:r>
      <w:r w:rsidRPr="00EE592E">
        <w:rPr>
          <w:b/>
          <w:bCs/>
          <w:rtl/>
        </w:rPr>
        <w:t xml:space="preserve">, </w:t>
      </w:r>
      <w:r w:rsidRPr="00EE592E">
        <w:rPr>
          <w:rFonts w:hint="eastAsia"/>
          <w:b/>
          <w:bCs/>
          <w:rtl/>
        </w:rPr>
        <w:t>בצירוף</w:t>
      </w:r>
      <w:r w:rsidRPr="00EE592E">
        <w:rPr>
          <w:b/>
          <w:bCs/>
          <w:rtl/>
        </w:rPr>
        <w:t xml:space="preserve"> </w:t>
      </w:r>
      <w:r w:rsidRPr="00EE592E">
        <w:rPr>
          <w:rFonts w:hint="eastAsia"/>
          <w:b/>
          <w:bCs/>
          <w:rtl/>
        </w:rPr>
        <w:t>ענישה</w:t>
      </w:r>
      <w:r w:rsidRPr="00EE592E">
        <w:rPr>
          <w:b/>
          <w:bCs/>
          <w:rtl/>
        </w:rPr>
        <w:t xml:space="preserve"> </w:t>
      </w:r>
      <w:r w:rsidRPr="00EE592E">
        <w:rPr>
          <w:rFonts w:hint="eastAsia"/>
          <w:b/>
          <w:bCs/>
          <w:rtl/>
        </w:rPr>
        <w:t>נלווית</w:t>
      </w:r>
      <w:r w:rsidRPr="00EE592E">
        <w:rPr>
          <w:b/>
          <w:bCs/>
          <w:rtl/>
        </w:rPr>
        <w:t>.</w:t>
      </w:r>
      <w:r>
        <w:rPr>
          <w:rFonts w:hint="cs"/>
          <w:rtl/>
        </w:rPr>
        <w:t xml:space="preserve"> על הנאשם נגזרו 18 חודשי מאסר בפועל וענישה נלווית. (ערעור שהוגש לבית המשפט המחוזי נדחה במסגרת </w:t>
      </w:r>
      <w:hyperlink r:id="rId32" w:history="1">
        <w:r w:rsidR="0056681F" w:rsidRPr="0056681F">
          <w:rPr>
            <w:color w:val="0000FF"/>
            <w:u w:val="single"/>
            <w:rtl/>
          </w:rPr>
          <w:t>עפ"ג 37334-06-22</w:t>
        </w:r>
      </w:hyperlink>
      <w:r>
        <w:rPr>
          <w:rFonts w:hint="cs"/>
          <w:rtl/>
        </w:rPr>
        <w:t>).</w:t>
      </w:r>
    </w:p>
    <w:p w14:paraId="705D5010" w14:textId="77777777" w:rsidR="00CD1AD5" w:rsidRDefault="00CD1AD5" w:rsidP="00CD1AD5">
      <w:pPr>
        <w:pStyle w:val="aa"/>
        <w:numPr>
          <w:ilvl w:val="0"/>
          <w:numId w:val="1"/>
        </w:numPr>
        <w:spacing w:before="240" w:after="240" w:line="360" w:lineRule="auto"/>
        <w:ind w:left="567" w:hanging="567"/>
        <w:jc w:val="both"/>
        <w:rPr>
          <w:rtl/>
        </w:rPr>
      </w:pPr>
      <w:r>
        <w:rPr>
          <w:rFonts w:hint="cs"/>
          <w:rtl/>
        </w:rPr>
        <w:t>ב</w:t>
      </w:r>
      <w:hyperlink r:id="rId33" w:history="1">
        <w:r w:rsidR="0056681F" w:rsidRPr="0056681F">
          <w:rPr>
            <w:color w:val="0000FF"/>
            <w:u w:val="single"/>
            <w:rtl/>
          </w:rPr>
          <w:t>עפ"ג 25700-08-22</w:t>
        </w:r>
      </w:hyperlink>
      <w:r>
        <w:rPr>
          <w:rFonts w:hint="cs"/>
          <w:rtl/>
        </w:rPr>
        <w:t xml:space="preserve"> </w:t>
      </w:r>
      <w:r w:rsidRPr="00EE592E">
        <w:rPr>
          <w:rFonts w:hint="eastAsia"/>
          <w:b/>
          <w:bCs/>
          <w:rtl/>
        </w:rPr>
        <w:t>אלבחירי</w:t>
      </w:r>
      <w:r w:rsidRPr="00EE592E">
        <w:rPr>
          <w:b/>
          <w:bCs/>
          <w:rtl/>
        </w:rPr>
        <w:t xml:space="preserve"> </w:t>
      </w:r>
      <w:r w:rsidRPr="00EE592E">
        <w:rPr>
          <w:rFonts w:hint="eastAsia"/>
          <w:b/>
          <w:bCs/>
          <w:rtl/>
        </w:rPr>
        <w:t>נ</w:t>
      </w:r>
      <w:r w:rsidRPr="00EE592E">
        <w:rPr>
          <w:b/>
          <w:bCs/>
          <w:rtl/>
        </w:rPr>
        <w:t xml:space="preserve">' </w:t>
      </w:r>
      <w:r w:rsidRPr="00EE592E">
        <w:rPr>
          <w:rFonts w:hint="eastAsia"/>
          <w:b/>
          <w:bCs/>
          <w:rtl/>
        </w:rPr>
        <w:t>מדינת</w:t>
      </w:r>
      <w:r w:rsidRPr="00EE592E">
        <w:rPr>
          <w:b/>
          <w:bCs/>
          <w:rtl/>
        </w:rPr>
        <w:t xml:space="preserve"> </w:t>
      </w:r>
      <w:r w:rsidRPr="00EE592E">
        <w:rPr>
          <w:rFonts w:hint="eastAsia"/>
          <w:b/>
          <w:bCs/>
          <w:rtl/>
        </w:rPr>
        <w:t>ישראל</w:t>
      </w:r>
      <w:r>
        <w:rPr>
          <w:rFonts w:hint="cs"/>
          <w:rtl/>
        </w:rPr>
        <w:t xml:space="preserve"> (7.12.22), אליו הפנתה המאשימה, </w:t>
      </w:r>
      <w:r w:rsidRPr="00EE592E">
        <w:rPr>
          <w:rtl/>
        </w:rPr>
        <w:t xml:space="preserve">המערער הורשע על פי הודאתו בביצוע עבירות של החזקת נשק (אקדח חצי אוטומטי) ותחמושת. </w:t>
      </w:r>
      <w:r w:rsidRPr="00EE592E">
        <w:rPr>
          <w:rFonts w:hint="eastAsia"/>
          <w:rtl/>
        </w:rPr>
        <w:t>המערער</w:t>
      </w:r>
      <w:r w:rsidRPr="00EE592E">
        <w:rPr>
          <w:rtl/>
        </w:rPr>
        <w:t xml:space="preserve"> החזיק בביתו במזוודת מתכת שהונחה מעל ארון המטבח, באקדח חצי אוטומטי מסוג </w:t>
      </w:r>
      <w:r w:rsidRPr="00EE592E">
        <w:t>FN</w:t>
      </w:r>
      <w:r w:rsidRPr="00EE592E">
        <w:rPr>
          <w:rtl/>
        </w:rPr>
        <w:t xml:space="preserve"> </w:t>
      </w:r>
      <w:r w:rsidRPr="00EE592E">
        <w:rPr>
          <w:rFonts w:hint="eastAsia"/>
          <w:rtl/>
        </w:rPr>
        <w:t>ובו</w:t>
      </w:r>
      <w:r w:rsidRPr="00EE592E">
        <w:rPr>
          <w:rtl/>
        </w:rPr>
        <w:t xml:space="preserve"> מחסנית, במחסנית נוספת של אקדח ובחמש קופסאות תחמושת שהכילו 213 כדורי 9 מ"מ. </w:t>
      </w:r>
      <w:r w:rsidRPr="00EE592E">
        <w:rPr>
          <w:rFonts w:hint="eastAsia"/>
          <w:b/>
          <w:bCs/>
          <w:rtl/>
        </w:rPr>
        <w:t>נקבע</w:t>
      </w:r>
      <w:r w:rsidRPr="00EE592E">
        <w:rPr>
          <w:b/>
          <w:bCs/>
          <w:rtl/>
        </w:rPr>
        <w:t xml:space="preserve"> כי מתחם העונש ההולם </w:t>
      </w:r>
      <w:r w:rsidRPr="00EE592E">
        <w:rPr>
          <w:rFonts w:hint="eastAsia"/>
          <w:b/>
          <w:bCs/>
          <w:rtl/>
        </w:rPr>
        <w:t>מתחיל</w:t>
      </w:r>
      <w:r w:rsidRPr="00EE592E">
        <w:rPr>
          <w:b/>
          <w:bCs/>
          <w:rtl/>
        </w:rPr>
        <w:t xml:space="preserve"> </w:t>
      </w:r>
      <w:r w:rsidRPr="00EE592E">
        <w:rPr>
          <w:rFonts w:hint="eastAsia"/>
          <w:b/>
          <w:bCs/>
          <w:rtl/>
        </w:rPr>
        <w:t>מ</w:t>
      </w:r>
      <w:r w:rsidRPr="00EE592E">
        <w:rPr>
          <w:b/>
          <w:bCs/>
          <w:rtl/>
        </w:rPr>
        <w:t xml:space="preserve">- 12 </w:t>
      </w:r>
      <w:r w:rsidRPr="00EE592E">
        <w:rPr>
          <w:rFonts w:hint="eastAsia"/>
          <w:b/>
          <w:bCs/>
          <w:rtl/>
        </w:rPr>
        <w:t>ו</w:t>
      </w:r>
      <w:r w:rsidRPr="00EE592E">
        <w:rPr>
          <w:b/>
          <w:bCs/>
          <w:rtl/>
        </w:rPr>
        <w:t>עד 36 חודשי מאסר בפועל, בצירוף ענישה נלווית</w:t>
      </w:r>
      <w:r w:rsidRPr="00EE592E">
        <w:rPr>
          <w:rtl/>
        </w:rPr>
        <w:t xml:space="preserve">. </w:t>
      </w:r>
      <w:r w:rsidRPr="00EE592E">
        <w:rPr>
          <w:rFonts w:hint="eastAsia"/>
          <w:rtl/>
        </w:rPr>
        <w:t>המערער</w:t>
      </w:r>
      <w:r w:rsidRPr="00EE592E">
        <w:rPr>
          <w:rtl/>
        </w:rPr>
        <w:t xml:space="preserve"> נדון ל-18 חודשי מאסר לריצוי בפועל וענישה נלווית. ערעור שהוגש לבית המשפט המחוזי על חומרת העונש נדחה.</w:t>
      </w:r>
    </w:p>
    <w:p w14:paraId="46D56DFF" w14:textId="77777777" w:rsidR="00CD1AD5" w:rsidRPr="00F75509" w:rsidRDefault="0056681F" w:rsidP="00CD1AD5">
      <w:pPr>
        <w:pStyle w:val="aa"/>
        <w:numPr>
          <w:ilvl w:val="0"/>
          <w:numId w:val="1"/>
        </w:numPr>
        <w:spacing w:before="240" w:after="240" w:line="360" w:lineRule="auto"/>
        <w:ind w:left="567" w:hanging="567"/>
        <w:jc w:val="both"/>
      </w:pPr>
      <w:hyperlink r:id="rId34" w:history="1">
        <w:r w:rsidRPr="0056681F">
          <w:rPr>
            <w:color w:val="0000FF"/>
            <w:u w:val="single"/>
            <w:rtl/>
          </w:rPr>
          <w:t>ת"פ (מח' חיפה) 59298-02-24</w:t>
        </w:r>
      </w:hyperlink>
      <w:r w:rsidR="00CD1AD5">
        <w:rPr>
          <w:rFonts w:hint="cs"/>
          <w:rtl/>
        </w:rPr>
        <w:t xml:space="preserve"> </w:t>
      </w:r>
      <w:r w:rsidR="00CD1AD5" w:rsidRPr="00EE592E">
        <w:rPr>
          <w:rFonts w:hint="eastAsia"/>
          <w:b/>
          <w:bCs/>
          <w:rtl/>
        </w:rPr>
        <w:t>מ</w:t>
      </w:r>
      <w:r w:rsidR="00CD1AD5" w:rsidRPr="00EE592E">
        <w:rPr>
          <w:b/>
          <w:bCs/>
          <w:rtl/>
        </w:rPr>
        <w:t xml:space="preserve">"י </w:t>
      </w:r>
      <w:r w:rsidR="00CD1AD5" w:rsidRPr="00EE592E">
        <w:rPr>
          <w:rFonts w:hint="eastAsia"/>
          <w:b/>
          <w:bCs/>
          <w:rtl/>
        </w:rPr>
        <w:t>נ</w:t>
      </w:r>
      <w:r w:rsidR="00CD1AD5" w:rsidRPr="00EE592E">
        <w:rPr>
          <w:b/>
          <w:bCs/>
          <w:rtl/>
        </w:rPr>
        <w:t xml:space="preserve">' </w:t>
      </w:r>
      <w:r w:rsidR="00CD1AD5" w:rsidRPr="00EE592E">
        <w:rPr>
          <w:rFonts w:hint="eastAsia"/>
          <w:b/>
          <w:bCs/>
          <w:rtl/>
        </w:rPr>
        <w:t>קומימי</w:t>
      </w:r>
      <w:r w:rsidR="00CD1AD5">
        <w:rPr>
          <w:rFonts w:hint="cs"/>
          <w:rtl/>
        </w:rPr>
        <w:t xml:space="preserve"> (10.10.24) אליו הפנתה ב"כ הנאשם, הנאשם הורשע  </w:t>
      </w:r>
      <w:r w:rsidR="00CD1AD5" w:rsidRPr="00EE592E">
        <w:rPr>
          <w:rFonts w:hint="eastAsia"/>
          <w:rtl/>
        </w:rPr>
        <w:t>בעבירה</w:t>
      </w:r>
      <w:r w:rsidR="00CD1AD5" w:rsidRPr="00EE592E">
        <w:rPr>
          <w:rtl/>
        </w:rPr>
        <w:t xml:space="preserve"> </w:t>
      </w:r>
      <w:r w:rsidR="00CD1AD5" w:rsidRPr="00EE592E">
        <w:rPr>
          <w:rFonts w:hint="eastAsia"/>
          <w:rtl/>
        </w:rPr>
        <w:t>של</w:t>
      </w:r>
      <w:r w:rsidR="00CD1AD5" w:rsidRPr="00EE592E">
        <w:rPr>
          <w:rtl/>
        </w:rPr>
        <w:t xml:space="preserve"> החזקת נשק שלא כחוק</w:t>
      </w:r>
      <w:r w:rsidR="00CD1AD5" w:rsidRPr="00EE592E">
        <w:rPr>
          <w:rtl/>
          <w:lang w:bidi="ar-SA"/>
        </w:rPr>
        <w:t>,</w:t>
      </w:r>
      <w:r>
        <w:rPr>
          <w:rFonts w:cs="Times New Roman"/>
          <w:rtl/>
          <w:lang w:bidi="ar-SA"/>
        </w:rPr>
        <w:t xml:space="preserve"> </w:t>
      </w:r>
      <w:r w:rsidR="00CD1AD5" w:rsidRPr="00EE592E">
        <w:rPr>
          <w:rFonts w:hint="eastAsia"/>
          <w:rtl/>
        </w:rPr>
        <w:t>בניגוד</w:t>
      </w:r>
      <w:r>
        <w:rPr>
          <w:rFonts w:hint="eastAsia"/>
          <w:rtl/>
        </w:rPr>
        <w:t xml:space="preserve"> </w:t>
      </w:r>
      <w:hyperlink r:id="rId35" w:history="1">
        <w:r w:rsidR="007E1A31" w:rsidRPr="007E1A31">
          <w:rPr>
            <w:rStyle w:val="Hyperlink"/>
            <w:rtl/>
          </w:rPr>
          <w:t>לסעיף 144(א)</w:t>
        </w:r>
      </w:hyperlink>
      <w:r>
        <w:rPr>
          <w:rFonts w:hint="eastAsia"/>
          <w:rtl/>
        </w:rPr>
        <w:t xml:space="preserve"> </w:t>
      </w:r>
      <w:r w:rsidR="00CD1AD5" w:rsidRPr="00EE592E">
        <w:rPr>
          <w:rFonts w:hint="eastAsia"/>
          <w:rtl/>
        </w:rPr>
        <w:t>רישא</w:t>
      </w:r>
      <w:r w:rsidR="00CD1AD5" w:rsidRPr="00EE592E">
        <w:rPr>
          <w:rtl/>
        </w:rPr>
        <w:t xml:space="preserve"> </w:t>
      </w:r>
      <w:r w:rsidR="00CD1AD5" w:rsidRPr="00EE592E">
        <w:rPr>
          <w:rFonts w:hint="eastAsia"/>
          <w:rtl/>
        </w:rPr>
        <w:t>וסיפא</w:t>
      </w:r>
      <w:r w:rsidR="00CD1AD5" w:rsidRPr="00EE592E">
        <w:rPr>
          <w:rtl/>
        </w:rPr>
        <w:t xml:space="preserve"> </w:t>
      </w:r>
      <w:r w:rsidR="00CD1AD5" w:rsidRPr="00EE592E">
        <w:rPr>
          <w:rFonts w:hint="eastAsia"/>
          <w:rtl/>
        </w:rPr>
        <w:t>ל</w:t>
      </w:r>
      <w:hyperlink r:id="rId36" w:history="1">
        <w:r w:rsidRPr="0056681F">
          <w:rPr>
            <w:color w:val="0000FF"/>
            <w:u w:val="single"/>
            <w:rtl/>
          </w:rPr>
          <w:t>חוק העונשין</w:t>
        </w:r>
      </w:hyperlink>
      <w:r w:rsidR="00CD1AD5" w:rsidRPr="00EE592E">
        <w:rPr>
          <w:rtl/>
        </w:rPr>
        <w:t xml:space="preserve">. </w:t>
      </w:r>
      <w:r w:rsidR="00CD1AD5">
        <w:rPr>
          <w:rFonts w:hint="eastAsia"/>
          <w:rtl/>
        </w:rPr>
        <w:t>הנאשם</w:t>
      </w:r>
      <w:r w:rsidR="00CD1AD5">
        <w:rPr>
          <w:rFonts w:hint="cs"/>
          <w:rtl/>
        </w:rPr>
        <w:t xml:space="preserve"> </w:t>
      </w:r>
      <w:r w:rsidR="00CD1AD5" w:rsidRPr="00EE592E">
        <w:rPr>
          <w:rFonts w:hint="eastAsia"/>
          <w:rtl/>
        </w:rPr>
        <w:t>החזיק</w:t>
      </w:r>
      <w:r w:rsidR="00CD1AD5" w:rsidRPr="00EE592E">
        <w:rPr>
          <w:rtl/>
        </w:rPr>
        <w:t xml:space="preserve"> </w:t>
      </w:r>
      <w:r w:rsidR="00CD1AD5" w:rsidRPr="00EE592E">
        <w:rPr>
          <w:rFonts w:hint="eastAsia"/>
          <w:rtl/>
        </w:rPr>
        <w:t>בתוך</w:t>
      </w:r>
      <w:r w:rsidR="00CD1AD5" w:rsidRPr="00EE592E">
        <w:rPr>
          <w:rtl/>
        </w:rPr>
        <w:t xml:space="preserve"> </w:t>
      </w:r>
      <w:r w:rsidR="00CD1AD5" w:rsidRPr="00EE592E">
        <w:rPr>
          <w:rFonts w:hint="eastAsia"/>
          <w:rtl/>
        </w:rPr>
        <w:t>תא</w:t>
      </w:r>
      <w:r w:rsidR="00CD1AD5" w:rsidRPr="00EE592E">
        <w:rPr>
          <w:rtl/>
        </w:rPr>
        <w:t xml:space="preserve"> </w:t>
      </w:r>
      <w:r w:rsidR="00CD1AD5" w:rsidRPr="00EE592E">
        <w:rPr>
          <w:rFonts w:hint="eastAsia"/>
          <w:rtl/>
        </w:rPr>
        <w:t>משענת</w:t>
      </w:r>
      <w:r w:rsidR="00CD1AD5" w:rsidRPr="00EE592E">
        <w:rPr>
          <w:rtl/>
        </w:rPr>
        <w:t xml:space="preserve"> </w:t>
      </w:r>
      <w:r w:rsidR="00CD1AD5" w:rsidRPr="00EE592E">
        <w:rPr>
          <w:rFonts w:hint="eastAsia"/>
          <w:rtl/>
        </w:rPr>
        <w:t>היד</w:t>
      </w:r>
      <w:r w:rsidR="00CD1AD5" w:rsidRPr="00EE592E">
        <w:rPr>
          <w:rtl/>
        </w:rPr>
        <w:t xml:space="preserve"> </w:t>
      </w:r>
      <w:r w:rsidR="00CD1AD5" w:rsidRPr="00EE592E">
        <w:rPr>
          <w:rFonts w:hint="eastAsia"/>
          <w:rtl/>
        </w:rPr>
        <w:t>ברכבו</w:t>
      </w:r>
      <w:r w:rsidR="00CD1AD5">
        <w:rPr>
          <w:rFonts w:hint="cs"/>
          <w:rtl/>
        </w:rPr>
        <w:t>,</w:t>
      </w:r>
      <w:r w:rsidR="00CD1AD5" w:rsidRPr="00EE592E">
        <w:rPr>
          <w:rtl/>
        </w:rPr>
        <w:t xml:space="preserve"> באקדח מסוג גלוק</w:t>
      </w:r>
      <w:r>
        <w:rPr>
          <w:rtl/>
        </w:rPr>
        <w:t xml:space="preserve"> </w:t>
      </w:r>
      <w:r w:rsidR="00CD1AD5" w:rsidRPr="00EE592E">
        <w:rPr>
          <w:rtl/>
          <w:lang w:bidi="ar-SA"/>
        </w:rPr>
        <w:t>9</w:t>
      </w:r>
      <w:r>
        <w:rPr>
          <w:rFonts w:cs="Times New Roman"/>
          <w:rtl/>
          <w:lang w:bidi="ar-SA"/>
        </w:rPr>
        <w:t xml:space="preserve"> </w:t>
      </w:r>
      <w:r w:rsidR="00CD1AD5" w:rsidRPr="00EE592E">
        <w:rPr>
          <w:rFonts w:hint="eastAsia"/>
          <w:rtl/>
        </w:rPr>
        <w:t>מ</w:t>
      </w:r>
      <w:r w:rsidR="00CD1AD5" w:rsidRPr="00EE592E">
        <w:rPr>
          <w:rtl/>
          <w:lang w:bidi="ar-SA"/>
        </w:rPr>
        <w:t>"</w:t>
      </w:r>
      <w:r w:rsidR="00CD1AD5">
        <w:rPr>
          <w:rFonts w:hint="eastAsia"/>
          <w:rtl/>
        </w:rPr>
        <w:t>מ</w:t>
      </w:r>
      <w:r w:rsidR="00CD1AD5">
        <w:rPr>
          <w:rFonts w:hint="cs"/>
          <w:rtl/>
        </w:rPr>
        <w:t xml:space="preserve"> </w:t>
      </w:r>
      <w:r w:rsidR="00CD1AD5" w:rsidRPr="00EE592E">
        <w:rPr>
          <w:rFonts w:hint="eastAsia"/>
          <w:rtl/>
        </w:rPr>
        <w:t>טעון</w:t>
      </w:r>
      <w:r w:rsidR="00CD1AD5" w:rsidRPr="00EE592E">
        <w:rPr>
          <w:rtl/>
        </w:rPr>
        <w:t xml:space="preserve"> </w:t>
      </w:r>
      <w:r w:rsidR="00CD1AD5" w:rsidRPr="00EE592E">
        <w:rPr>
          <w:rFonts w:hint="eastAsia"/>
          <w:rtl/>
        </w:rPr>
        <w:t>במחסנית</w:t>
      </w:r>
      <w:r w:rsidR="00CD1AD5" w:rsidRPr="00EE592E">
        <w:rPr>
          <w:rtl/>
        </w:rPr>
        <w:t xml:space="preserve"> </w:t>
      </w:r>
      <w:r w:rsidR="00CD1AD5" w:rsidRPr="00EE592E">
        <w:rPr>
          <w:rFonts w:hint="eastAsia"/>
          <w:rtl/>
        </w:rPr>
        <w:t>עם</w:t>
      </w:r>
      <w:r>
        <w:rPr>
          <w:rFonts w:hint="eastAsia"/>
          <w:rtl/>
        </w:rPr>
        <w:t xml:space="preserve"> </w:t>
      </w:r>
      <w:r w:rsidR="00CD1AD5" w:rsidRPr="00EE592E">
        <w:rPr>
          <w:rtl/>
          <w:lang w:bidi="ar-SA"/>
        </w:rPr>
        <w:t>17</w:t>
      </w:r>
      <w:r>
        <w:rPr>
          <w:rFonts w:cs="Times New Roman"/>
          <w:rtl/>
          <w:lang w:bidi="ar-SA"/>
        </w:rPr>
        <w:t xml:space="preserve"> </w:t>
      </w:r>
      <w:r w:rsidR="00CD1AD5" w:rsidRPr="00EE592E">
        <w:rPr>
          <w:rFonts w:hint="eastAsia"/>
          <w:rtl/>
        </w:rPr>
        <w:t>כדורים</w:t>
      </w:r>
      <w:r w:rsidR="00CD1AD5" w:rsidRPr="00EE592E">
        <w:rPr>
          <w:rtl/>
        </w:rPr>
        <w:t xml:space="preserve"> </w:t>
      </w:r>
      <w:r w:rsidR="00CD1AD5" w:rsidRPr="00EE592E">
        <w:rPr>
          <w:rFonts w:hint="eastAsia"/>
          <w:rtl/>
        </w:rPr>
        <w:t>וכן</w:t>
      </w:r>
      <w:r w:rsidR="00CD1AD5" w:rsidRPr="00EE592E">
        <w:rPr>
          <w:rtl/>
        </w:rPr>
        <w:t xml:space="preserve"> </w:t>
      </w:r>
      <w:r w:rsidR="00CD1AD5" w:rsidRPr="00EE592E">
        <w:rPr>
          <w:rFonts w:hint="eastAsia"/>
          <w:rtl/>
        </w:rPr>
        <w:t>במחסנית</w:t>
      </w:r>
      <w:r w:rsidR="00CD1AD5" w:rsidRPr="00EE592E">
        <w:rPr>
          <w:rtl/>
        </w:rPr>
        <w:t xml:space="preserve"> </w:t>
      </w:r>
      <w:r w:rsidR="00CD1AD5" w:rsidRPr="00EE592E">
        <w:rPr>
          <w:rFonts w:hint="eastAsia"/>
          <w:rtl/>
        </w:rPr>
        <w:t>תואמת</w:t>
      </w:r>
      <w:r w:rsidR="00CD1AD5" w:rsidRPr="00EE592E">
        <w:rPr>
          <w:rtl/>
        </w:rPr>
        <w:t xml:space="preserve"> </w:t>
      </w:r>
      <w:r w:rsidR="00CD1AD5" w:rsidRPr="00EE592E">
        <w:rPr>
          <w:rFonts w:hint="eastAsia"/>
          <w:rtl/>
        </w:rPr>
        <w:t>נוספת</w:t>
      </w:r>
      <w:r w:rsidR="00CD1AD5" w:rsidRPr="00EE592E">
        <w:rPr>
          <w:rtl/>
        </w:rPr>
        <w:t xml:space="preserve"> </w:t>
      </w:r>
      <w:r w:rsidR="00CD1AD5" w:rsidRPr="00EE592E">
        <w:rPr>
          <w:rFonts w:hint="eastAsia"/>
          <w:rtl/>
        </w:rPr>
        <w:t>טעונה</w:t>
      </w:r>
      <w:r w:rsidR="00CD1AD5" w:rsidRPr="00EE592E">
        <w:rPr>
          <w:rtl/>
        </w:rPr>
        <w:t xml:space="preserve"> </w:t>
      </w:r>
      <w:r w:rsidR="00CD1AD5" w:rsidRPr="00EE592E">
        <w:rPr>
          <w:rFonts w:hint="eastAsia"/>
          <w:rtl/>
        </w:rPr>
        <w:t>ב</w:t>
      </w:r>
      <w:r w:rsidR="00CD1AD5" w:rsidRPr="00EE592E">
        <w:rPr>
          <w:rtl/>
          <w:lang w:bidi="ar-SA"/>
        </w:rPr>
        <w:t>-30</w:t>
      </w:r>
      <w:r>
        <w:rPr>
          <w:rFonts w:cs="Times New Roman"/>
          <w:rtl/>
          <w:lang w:bidi="ar-SA"/>
        </w:rPr>
        <w:t xml:space="preserve"> </w:t>
      </w:r>
      <w:r w:rsidR="00CD1AD5" w:rsidRPr="00EE592E">
        <w:rPr>
          <w:rFonts w:hint="eastAsia"/>
          <w:rtl/>
        </w:rPr>
        <w:t>כדורים</w:t>
      </w:r>
      <w:r w:rsidR="00CD1AD5" w:rsidRPr="00EE592E">
        <w:rPr>
          <w:rtl/>
          <w:lang w:bidi="ar-SA"/>
        </w:rPr>
        <w:t>.</w:t>
      </w:r>
      <w:r w:rsidR="00CD1AD5">
        <w:rPr>
          <w:rFonts w:hint="cs"/>
          <w:rtl/>
        </w:rPr>
        <w:t xml:space="preserve"> </w:t>
      </w:r>
      <w:r w:rsidR="00CD1AD5" w:rsidRPr="00EE592E">
        <w:rPr>
          <w:rFonts w:hint="eastAsia"/>
          <w:rtl/>
        </w:rPr>
        <w:t>נקבע</w:t>
      </w:r>
      <w:r w:rsidR="00CD1AD5" w:rsidRPr="00EE592E">
        <w:rPr>
          <w:rtl/>
        </w:rPr>
        <w:t xml:space="preserve"> כי </w:t>
      </w:r>
      <w:r w:rsidR="00CD1AD5" w:rsidRPr="00EE592E">
        <w:rPr>
          <w:rFonts w:hint="eastAsia"/>
          <w:b/>
          <w:bCs/>
          <w:rtl/>
        </w:rPr>
        <w:t>מתחם</w:t>
      </w:r>
      <w:r w:rsidR="00CD1AD5" w:rsidRPr="00EE592E">
        <w:rPr>
          <w:b/>
          <w:bCs/>
          <w:rtl/>
        </w:rPr>
        <w:t xml:space="preserve"> </w:t>
      </w:r>
      <w:r w:rsidR="00CD1AD5" w:rsidRPr="00EE592E">
        <w:rPr>
          <w:rFonts w:hint="eastAsia"/>
          <w:b/>
          <w:bCs/>
          <w:rtl/>
        </w:rPr>
        <w:t>העונש</w:t>
      </w:r>
      <w:r w:rsidR="00CD1AD5" w:rsidRPr="00EE592E">
        <w:rPr>
          <w:b/>
          <w:bCs/>
          <w:rtl/>
        </w:rPr>
        <w:t xml:space="preserve"> </w:t>
      </w:r>
      <w:r w:rsidR="00CD1AD5" w:rsidRPr="00EE592E">
        <w:rPr>
          <w:rFonts w:hint="eastAsia"/>
          <w:b/>
          <w:bCs/>
          <w:rtl/>
        </w:rPr>
        <w:t>ההולם</w:t>
      </w:r>
      <w:r w:rsidR="00CD1AD5" w:rsidRPr="00EE592E">
        <w:rPr>
          <w:b/>
          <w:bCs/>
          <w:rtl/>
        </w:rPr>
        <w:t xml:space="preserve"> נע </w:t>
      </w:r>
      <w:r w:rsidR="00CD1AD5" w:rsidRPr="00EE592E">
        <w:rPr>
          <w:rFonts w:hint="eastAsia"/>
          <w:b/>
          <w:bCs/>
          <w:rtl/>
        </w:rPr>
        <w:t>בין</w:t>
      </w:r>
      <w:r>
        <w:rPr>
          <w:rFonts w:cs="Times New Roman" w:hint="eastAsia"/>
          <w:b/>
          <w:bCs/>
          <w:rtl/>
          <w:lang w:bidi="ar-SA"/>
        </w:rPr>
        <w:t xml:space="preserve"> </w:t>
      </w:r>
      <w:r w:rsidR="00CD1AD5" w:rsidRPr="00EE592E">
        <w:rPr>
          <w:rFonts w:cs="Times New Roman"/>
          <w:b/>
          <w:bCs/>
          <w:rtl/>
          <w:lang w:bidi="ar-SA"/>
        </w:rPr>
        <w:t>10</w:t>
      </w:r>
      <w:r>
        <w:rPr>
          <w:rFonts w:cs="Times New Roman"/>
          <w:b/>
          <w:bCs/>
          <w:rtl/>
          <w:lang w:bidi="ar-SA"/>
        </w:rPr>
        <w:t xml:space="preserve"> </w:t>
      </w:r>
      <w:r w:rsidR="00CD1AD5" w:rsidRPr="00EE592E">
        <w:rPr>
          <w:rFonts w:hint="eastAsia"/>
          <w:b/>
          <w:bCs/>
          <w:rtl/>
        </w:rPr>
        <w:t>לבין</w:t>
      </w:r>
      <w:r>
        <w:rPr>
          <w:rFonts w:hint="eastAsia"/>
          <w:b/>
          <w:bCs/>
          <w:rtl/>
        </w:rPr>
        <w:t xml:space="preserve"> </w:t>
      </w:r>
      <w:r w:rsidR="00CD1AD5" w:rsidRPr="00EE592E">
        <w:rPr>
          <w:rFonts w:cs="Times New Roman"/>
          <w:b/>
          <w:bCs/>
          <w:rtl/>
          <w:lang w:bidi="ar-SA"/>
        </w:rPr>
        <w:t>18</w:t>
      </w:r>
      <w:r>
        <w:rPr>
          <w:rFonts w:cs="Times New Roman"/>
          <w:b/>
          <w:bCs/>
          <w:rtl/>
          <w:lang w:bidi="ar-SA"/>
        </w:rPr>
        <w:t xml:space="preserve"> </w:t>
      </w:r>
      <w:r w:rsidR="00CD1AD5" w:rsidRPr="00EE592E">
        <w:rPr>
          <w:rFonts w:hint="eastAsia"/>
          <w:b/>
          <w:bCs/>
          <w:rtl/>
        </w:rPr>
        <w:t>חודשי</w:t>
      </w:r>
      <w:r w:rsidR="00CD1AD5" w:rsidRPr="00EE592E">
        <w:rPr>
          <w:b/>
          <w:bCs/>
          <w:rtl/>
        </w:rPr>
        <w:t xml:space="preserve"> </w:t>
      </w:r>
      <w:r w:rsidR="00CD1AD5" w:rsidRPr="00EE592E">
        <w:rPr>
          <w:rFonts w:hint="eastAsia"/>
          <w:b/>
          <w:bCs/>
          <w:rtl/>
        </w:rPr>
        <w:t>מאסר</w:t>
      </w:r>
      <w:r w:rsidR="00CD1AD5" w:rsidRPr="00EE592E">
        <w:rPr>
          <w:b/>
          <w:bCs/>
          <w:rtl/>
        </w:rPr>
        <w:t xml:space="preserve"> </w:t>
      </w:r>
      <w:r w:rsidR="00CD1AD5" w:rsidRPr="00EE592E">
        <w:rPr>
          <w:rFonts w:hint="eastAsia"/>
          <w:b/>
          <w:bCs/>
          <w:rtl/>
        </w:rPr>
        <w:t>לריצוי</w:t>
      </w:r>
      <w:r w:rsidR="00CD1AD5" w:rsidRPr="00EE592E">
        <w:rPr>
          <w:b/>
          <w:bCs/>
          <w:rtl/>
        </w:rPr>
        <w:t xml:space="preserve"> </w:t>
      </w:r>
      <w:r w:rsidR="00CD1AD5" w:rsidRPr="00EE592E">
        <w:rPr>
          <w:rFonts w:hint="eastAsia"/>
          <w:b/>
          <w:bCs/>
          <w:rtl/>
        </w:rPr>
        <w:t>בפועל</w:t>
      </w:r>
      <w:r>
        <w:rPr>
          <w:rFonts w:hint="eastAsia"/>
          <w:b/>
          <w:bCs/>
          <w:rtl/>
        </w:rPr>
        <w:t xml:space="preserve"> </w:t>
      </w:r>
      <w:r w:rsidR="00CD1AD5" w:rsidRPr="00EE592E">
        <w:rPr>
          <w:rFonts w:hint="eastAsia"/>
          <w:b/>
          <w:bCs/>
          <w:rtl/>
        </w:rPr>
        <w:t>זאת</w:t>
      </w:r>
      <w:r w:rsidR="00CD1AD5" w:rsidRPr="00EE592E">
        <w:rPr>
          <w:b/>
          <w:bCs/>
          <w:rtl/>
        </w:rPr>
        <w:t xml:space="preserve"> </w:t>
      </w:r>
      <w:r w:rsidR="00CD1AD5" w:rsidRPr="00EE592E">
        <w:rPr>
          <w:rFonts w:hint="eastAsia"/>
          <w:b/>
          <w:bCs/>
          <w:rtl/>
        </w:rPr>
        <w:t>לצד</w:t>
      </w:r>
      <w:r w:rsidR="00CD1AD5" w:rsidRPr="00EE592E">
        <w:rPr>
          <w:b/>
          <w:bCs/>
          <w:rtl/>
        </w:rPr>
        <w:t xml:space="preserve"> </w:t>
      </w:r>
      <w:r w:rsidR="00CD1AD5" w:rsidRPr="00EE592E">
        <w:rPr>
          <w:rFonts w:hint="eastAsia"/>
          <w:b/>
          <w:bCs/>
          <w:rtl/>
        </w:rPr>
        <w:t>עונשים</w:t>
      </w:r>
      <w:r w:rsidR="00CD1AD5" w:rsidRPr="00EE592E">
        <w:rPr>
          <w:b/>
          <w:bCs/>
          <w:rtl/>
        </w:rPr>
        <w:t xml:space="preserve"> </w:t>
      </w:r>
      <w:r w:rsidR="00CD1AD5" w:rsidRPr="00EE592E">
        <w:rPr>
          <w:rFonts w:hint="eastAsia"/>
          <w:b/>
          <w:bCs/>
          <w:rtl/>
        </w:rPr>
        <w:t>נלווים</w:t>
      </w:r>
      <w:r w:rsidR="00CD1AD5" w:rsidRPr="00EE592E">
        <w:rPr>
          <w:rFonts w:cs="Times New Roman"/>
          <w:rtl/>
          <w:lang w:bidi="ar-SA"/>
        </w:rPr>
        <w:t>.</w:t>
      </w:r>
      <w:r w:rsidR="00CD1AD5" w:rsidRPr="00EE592E">
        <w:rPr>
          <w:rtl/>
        </w:rPr>
        <w:t xml:space="preserve"> על הנאשם נגזרו 10 חודשי מאסר וענישה נלווית. </w:t>
      </w:r>
    </w:p>
    <w:p w14:paraId="04E9B6F7" w14:textId="77777777" w:rsidR="00CD1AD5" w:rsidRDefault="00CD1AD5" w:rsidP="00CD1AD5">
      <w:pPr>
        <w:pStyle w:val="aa"/>
        <w:numPr>
          <w:ilvl w:val="0"/>
          <w:numId w:val="1"/>
        </w:numPr>
        <w:spacing w:before="240" w:after="240" w:line="360" w:lineRule="auto"/>
        <w:ind w:left="567" w:hanging="567"/>
        <w:jc w:val="both"/>
      </w:pPr>
      <w:r>
        <w:rPr>
          <w:rFonts w:hint="cs"/>
          <w:rtl/>
        </w:rPr>
        <w:t>ב</w:t>
      </w:r>
      <w:hyperlink r:id="rId37" w:history="1">
        <w:r w:rsidR="0056681F" w:rsidRPr="0056681F">
          <w:rPr>
            <w:color w:val="0000FF"/>
            <w:u w:val="single"/>
            <w:rtl/>
          </w:rPr>
          <w:t>ת"פ (מח' חיפה) 16521-01-22</w:t>
        </w:r>
      </w:hyperlink>
      <w:r w:rsidRPr="00EE592E">
        <w:rPr>
          <w:b/>
          <w:bCs/>
          <w:rtl/>
        </w:rPr>
        <w:t xml:space="preserve"> </w:t>
      </w:r>
      <w:r w:rsidRPr="00EE592E">
        <w:rPr>
          <w:rFonts w:hint="eastAsia"/>
          <w:b/>
          <w:bCs/>
          <w:rtl/>
        </w:rPr>
        <w:t>מ</w:t>
      </w:r>
      <w:r w:rsidRPr="00EE592E">
        <w:rPr>
          <w:b/>
          <w:bCs/>
          <w:rtl/>
        </w:rPr>
        <w:t xml:space="preserve">"י </w:t>
      </w:r>
      <w:r w:rsidRPr="00EE592E">
        <w:rPr>
          <w:rFonts w:hint="eastAsia"/>
          <w:b/>
          <w:bCs/>
          <w:rtl/>
        </w:rPr>
        <w:t>נ</w:t>
      </w:r>
      <w:r w:rsidRPr="00EE592E">
        <w:rPr>
          <w:b/>
          <w:bCs/>
          <w:rtl/>
        </w:rPr>
        <w:t xml:space="preserve">' </w:t>
      </w:r>
      <w:r w:rsidRPr="00EE592E">
        <w:rPr>
          <w:rFonts w:hint="eastAsia"/>
          <w:b/>
          <w:bCs/>
          <w:rtl/>
        </w:rPr>
        <w:t>אסדי</w:t>
      </w:r>
      <w:r w:rsidRPr="0048710B">
        <w:rPr>
          <w:rtl/>
        </w:rPr>
        <w:t xml:space="preserve"> </w:t>
      </w:r>
      <w:r>
        <w:rPr>
          <w:rFonts w:hint="cs"/>
          <w:rtl/>
        </w:rPr>
        <w:t xml:space="preserve">(1.10.24), אליו הפנתה ב"כ הנאשם, </w:t>
      </w:r>
      <w:r w:rsidR="0056681F">
        <w:t xml:space="preserve"> </w:t>
      </w:r>
      <w:r w:rsidRPr="00EE592E">
        <w:rPr>
          <w:rtl/>
        </w:rPr>
        <w:t xml:space="preserve">הנאשם הורשע בעבירת נשק (נשיאה) </w:t>
      </w:r>
      <w:r w:rsidRPr="00EE592E">
        <w:rPr>
          <w:rFonts w:hint="eastAsia"/>
          <w:rtl/>
        </w:rPr>
        <w:t>בניגוד</w:t>
      </w:r>
      <w:r w:rsidRPr="00EE592E">
        <w:rPr>
          <w:rtl/>
        </w:rPr>
        <w:t xml:space="preserve"> </w:t>
      </w:r>
      <w:hyperlink r:id="rId38" w:history="1">
        <w:r w:rsidR="007E1A31" w:rsidRPr="007E1A31">
          <w:rPr>
            <w:rStyle w:val="Hyperlink"/>
            <w:rtl/>
          </w:rPr>
          <w:t>לסעיף 144(ב)</w:t>
        </w:r>
      </w:hyperlink>
      <w:r w:rsidR="0056681F">
        <w:t xml:space="preserve"> </w:t>
      </w:r>
      <w:r w:rsidRPr="00EE592E">
        <w:rPr>
          <w:rtl/>
        </w:rPr>
        <w:t>רישא + סיפא ל</w:t>
      </w:r>
      <w:hyperlink r:id="rId39" w:history="1">
        <w:r w:rsidR="0056681F" w:rsidRPr="0056681F">
          <w:rPr>
            <w:color w:val="0000FF"/>
            <w:u w:val="single"/>
            <w:rtl/>
          </w:rPr>
          <w:t>חוק העונשין</w:t>
        </w:r>
      </w:hyperlink>
      <w:r w:rsidRPr="00F75509">
        <w:rPr>
          <w:rtl/>
        </w:rPr>
        <w:t xml:space="preserve">. </w:t>
      </w:r>
      <w:r w:rsidRPr="00EE592E">
        <w:rPr>
          <w:rFonts w:hint="eastAsia"/>
          <w:rtl/>
        </w:rPr>
        <w:t>הנאשם</w:t>
      </w:r>
      <w:r w:rsidRPr="00EE592E">
        <w:rPr>
          <w:rtl/>
        </w:rPr>
        <w:t xml:space="preserve"> </w:t>
      </w:r>
      <w:r w:rsidRPr="00EE592E">
        <w:rPr>
          <w:rFonts w:hint="eastAsia"/>
          <w:rtl/>
        </w:rPr>
        <w:t>עמד</w:t>
      </w:r>
      <w:r w:rsidRPr="00EE592E">
        <w:rPr>
          <w:rtl/>
        </w:rPr>
        <w:t xml:space="preserve"> </w:t>
      </w:r>
      <w:r w:rsidRPr="00EE592E">
        <w:rPr>
          <w:rFonts w:hint="eastAsia"/>
          <w:rtl/>
        </w:rPr>
        <w:t>בסמטת</w:t>
      </w:r>
      <w:r w:rsidRPr="00EE592E">
        <w:rPr>
          <w:rtl/>
        </w:rPr>
        <w:t xml:space="preserve"> </w:t>
      </w:r>
      <w:r w:rsidRPr="00EE592E">
        <w:rPr>
          <w:rFonts w:hint="eastAsia"/>
          <w:rtl/>
        </w:rPr>
        <w:t>רחוב</w:t>
      </w:r>
      <w:r w:rsidRPr="00EE592E">
        <w:rPr>
          <w:rtl/>
        </w:rPr>
        <w:t xml:space="preserve"> </w:t>
      </w:r>
      <w:r w:rsidRPr="00EE592E">
        <w:rPr>
          <w:rFonts w:hint="eastAsia"/>
          <w:rtl/>
        </w:rPr>
        <w:t>ש</w:t>
      </w:r>
      <w:r w:rsidRPr="00EE592E">
        <w:rPr>
          <w:rtl/>
        </w:rPr>
        <w:t>הוא נושא עמו אקדח מסוג</w:t>
      </w:r>
      <w:r w:rsidR="0056681F">
        <w:rPr>
          <w:rtl/>
        </w:rPr>
        <w:t xml:space="preserve"> </w:t>
      </w:r>
      <w:r w:rsidRPr="00EE592E">
        <w:t>FN</w:t>
      </w:r>
      <w:r w:rsidR="0056681F">
        <w:t xml:space="preserve"> </w:t>
      </w:r>
      <w:r w:rsidRPr="00EE592E">
        <w:rPr>
          <w:rtl/>
        </w:rPr>
        <w:t xml:space="preserve"> בקוטר של 9 מ"</w:t>
      </w:r>
      <w:r w:rsidRPr="00EE592E">
        <w:rPr>
          <w:rFonts w:hint="eastAsia"/>
          <w:rtl/>
        </w:rPr>
        <w:t>מ</w:t>
      </w:r>
      <w:r w:rsidRPr="00EE592E">
        <w:t xml:space="preserve"> </w:t>
      </w:r>
      <w:r w:rsidRPr="00EE592E">
        <w:rPr>
          <w:rtl/>
        </w:rPr>
        <w:t>כשהוא טעון במחסני</w:t>
      </w:r>
      <w:r w:rsidRPr="00EE592E">
        <w:rPr>
          <w:rFonts w:hint="eastAsia"/>
          <w:rtl/>
        </w:rPr>
        <w:t>ת</w:t>
      </w:r>
      <w:r w:rsidRPr="00EE592E">
        <w:rPr>
          <w:rtl/>
        </w:rPr>
        <w:t xml:space="preserve"> עם 12 כדורי תחמושת תואמים לנשק מוחבא בתוך תיק בד צבעוני</w:t>
      </w:r>
      <w:r w:rsidRPr="00EE592E">
        <w:t>.</w:t>
      </w:r>
      <w:r>
        <w:rPr>
          <w:rFonts w:hint="cs"/>
          <w:rtl/>
        </w:rPr>
        <w:t xml:space="preserve"> </w:t>
      </w:r>
      <w:r w:rsidRPr="00EE592E">
        <w:rPr>
          <w:rFonts w:hint="eastAsia"/>
          <w:b/>
          <w:bCs/>
          <w:rtl/>
        </w:rPr>
        <w:t>נקבע</w:t>
      </w:r>
      <w:r w:rsidRPr="00EE592E">
        <w:rPr>
          <w:b/>
          <w:bCs/>
          <w:rtl/>
        </w:rPr>
        <w:t xml:space="preserve"> </w:t>
      </w:r>
      <w:r w:rsidRPr="00EE592E">
        <w:rPr>
          <w:rFonts w:hint="eastAsia"/>
          <w:b/>
          <w:bCs/>
          <w:rtl/>
        </w:rPr>
        <w:t>כי</w:t>
      </w:r>
      <w:r w:rsidRPr="00EE592E">
        <w:rPr>
          <w:b/>
          <w:bCs/>
          <w:rtl/>
        </w:rPr>
        <w:t xml:space="preserve"> </w:t>
      </w:r>
      <w:r w:rsidRPr="00EE592E">
        <w:rPr>
          <w:rFonts w:hint="eastAsia"/>
          <w:b/>
          <w:bCs/>
          <w:rtl/>
        </w:rPr>
        <w:t>מ</w:t>
      </w:r>
      <w:r w:rsidRPr="00EE592E">
        <w:rPr>
          <w:b/>
          <w:bCs/>
          <w:rtl/>
        </w:rPr>
        <w:t>תחם העונש ההולם את נע</w:t>
      </w:r>
      <w:r w:rsidR="0056681F">
        <w:rPr>
          <w:b/>
          <w:bCs/>
          <w:rtl/>
        </w:rPr>
        <w:t xml:space="preserve"> </w:t>
      </w:r>
      <w:r w:rsidRPr="00EE592E">
        <w:rPr>
          <w:b/>
          <w:bCs/>
          <w:rtl/>
        </w:rPr>
        <w:t>בין 26 לבין 48 חודשי מאסר בפועל, לצד עונשים נלווים</w:t>
      </w:r>
      <w:r w:rsidRPr="00EE592E">
        <w:rPr>
          <w:rtl/>
        </w:rPr>
        <w:t xml:space="preserve">. </w:t>
      </w:r>
      <w:r>
        <w:rPr>
          <w:rFonts w:hint="cs"/>
          <w:rtl/>
        </w:rPr>
        <w:t>בית המשפט קבע כי</w:t>
      </w:r>
      <w:r w:rsidRPr="00EE592E">
        <w:rPr>
          <w:rtl/>
        </w:rPr>
        <w:t xml:space="preserve"> יש מקום לסטות מהמתחם שנקבע לקולא</w:t>
      </w:r>
      <w:r w:rsidR="0056681F">
        <w:t xml:space="preserve"> </w:t>
      </w:r>
      <w:r w:rsidRPr="00EE592E">
        <w:rPr>
          <w:rFonts w:hint="eastAsia"/>
          <w:rtl/>
        </w:rPr>
        <w:t>בשל</w:t>
      </w:r>
      <w:r w:rsidRPr="00EE592E">
        <w:rPr>
          <w:rtl/>
        </w:rPr>
        <w:t xml:space="preserve"> </w:t>
      </w:r>
      <w:r w:rsidRPr="00EE592E">
        <w:rPr>
          <w:rFonts w:hint="eastAsia"/>
          <w:rtl/>
        </w:rPr>
        <w:t>הליך</w:t>
      </w:r>
      <w:r w:rsidRPr="00EE592E">
        <w:rPr>
          <w:rtl/>
        </w:rPr>
        <w:t xml:space="preserve"> </w:t>
      </w:r>
      <w:r w:rsidRPr="00EE592E">
        <w:rPr>
          <w:rFonts w:hint="eastAsia"/>
          <w:rtl/>
        </w:rPr>
        <w:t>שיקומי</w:t>
      </w:r>
      <w:r>
        <w:rPr>
          <w:rFonts w:hint="cs"/>
          <w:rtl/>
        </w:rPr>
        <w:t xml:space="preserve"> של הנאשם</w:t>
      </w:r>
      <w:r w:rsidRPr="00EE592E">
        <w:rPr>
          <w:rtl/>
        </w:rPr>
        <w:t xml:space="preserve">. </w:t>
      </w:r>
      <w:r>
        <w:rPr>
          <w:rFonts w:hint="cs"/>
          <w:rtl/>
        </w:rPr>
        <w:t xml:space="preserve">לפיכך, </w:t>
      </w:r>
      <w:r w:rsidRPr="00EE592E">
        <w:rPr>
          <w:rFonts w:hint="eastAsia"/>
          <w:rtl/>
        </w:rPr>
        <w:t>על</w:t>
      </w:r>
      <w:r w:rsidRPr="00EE592E">
        <w:rPr>
          <w:rtl/>
        </w:rPr>
        <w:t xml:space="preserve"> הנאשם נגזרו 9 חודשי מאסר לריצוי בעבודות שירות וענישה נלווית. </w:t>
      </w:r>
    </w:p>
    <w:p w14:paraId="151CE7B7" w14:textId="77777777" w:rsidR="00CD1AD5" w:rsidRDefault="00CD1AD5" w:rsidP="00CD1AD5">
      <w:pPr>
        <w:pStyle w:val="aa"/>
        <w:numPr>
          <w:ilvl w:val="0"/>
          <w:numId w:val="1"/>
        </w:numPr>
        <w:spacing w:before="240" w:after="240" w:line="360" w:lineRule="auto"/>
        <w:ind w:left="567" w:hanging="567"/>
        <w:jc w:val="both"/>
      </w:pPr>
      <w:r w:rsidRPr="00726752">
        <w:rPr>
          <w:rFonts w:hint="cs"/>
          <w:rtl/>
        </w:rPr>
        <w:t>ב</w:t>
      </w:r>
      <w:hyperlink r:id="rId40" w:history="1">
        <w:r w:rsidR="0056681F" w:rsidRPr="0056681F">
          <w:rPr>
            <w:color w:val="0000FF"/>
            <w:u w:val="single"/>
            <w:rtl/>
          </w:rPr>
          <w:t>ע"פ 1806/22</w:t>
        </w:r>
      </w:hyperlink>
      <w:r w:rsidRPr="00726752">
        <w:rPr>
          <w:rFonts w:hint="cs"/>
          <w:rtl/>
        </w:rPr>
        <w:t xml:space="preserve"> </w:t>
      </w:r>
      <w:r w:rsidRPr="00726752">
        <w:rPr>
          <w:rFonts w:hint="cs"/>
          <w:b/>
          <w:bCs/>
          <w:rtl/>
        </w:rPr>
        <w:t xml:space="preserve">נאברי נ' מדינת ישראל  </w:t>
      </w:r>
      <w:r w:rsidRPr="00726752">
        <w:rPr>
          <w:rFonts w:hint="cs"/>
          <w:rtl/>
        </w:rPr>
        <w:t xml:space="preserve">(15.6.22) הנאשם הורשע בעבירות של החזקת נשק ותחמושת בניגוד </w:t>
      </w:r>
      <w:hyperlink r:id="rId41" w:history="1">
        <w:r w:rsidR="007E1A31" w:rsidRPr="007E1A31">
          <w:rPr>
            <w:rStyle w:val="Hyperlink"/>
            <w:rFonts w:hint="eastAsia"/>
            <w:rtl/>
          </w:rPr>
          <w:t>לסעיף</w:t>
        </w:r>
        <w:r w:rsidR="007E1A31" w:rsidRPr="007E1A31">
          <w:rPr>
            <w:rStyle w:val="Hyperlink"/>
            <w:rtl/>
          </w:rPr>
          <w:t xml:space="preserve"> 144(א)</w:t>
        </w:r>
      </w:hyperlink>
      <w:r w:rsidRPr="00726752">
        <w:rPr>
          <w:rFonts w:hint="cs"/>
          <w:rtl/>
        </w:rPr>
        <w:t xml:space="preserve"> רישא וסיפא ל</w:t>
      </w:r>
      <w:hyperlink r:id="rId42" w:history="1">
        <w:r w:rsidR="0056681F" w:rsidRPr="0056681F">
          <w:rPr>
            <w:color w:val="0000FF"/>
            <w:u w:val="single"/>
            <w:rtl/>
          </w:rPr>
          <w:t>חוק העונשין</w:t>
        </w:r>
      </w:hyperlink>
      <w:r w:rsidRPr="00726752">
        <w:rPr>
          <w:rFonts w:hint="cs"/>
          <w:rtl/>
        </w:rPr>
        <w:t xml:space="preserve">, לאחר שהחזיק ברכבו אקדח מסוג </w:t>
      </w:r>
      <w:r w:rsidRPr="00726752">
        <w:t>FN</w:t>
      </w:r>
      <w:r w:rsidRPr="00726752">
        <w:rPr>
          <w:rFonts w:hint="cs"/>
          <w:rtl/>
        </w:rPr>
        <w:t xml:space="preserve">, טעון במחסנית ובה 12 כדורים. </w:t>
      </w:r>
      <w:r w:rsidRPr="00EE592E">
        <w:rPr>
          <w:rFonts w:hint="eastAsia"/>
          <w:b/>
          <w:bCs/>
          <w:rtl/>
        </w:rPr>
        <w:t>בית</w:t>
      </w:r>
      <w:r w:rsidRPr="00EE592E">
        <w:rPr>
          <w:b/>
          <w:bCs/>
          <w:rtl/>
        </w:rPr>
        <w:t xml:space="preserve"> </w:t>
      </w:r>
      <w:r w:rsidRPr="00EE592E">
        <w:rPr>
          <w:rFonts w:hint="eastAsia"/>
          <w:b/>
          <w:bCs/>
          <w:rtl/>
        </w:rPr>
        <w:t>המשפט</w:t>
      </w:r>
      <w:r w:rsidRPr="00EE592E">
        <w:rPr>
          <w:b/>
          <w:bCs/>
          <w:rtl/>
        </w:rPr>
        <w:t xml:space="preserve"> </w:t>
      </w:r>
      <w:r w:rsidRPr="00EE592E">
        <w:rPr>
          <w:rFonts w:hint="eastAsia"/>
          <w:b/>
          <w:bCs/>
          <w:rtl/>
        </w:rPr>
        <w:t>המחוזי</w:t>
      </w:r>
      <w:r w:rsidRPr="00EE592E">
        <w:rPr>
          <w:b/>
          <w:bCs/>
          <w:rtl/>
        </w:rPr>
        <w:t xml:space="preserve"> </w:t>
      </w:r>
      <w:r w:rsidRPr="00EE592E">
        <w:rPr>
          <w:rFonts w:hint="eastAsia"/>
          <w:b/>
          <w:bCs/>
          <w:rtl/>
        </w:rPr>
        <w:t>קבע</w:t>
      </w:r>
      <w:r w:rsidRPr="00EE592E">
        <w:rPr>
          <w:b/>
          <w:bCs/>
          <w:rtl/>
        </w:rPr>
        <w:t xml:space="preserve"> </w:t>
      </w:r>
      <w:r w:rsidRPr="00EE592E">
        <w:rPr>
          <w:rFonts w:hint="eastAsia"/>
          <w:b/>
          <w:bCs/>
          <w:rtl/>
        </w:rPr>
        <w:t>כי</w:t>
      </w:r>
      <w:r w:rsidRPr="00EE592E">
        <w:rPr>
          <w:b/>
          <w:bCs/>
          <w:rtl/>
        </w:rPr>
        <w:t xml:space="preserve"> </w:t>
      </w:r>
      <w:r w:rsidRPr="00EE592E">
        <w:rPr>
          <w:rFonts w:hint="eastAsia"/>
          <w:b/>
          <w:bCs/>
          <w:rtl/>
        </w:rPr>
        <w:t>מתחם</w:t>
      </w:r>
      <w:r w:rsidRPr="00EE592E">
        <w:rPr>
          <w:b/>
          <w:bCs/>
          <w:rtl/>
        </w:rPr>
        <w:t xml:space="preserve"> </w:t>
      </w:r>
      <w:r w:rsidRPr="00EE592E">
        <w:rPr>
          <w:rFonts w:hint="eastAsia"/>
          <w:b/>
          <w:bCs/>
          <w:rtl/>
        </w:rPr>
        <w:t>העונש</w:t>
      </w:r>
      <w:r w:rsidRPr="00EE592E">
        <w:rPr>
          <w:b/>
          <w:bCs/>
          <w:rtl/>
        </w:rPr>
        <w:t xml:space="preserve"> </w:t>
      </w:r>
      <w:r w:rsidRPr="00EE592E">
        <w:rPr>
          <w:rFonts w:hint="eastAsia"/>
          <w:b/>
          <w:bCs/>
          <w:rtl/>
        </w:rPr>
        <w:t>ההולם</w:t>
      </w:r>
      <w:r w:rsidRPr="00EE592E">
        <w:rPr>
          <w:b/>
          <w:bCs/>
          <w:rtl/>
        </w:rPr>
        <w:t xml:space="preserve"> </w:t>
      </w:r>
      <w:r w:rsidRPr="00EE592E">
        <w:rPr>
          <w:rFonts w:hint="eastAsia"/>
          <w:b/>
          <w:bCs/>
          <w:rtl/>
        </w:rPr>
        <w:t>נע</w:t>
      </w:r>
      <w:r w:rsidRPr="00EE592E">
        <w:rPr>
          <w:b/>
          <w:bCs/>
          <w:rtl/>
        </w:rPr>
        <w:t xml:space="preserve"> </w:t>
      </w:r>
      <w:r w:rsidRPr="00EE592E">
        <w:rPr>
          <w:rFonts w:hint="eastAsia"/>
          <w:b/>
          <w:bCs/>
          <w:rtl/>
        </w:rPr>
        <w:t>בין</w:t>
      </w:r>
      <w:r w:rsidRPr="00EE592E">
        <w:rPr>
          <w:b/>
          <w:bCs/>
          <w:rtl/>
        </w:rPr>
        <w:t xml:space="preserve"> 15 </w:t>
      </w:r>
      <w:r w:rsidRPr="00EE592E">
        <w:rPr>
          <w:rFonts w:hint="eastAsia"/>
          <w:b/>
          <w:bCs/>
          <w:rtl/>
        </w:rPr>
        <w:t>ל</w:t>
      </w:r>
      <w:r w:rsidRPr="00EE592E">
        <w:rPr>
          <w:b/>
          <w:bCs/>
          <w:rtl/>
        </w:rPr>
        <w:t xml:space="preserve">-30 </w:t>
      </w:r>
      <w:r w:rsidRPr="00EE592E">
        <w:rPr>
          <w:rFonts w:hint="eastAsia"/>
          <w:b/>
          <w:bCs/>
          <w:rtl/>
        </w:rPr>
        <w:t>חודשי</w:t>
      </w:r>
      <w:r w:rsidRPr="00EE592E">
        <w:rPr>
          <w:b/>
          <w:bCs/>
          <w:rtl/>
        </w:rPr>
        <w:t xml:space="preserve"> </w:t>
      </w:r>
      <w:r w:rsidRPr="00EE592E">
        <w:rPr>
          <w:rFonts w:hint="eastAsia"/>
          <w:b/>
          <w:bCs/>
          <w:rtl/>
        </w:rPr>
        <w:t>מאסר</w:t>
      </w:r>
      <w:r w:rsidRPr="00EE592E">
        <w:rPr>
          <w:b/>
          <w:bCs/>
          <w:rtl/>
        </w:rPr>
        <w:t xml:space="preserve"> </w:t>
      </w:r>
      <w:r w:rsidRPr="00EE592E">
        <w:rPr>
          <w:rFonts w:hint="eastAsia"/>
          <w:b/>
          <w:bCs/>
          <w:rtl/>
        </w:rPr>
        <w:t>בפועל</w:t>
      </w:r>
      <w:r w:rsidRPr="00726752">
        <w:rPr>
          <w:rFonts w:hint="cs"/>
          <w:rtl/>
        </w:rPr>
        <w:t xml:space="preserve">. על הנאשם, צעיר בן 26, ללא עבר פלילי הוטלו 20 חודשי מאסר בפועל ומאסר על תנאי. ערעור שהגיש המערער לבית המשפט העליון התקבל באופן חלקי כך שלאור נסיבות מיוחדות של הנאשם, העונש הופחת ל-16 חודשי מאסר בפועל, לרף התחתון של מתחם העונש ההולם שנקבע. </w:t>
      </w:r>
    </w:p>
    <w:p w14:paraId="10F223FC" w14:textId="77777777" w:rsidR="00CD1AD5" w:rsidRDefault="00CD1AD5" w:rsidP="00CD1AD5">
      <w:pPr>
        <w:pStyle w:val="aa"/>
        <w:numPr>
          <w:ilvl w:val="0"/>
          <w:numId w:val="1"/>
        </w:numPr>
        <w:spacing w:before="240" w:after="240" w:line="360" w:lineRule="auto"/>
        <w:ind w:left="567" w:hanging="567"/>
        <w:jc w:val="both"/>
        <w:rPr>
          <w:lang w:eastAsia="he-IL"/>
        </w:rPr>
      </w:pPr>
      <w:r>
        <w:rPr>
          <w:rFonts w:hint="cs"/>
          <w:rtl/>
        </w:rPr>
        <w:t>ב</w:t>
      </w:r>
      <w:hyperlink r:id="rId43" w:history="1">
        <w:r w:rsidR="0056681F" w:rsidRPr="0056681F">
          <w:rPr>
            <w:color w:val="0000FF"/>
            <w:u w:val="single"/>
            <w:rtl/>
          </w:rPr>
          <w:t>עפ"ג (מח' חיפה)  64033-11-22</w:t>
        </w:r>
      </w:hyperlink>
      <w:r>
        <w:rPr>
          <w:rFonts w:hint="cs"/>
          <w:rtl/>
        </w:rPr>
        <w:t xml:space="preserve"> </w:t>
      </w:r>
      <w:r w:rsidRPr="003831F4">
        <w:rPr>
          <w:rFonts w:hint="eastAsia"/>
          <w:b/>
          <w:bCs/>
          <w:rtl/>
        </w:rPr>
        <w:t>מ</w:t>
      </w:r>
      <w:r w:rsidRPr="00D9792C">
        <w:rPr>
          <w:b/>
          <w:bCs/>
          <w:rtl/>
        </w:rPr>
        <w:t xml:space="preserve">"י </w:t>
      </w:r>
      <w:r w:rsidRPr="00D9792C">
        <w:rPr>
          <w:rFonts w:hint="eastAsia"/>
          <w:b/>
          <w:bCs/>
          <w:rtl/>
        </w:rPr>
        <w:t>נ</w:t>
      </w:r>
      <w:r w:rsidRPr="00D9792C">
        <w:rPr>
          <w:b/>
          <w:bCs/>
          <w:rtl/>
        </w:rPr>
        <w:t xml:space="preserve">' </w:t>
      </w:r>
      <w:r w:rsidRPr="00D9792C">
        <w:rPr>
          <w:rFonts w:hint="eastAsia"/>
          <w:b/>
          <w:bCs/>
          <w:rtl/>
        </w:rPr>
        <w:t>מיכאלוב</w:t>
      </w:r>
      <w:r>
        <w:rPr>
          <w:rFonts w:hint="cs"/>
          <w:rtl/>
        </w:rPr>
        <w:t xml:space="preserve"> (27.3.23), </w:t>
      </w:r>
      <w:r>
        <w:rPr>
          <w:rtl/>
        </w:rPr>
        <w:t xml:space="preserve">המשיב הורשע </w:t>
      </w:r>
      <w:r w:rsidRPr="00D9792C">
        <w:rPr>
          <w:rtl/>
        </w:rPr>
        <w:t xml:space="preserve">בביצוע  עבירה של  החזקת נשק שלא כדין, </w:t>
      </w:r>
      <w:r>
        <w:rPr>
          <w:rFonts w:hint="cs"/>
          <w:rtl/>
        </w:rPr>
        <w:t>בניגוד לסעיף</w:t>
      </w:r>
      <w:r w:rsidRPr="00D9792C">
        <w:rPr>
          <w:rtl/>
        </w:rPr>
        <w:t xml:space="preserve"> </w:t>
      </w:r>
      <w:r w:rsidRPr="0056681F">
        <w:rPr>
          <w:color w:val="000000"/>
          <w:rtl/>
        </w:rPr>
        <w:t xml:space="preserve">סעיף </w:t>
      </w:r>
      <w:hyperlink r:id="rId44" w:history="1">
        <w:r w:rsidR="007E1A31" w:rsidRPr="007E1A31">
          <w:rPr>
            <w:rStyle w:val="Hyperlink"/>
            <w:rtl/>
          </w:rPr>
          <w:t>144(א)</w:t>
        </w:r>
      </w:hyperlink>
      <w:r w:rsidRPr="006640AD">
        <w:rPr>
          <w:rtl/>
        </w:rPr>
        <w:t xml:space="preserve"> ל</w:t>
      </w:r>
      <w:hyperlink r:id="rId45" w:history="1">
        <w:r w:rsidR="0056681F" w:rsidRPr="0056681F">
          <w:rPr>
            <w:color w:val="0000FF"/>
            <w:u w:val="single"/>
            <w:rtl/>
          </w:rPr>
          <w:t>חוק העונשין</w:t>
        </w:r>
      </w:hyperlink>
      <w:r w:rsidRPr="00D9792C">
        <w:rPr>
          <w:rFonts w:cs="Arial"/>
          <w:rtl/>
        </w:rPr>
        <w:t xml:space="preserve"> </w:t>
      </w:r>
      <w:r w:rsidRPr="00D9792C">
        <w:rPr>
          <w:rtl/>
          <w:lang w:eastAsia="he-IL"/>
        </w:rPr>
        <w:t>ועבירה של החזקת סמים לצריכה עצמית</w:t>
      </w:r>
      <w:r>
        <w:rPr>
          <w:rFonts w:hint="cs"/>
          <w:rtl/>
        </w:rPr>
        <w:t xml:space="preserve">. </w:t>
      </w:r>
      <w:r>
        <w:rPr>
          <w:rFonts w:hint="cs"/>
          <w:rtl/>
          <w:lang w:eastAsia="he-IL"/>
        </w:rPr>
        <w:t>המשיב החזיק בביתו</w:t>
      </w:r>
      <w:r w:rsidRPr="00D9792C">
        <w:rPr>
          <w:rtl/>
          <w:lang w:eastAsia="he-IL"/>
        </w:rPr>
        <w:t xml:space="preserve"> אקדח בקוטר 9 מ"מ ובו כדור אחד בקנה, שני כדורים נוספים במחסנית בתוך האקדח וכן החזיק המשיב שני כדורים נוספים המתאימים לשימוש באקדח. עוד </w:t>
      </w:r>
      <w:r>
        <w:rPr>
          <w:rFonts w:hint="cs"/>
          <w:rtl/>
          <w:lang w:eastAsia="he-IL"/>
        </w:rPr>
        <w:t>החזיק המשיב</w:t>
      </w:r>
      <w:r w:rsidRPr="00D9792C">
        <w:rPr>
          <w:rtl/>
          <w:lang w:eastAsia="he-IL"/>
        </w:rPr>
        <w:t xml:space="preserve"> בסם מסוכן מסוג קנאבוס במשקל של 47.62 גרם נטו לצריכה עצמית ללא היתר או רישיון</w:t>
      </w:r>
      <w:r w:rsidRPr="006640AD">
        <w:rPr>
          <w:rtl/>
          <w:lang w:eastAsia="he-IL"/>
        </w:rPr>
        <w:t xml:space="preserve">. </w:t>
      </w:r>
      <w:r>
        <w:rPr>
          <w:rFonts w:hint="cs"/>
          <w:b/>
          <w:bCs/>
          <w:rtl/>
          <w:lang w:eastAsia="he-IL"/>
        </w:rPr>
        <w:t xml:space="preserve">בית המשפט קבע כי </w:t>
      </w:r>
      <w:r w:rsidRPr="003831F4">
        <w:rPr>
          <w:b/>
          <w:bCs/>
          <w:rtl/>
          <w:lang w:eastAsia="he-IL"/>
        </w:rPr>
        <w:t xml:space="preserve">בגין עבירת הנשק מתחם עונש הולם הנע מ-10 </w:t>
      </w:r>
      <w:r>
        <w:rPr>
          <w:rFonts w:hint="cs"/>
          <w:b/>
          <w:bCs/>
          <w:rtl/>
          <w:lang w:eastAsia="he-IL"/>
        </w:rPr>
        <w:t>ל-</w:t>
      </w:r>
      <w:r w:rsidRPr="003831F4">
        <w:rPr>
          <w:b/>
          <w:bCs/>
          <w:rtl/>
          <w:lang w:eastAsia="he-IL"/>
        </w:rPr>
        <w:t xml:space="preserve"> 30 חודשי מאסר בפועל.</w:t>
      </w:r>
      <w:r>
        <w:rPr>
          <w:rFonts w:hint="cs"/>
          <w:rtl/>
          <w:lang w:eastAsia="he-IL"/>
        </w:rPr>
        <w:t xml:space="preserve"> בשל שיקולי שיקום סטה בית המשפט לקולא מהמתחם שנקבע וגזר על הנאשם </w:t>
      </w:r>
      <w:r>
        <w:rPr>
          <w:rtl/>
        </w:rPr>
        <w:t xml:space="preserve">מאסר בפועל לתקופה של 9 חודשים לריצוי בעבודות שרות </w:t>
      </w:r>
      <w:r>
        <w:rPr>
          <w:rFonts w:hint="cs"/>
          <w:rtl/>
        </w:rPr>
        <w:t>וענישה נלווית. המדינה הגעשה ערעור על קולת העונש</w:t>
      </w:r>
      <w:r>
        <w:rPr>
          <w:rFonts w:hint="cs"/>
          <w:rtl/>
          <w:lang w:eastAsia="he-IL"/>
        </w:rPr>
        <w:t xml:space="preserve">, אשר התקבל, ועל הנאשם הוטל עונש של 10 חודשי מאסר בפועל כאשר יתר רכיבי העונש למעט צו המבחן, נותרו על כנם.  </w:t>
      </w:r>
    </w:p>
    <w:p w14:paraId="345B3F7B" w14:textId="77777777" w:rsidR="00CD1AD5" w:rsidRDefault="00CD1AD5" w:rsidP="00CD1AD5">
      <w:pPr>
        <w:pStyle w:val="aa"/>
        <w:numPr>
          <w:ilvl w:val="0"/>
          <w:numId w:val="1"/>
        </w:numPr>
        <w:spacing w:before="240" w:after="240" w:line="360" w:lineRule="auto"/>
        <w:ind w:left="567" w:hanging="567"/>
        <w:jc w:val="both"/>
      </w:pPr>
      <w:r>
        <w:rPr>
          <w:rtl/>
        </w:rPr>
        <w:t>ב</w:t>
      </w:r>
      <w:hyperlink r:id="rId46" w:history="1">
        <w:r w:rsidR="0056681F" w:rsidRPr="0056681F">
          <w:rPr>
            <w:color w:val="0000FF"/>
            <w:u w:val="single"/>
            <w:rtl/>
          </w:rPr>
          <w:t>רע"פ 6265/20</w:t>
        </w:r>
      </w:hyperlink>
      <w:r>
        <w:rPr>
          <w:b/>
          <w:bCs/>
          <w:rtl/>
        </w:rPr>
        <w:t xml:space="preserve"> אבו אלקיעאן </w:t>
      </w:r>
      <w:r>
        <w:rPr>
          <w:rFonts w:hint="cs"/>
          <w:b/>
          <w:bCs/>
          <w:rtl/>
        </w:rPr>
        <w:t xml:space="preserve">ני </w:t>
      </w:r>
      <w:r>
        <w:rPr>
          <w:b/>
          <w:bCs/>
          <w:rtl/>
        </w:rPr>
        <w:t xml:space="preserve">מדינת ישראל </w:t>
      </w:r>
      <w:r>
        <w:rPr>
          <w:rtl/>
        </w:rPr>
        <w:t xml:space="preserve">(15.9.20) המערער הורשע, לאחר ניהול הוכחות, בעבירה של החזקת נשק ותחמושת שלא כדין בניגוד </w:t>
      </w:r>
      <w:hyperlink r:id="rId47" w:history="1">
        <w:r w:rsidR="007E1A31" w:rsidRPr="007E1A31">
          <w:rPr>
            <w:rStyle w:val="Hyperlink"/>
            <w:rtl/>
          </w:rPr>
          <w:t>לסעיף 144(א)</w:t>
        </w:r>
      </w:hyperlink>
      <w:r>
        <w:rPr>
          <w:rtl/>
        </w:rPr>
        <w:t xml:space="preserve"> רישא וסיפא ל</w:t>
      </w:r>
      <w:hyperlink r:id="rId48" w:history="1">
        <w:r w:rsidR="0056681F" w:rsidRPr="0056681F">
          <w:rPr>
            <w:color w:val="0000FF"/>
            <w:u w:val="single"/>
            <w:rtl/>
          </w:rPr>
          <w:t>חוק העונשין</w:t>
        </w:r>
      </w:hyperlink>
      <w:r>
        <w:rPr>
          <w:rtl/>
        </w:rPr>
        <w:t xml:space="preserve">. המערער נתפס מחזיק בנשק חם מסוג אקדח ברטה, חצי אוטומטי, קליבר 9 מ"מ, בצירוף מחסנית ובה כדורים. הנשק הוחזק מתחת לכיסא הנהג ברכב אותו החזיק המערער. בית משפט השלום קבע כי </w:t>
      </w:r>
      <w:r>
        <w:rPr>
          <w:b/>
          <w:bCs/>
          <w:rtl/>
        </w:rPr>
        <w:t xml:space="preserve">מתחם העונש ההולם נע בין 15 ובין 30 חודשי מאסר בפועל </w:t>
      </w:r>
      <w:r>
        <w:rPr>
          <w:rtl/>
        </w:rPr>
        <w:t xml:space="preserve">והשית על המערער, ללא עבר פלילי, עונש של 15 חודשי מאסר בפועל וענישה נלווית. בית המשפט המחוזי </w:t>
      </w:r>
      <w:r>
        <w:rPr>
          <w:rFonts w:hint="cs"/>
          <w:rtl/>
        </w:rPr>
        <w:t>קיבל ערעור על חומרת העונש והפחית את עונשו של המערער ל-</w:t>
      </w:r>
      <w:r>
        <w:rPr>
          <w:rtl/>
        </w:rPr>
        <w:t xml:space="preserve"> 12 חודשי מאסר בפועל לאור נסיבות אישיות משפחתיות. </w:t>
      </w:r>
    </w:p>
    <w:p w14:paraId="2B9F2FB8" w14:textId="77777777" w:rsidR="00CD1AD5" w:rsidRDefault="00CD1AD5" w:rsidP="00CD1AD5">
      <w:pPr>
        <w:pStyle w:val="aa"/>
        <w:numPr>
          <w:ilvl w:val="0"/>
          <w:numId w:val="1"/>
        </w:numPr>
        <w:spacing w:before="240" w:after="240" w:line="360" w:lineRule="auto"/>
        <w:ind w:left="567" w:hanging="567"/>
        <w:jc w:val="both"/>
      </w:pPr>
      <w:r>
        <w:rPr>
          <w:rtl/>
        </w:rPr>
        <w:t>ב</w:t>
      </w:r>
      <w:hyperlink r:id="rId49" w:history="1">
        <w:r w:rsidR="0056681F" w:rsidRPr="0056681F">
          <w:rPr>
            <w:color w:val="0000FF"/>
            <w:u w:val="single"/>
            <w:rtl/>
          </w:rPr>
          <w:t>ע"פ 2141/21</w:t>
        </w:r>
      </w:hyperlink>
      <w:r>
        <w:rPr>
          <w:rtl/>
        </w:rPr>
        <w:t xml:space="preserve"> </w:t>
      </w:r>
      <w:r>
        <w:rPr>
          <w:b/>
          <w:bCs/>
          <w:rtl/>
        </w:rPr>
        <w:t>איתן חניני נ' מדינת ישראל</w:t>
      </w:r>
      <w:r>
        <w:rPr>
          <w:rtl/>
        </w:rPr>
        <w:t xml:space="preserve"> (3.5.21) המערער הורשע, על פי הודאתו, בהחזקת נשק לפי</w:t>
      </w:r>
      <w:r w:rsidR="0056681F">
        <w:rPr>
          <w:rtl/>
        </w:rPr>
        <w:t xml:space="preserve"> </w:t>
      </w:r>
      <w:hyperlink r:id="rId50" w:history="1">
        <w:r w:rsidR="007E1A31" w:rsidRPr="007E1A31">
          <w:rPr>
            <w:rStyle w:val="Hyperlink"/>
            <w:rtl/>
          </w:rPr>
          <w:t>סעיף 144(א)</w:t>
        </w:r>
      </w:hyperlink>
      <w:r w:rsidR="0056681F">
        <w:rPr>
          <w:rtl/>
        </w:rPr>
        <w:t xml:space="preserve"> </w:t>
      </w:r>
      <w:r>
        <w:rPr>
          <w:rtl/>
        </w:rPr>
        <w:t>רישא ותחמושת לפי</w:t>
      </w:r>
      <w:r w:rsidR="0056681F">
        <w:rPr>
          <w:rtl/>
        </w:rPr>
        <w:t xml:space="preserve"> </w:t>
      </w:r>
      <w:hyperlink r:id="rId51" w:history="1">
        <w:r w:rsidR="007E1A31" w:rsidRPr="007E1A31">
          <w:rPr>
            <w:rStyle w:val="Hyperlink"/>
            <w:rtl/>
          </w:rPr>
          <w:t>סעיף 144(א)</w:t>
        </w:r>
      </w:hyperlink>
      <w:r w:rsidR="0056681F">
        <w:rPr>
          <w:rtl/>
        </w:rPr>
        <w:t xml:space="preserve"> </w:t>
      </w:r>
      <w:r>
        <w:rPr>
          <w:rtl/>
        </w:rPr>
        <w:t>סיפא ל</w:t>
      </w:r>
      <w:hyperlink r:id="rId52" w:history="1">
        <w:r w:rsidR="0056681F" w:rsidRPr="0056681F">
          <w:rPr>
            <w:color w:val="0000FF"/>
            <w:u w:val="single"/>
            <w:rtl/>
          </w:rPr>
          <w:t>חוק העונשין</w:t>
        </w:r>
      </w:hyperlink>
      <w:r>
        <w:rPr>
          <w:rtl/>
        </w:rPr>
        <w:t xml:space="preserve">. המערער הצטייד באקדח אוויר שבוצעו בו שינויים שמאפשרים ירי של תחמושת בקליבר 7.65 מ"מ ובכדורים תואמים –ללא רישיון כדין. המערער נתפס בחצר קרובה לביתו, כשהוא נושא את האקדח על גופו ובתוכו ארבעה כדורים. בית המשפט המחוזי קבע כי </w:t>
      </w:r>
      <w:r>
        <w:rPr>
          <w:b/>
          <w:bCs/>
          <w:rtl/>
        </w:rPr>
        <w:t>מתחם העונש ההולם נע בין 12 ל-30 חודשי מאסר בפועל,</w:t>
      </w:r>
      <w:r>
        <w:rPr>
          <w:rtl/>
        </w:rPr>
        <w:t xml:space="preserve"> וגזר על המערער 20 חודשי מאסר בפועל. ערעור שהגיש המערער לבית המשפט העליון נדחה. </w:t>
      </w:r>
    </w:p>
    <w:p w14:paraId="14F67E1D" w14:textId="77777777" w:rsidR="00CD1AD5" w:rsidRDefault="00CD1AD5" w:rsidP="00CD1AD5">
      <w:pPr>
        <w:pStyle w:val="aa"/>
        <w:numPr>
          <w:ilvl w:val="0"/>
          <w:numId w:val="1"/>
        </w:numPr>
        <w:spacing w:before="240" w:after="240" w:line="360" w:lineRule="auto"/>
        <w:ind w:left="567" w:hanging="567"/>
        <w:jc w:val="both"/>
        <w:rPr>
          <w:rtl/>
        </w:rPr>
      </w:pPr>
      <w:r w:rsidRPr="00196454">
        <w:rPr>
          <w:rFonts w:hint="cs"/>
          <w:rtl/>
        </w:rPr>
        <w:t>ב</w:t>
      </w:r>
      <w:hyperlink r:id="rId53" w:history="1">
        <w:r w:rsidR="0056681F" w:rsidRPr="0056681F">
          <w:rPr>
            <w:color w:val="0000FF"/>
            <w:u w:val="single"/>
            <w:rtl/>
          </w:rPr>
          <w:t>עפ"ג 68620-02-20</w:t>
        </w:r>
      </w:hyperlink>
      <w:r w:rsidRPr="00196454">
        <w:rPr>
          <w:rFonts w:hint="cs"/>
          <w:rtl/>
        </w:rPr>
        <w:t xml:space="preserve"> </w:t>
      </w:r>
      <w:r w:rsidRPr="00196454">
        <w:rPr>
          <w:rFonts w:hint="cs"/>
          <w:b/>
          <w:bCs/>
          <w:rtl/>
        </w:rPr>
        <w:t>שיאבנה ואח' נ' מדינת ישראל</w:t>
      </w:r>
      <w:r w:rsidRPr="00196454">
        <w:rPr>
          <w:rFonts w:hint="cs"/>
          <w:rtl/>
        </w:rPr>
        <w:t xml:space="preserve"> (27.5.20) הנאשמים הורשעו על פי הודאתם, בעבירה של החזקת נשק ותחמושת בניגוד </w:t>
      </w:r>
      <w:hyperlink r:id="rId54" w:history="1">
        <w:r w:rsidR="007E1A31" w:rsidRPr="007E1A31">
          <w:rPr>
            <w:rStyle w:val="Hyperlink"/>
            <w:rFonts w:hint="eastAsia"/>
            <w:rtl/>
          </w:rPr>
          <w:t>לסעיפים</w:t>
        </w:r>
        <w:r w:rsidR="007E1A31" w:rsidRPr="007E1A31">
          <w:rPr>
            <w:rStyle w:val="Hyperlink"/>
            <w:rtl/>
          </w:rPr>
          <w:t xml:space="preserve"> 144(א)</w:t>
        </w:r>
      </w:hyperlink>
      <w:r w:rsidRPr="00196454">
        <w:rPr>
          <w:rFonts w:hint="cs"/>
          <w:rtl/>
        </w:rPr>
        <w:t xml:space="preserve"> +</w:t>
      </w:r>
      <w:r w:rsidRPr="00196454">
        <w:rPr>
          <w:rFonts w:hint="cs"/>
        </w:rPr>
        <w:t xml:space="preserve"> </w:t>
      </w:r>
      <w:hyperlink r:id="rId55" w:history="1">
        <w:r w:rsidR="007E1A31" w:rsidRPr="007E1A31">
          <w:rPr>
            <w:rStyle w:val="Hyperlink"/>
            <w:rtl/>
          </w:rPr>
          <w:t>29</w:t>
        </w:r>
      </w:hyperlink>
      <w:r w:rsidRPr="00196454">
        <w:rPr>
          <w:rFonts w:hint="cs"/>
          <w:rtl/>
        </w:rPr>
        <w:t xml:space="preserve"> ל</w:t>
      </w:r>
      <w:hyperlink r:id="rId56" w:history="1">
        <w:r w:rsidR="0056681F" w:rsidRPr="0056681F">
          <w:rPr>
            <w:color w:val="0000FF"/>
            <w:u w:val="single"/>
            <w:rtl/>
          </w:rPr>
          <w:t>חוק העונשין</w:t>
        </w:r>
      </w:hyperlink>
      <w:r w:rsidRPr="00196454">
        <w:rPr>
          <w:rFonts w:hint="cs"/>
          <w:rtl/>
        </w:rPr>
        <w:t xml:space="preserve">, ועבירה של החזקת </w:t>
      </w:r>
      <w:r>
        <w:rPr>
          <w:rFonts w:hint="cs"/>
          <w:rtl/>
        </w:rPr>
        <w:t xml:space="preserve">נשק ותחמושת </w:t>
      </w:r>
      <w:r w:rsidRPr="00196454">
        <w:rPr>
          <w:rFonts w:hint="cs"/>
          <w:rtl/>
        </w:rPr>
        <w:t xml:space="preserve">בניגוד </w:t>
      </w:r>
      <w:hyperlink r:id="rId57" w:history="1">
        <w:r w:rsidR="007E1A31" w:rsidRPr="007E1A31">
          <w:rPr>
            <w:rStyle w:val="Hyperlink"/>
            <w:rFonts w:hint="eastAsia"/>
            <w:rtl/>
          </w:rPr>
          <w:t>לסעיף</w:t>
        </w:r>
        <w:r w:rsidR="007E1A31" w:rsidRPr="007E1A31">
          <w:rPr>
            <w:rStyle w:val="Hyperlink"/>
            <w:rtl/>
          </w:rPr>
          <w:t xml:space="preserve"> 144(א)</w:t>
        </w:r>
      </w:hyperlink>
      <w:r w:rsidRPr="00196454">
        <w:rPr>
          <w:rFonts w:hint="cs"/>
          <w:rtl/>
        </w:rPr>
        <w:t xml:space="preserve"> </w:t>
      </w:r>
      <w:r>
        <w:rPr>
          <w:rFonts w:hint="cs"/>
          <w:rtl/>
        </w:rPr>
        <w:t xml:space="preserve">רישא לחוק העונשין (לנאשם 2 בלבד). הנאשם 2 החזיק בחדר ילדים בביתו של נאשם 1, אקדח פאראבלום, ושתי מחסניות מתאימות, שהכילו 14 כדורים, כל אחת מהן, וזאת בלא רשות על פי דין להחזיקם. באותו מועד, החזיקו שני הנאשמים, בצוותא חדא, בבית הנאשם 1, במגירה התחתונה, באחד מארונות המטבח, אקדח "ברטה" ושתי מחסניות מתאימות, אשר הכילו 25 כדורים, וזאת בלא רשות על פי דין להחזקתם. בית משפט השלום קבע כי </w:t>
      </w:r>
      <w:r>
        <w:rPr>
          <w:rFonts w:hint="cs"/>
          <w:b/>
          <w:bCs/>
          <w:rtl/>
        </w:rPr>
        <w:t>מתחם העונש ההולם לנאשם 1 נע בין 9 חודשי מאסר בפועל, ל-24 חודשי מאסר בפועל, ולנאשם 2 נע בין 15 חודשי מאסר בפועל, ל-30 חודשי מאסר בפועל</w:t>
      </w:r>
      <w:r>
        <w:rPr>
          <w:rFonts w:hint="cs"/>
          <w:rtl/>
        </w:rPr>
        <w:t xml:space="preserve">. על נאשם 1 הושתו 9 חודשי מאסר בפועל שירוצו בעבודות שירות וענישה נלווית, ועל נאשם 2 הוטלו 15 חודשי מאסר בפועל וענישה נלווית. ערעור שהוגש לבית המשפט המחוזי התקבל חלקית כך שבעניינו של נאשם 2 הערעור נדחה ובעניינו של נאשם 1 בוטל פסק הדין של בית משפט קמא, הוא הורשע בעבירה של סיוע להחזקת נשק ותחמושת, והוטלו עליו 4 חודשי מאסר בעבודות שירות וענישה נלווית. </w:t>
      </w:r>
    </w:p>
    <w:p w14:paraId="4F50D0F6" w14:textId="77777777" w:rsidR="00CD1AD5" w:rsidRDefault="00CD1AD5" w:rsidP="00CD1AD5">
      <w:pPr>
        <w:spacing w:before="240" w:after="240" w:line="360" w:lineRule="auto"/>
        <w:jc w:val="both"/>
        <w:rPr>
          <w:rFonts w:ascii="David" w:hAnsi="David"/>
          <w:color w:val="000000"/>
          <w:sz w:val="27"/>
          <w:szCs w:val="27"/>
          <w:rtl/>
        </w:rPr>
      </w:pPr>
      <w:r>
        <w:rPr>
          <w:rFonts w:ascii="David" w:hAnsi="David"/>
          <w:rtl/>
        </w:rPr>
        <w:t xml:space="preserve">לאחר ששקלתי את מכלול השיקולים המעוגנים </w:t>
      </w:r>
      <w:hyperlink r:id="rId58" w:history="1">
        <w:r w:rsidR="007E1A31" w:rsidRPr="007E1A31">
          <w:rPr>
            <w:rStyle w:val="Hyperlink"/>
            <w:rFonts w:ascii="David" w:hAnsi="David"/>
            <w:rtl/>
          </w:rPr>
          <w:t>בסעיף 40ג(א)</w:t>
        </w:r>
      </w:hyperlink>
      <w:r w:rsidRPr="00E16073">
        <w:rPr>
          <w:rFonts w:ascii="David" w:hAnsi="David"/>
          <w:rtl/>
        </w:rPr>
        <w:t xml:space="preserve"> ל</w:t>
      </w:r>
      <w:hyperlink r:id="rId59" w:history="1">
        <w:r w:rsidR="0056681F" w:rsidRPr="0056681F">
          <w:rPr>
            <w:rFonts w:ascii="David" w:hAnsi="David"/>
            <w:color w:val="0000FF"/>
            <w:u w:val="single"/>
            <w:rtl/>
          </w:rPr>
          <w:t>חוק העונשין</w:t>
        </w:r>
      </w:hyperlink>
      <w:r w:rsidRPr="00E16073">
        <w:rPr>
          <w:rFonts w:ascii="David" w:hAnsi="David"/>
          <w:rtl/>
        </w:rPr>
        <w:t xml:space="preserve">, </w:t>
      </w:r>
      <w:r>
        <w:rPr>
          <w:rFonts w:ascii="David" w:hAnsi="David"/>
          <w:rtl/>
        </w:rPr>
        <w:t xml:space="preserve">אני קובעת כי </w:t>
      </w:r>
      <w:r>
        <w:rPr>
          <w:rFonts w:ascii="David" w:hAnsi="David"/>
          <w:b/>
          <w:bCs/>
          <w:rtl/>
        </w:rPr>
        <w:t xml:space="preserve">מתחם העונש ההולם נע בין </w:t>
      </w:r>
      <w:r>
        <w:rPr>
          <w:rFonts w:ascii="David" w:hAnsi="David" w:hint="cs"/>
          <w:b/>
          <w:bCs/>
          <w:rtl/>
        </w:rPr>
        <w:t>14</w:t>
      </w:r>
      <w:r>
        <w:rPr>
          <w:rFonts w:ascii="David" w:hAnsi="David"/>
          <w:b/>
          <w:bCs/>
          <w:rtl/>
        </w:rPr>
        <w:t xml:space="preserve"> חודשי מאסר בפועל ל- </w:t>
      </w:r>
      <w:r>
        <w:rPr>
          <w:rFonts w:ascii="David" w:hAnsi="David" w:hint="cs"/>
          <w:b/>
          <w:bCs/>
          <w:rtl/>
        </w:rPr>
        <w:t>30</w:t>
      </w:r>
      <w:r>
        <w:rPr>
          <w:rFonts w:ascii="David" w:hAnsi="David"/>
          <w:b/>
          <w:bCs/>
          <w:rtl/>
        </w:rPr>
        <w:t xml:space="preserve"> חודשי מאסר בפועל</w:t>
      </w:r>
      <w:r>
        <w:rPr>
          <w:rFonts w:ascii="David" w:hAnsi="David"/>
          <w:rtl/>
        </w:rPr>
        <w:t>, בצירוף ענישה נלווית.</w:t>
      </w:r>
    </w:p>
    <w:p w14:paraId="6A6D5092" w14:textId="77777777" w:rsidR="00CD1AD5" w:rsidRDefault="00CD1AD5" w:rsidP="00CD1AD5">
      <w:pPr>
        <w:spacing w:before="240" w:after="240" w:line="360" w:lineRule="auto"/>
        <w:jc w:val="both"/>
        <w:rPr>
          <w:rFonts w:ascii="Arial" w:hAnsi="Arial"/>
          <w:b/>
          <w:bCs/>
        </w:rPr>
      </w:pPr>
      <w:r>
        <w:rPr>
          <w:rFonts w:ascii="Arial" w:hAnsi="Arial"/>
          <w:b/>
          <w:bCs/>
          <w:rtl/>
        </w:rPr>
        <w:t>חריגה ממתחם העונש ההולם:</w:t>
      </w:r>
    </w:p>
    <w:p w14:paraId="7EB8DDC2" w14:textId="77777777" w:rsidR="00CD1AD5" w:rsidRDefault="00CD1AD5" w:rsidP="00CD1AD5">
      <w:pPr>
        <w:spacing w:before="240" w:after="240" w:line="360" w:lineRule="auto"/>
        <w:jc w:val="both"/>
        <w:rPr>
          <w:rFonts w:ascii="Arial" w:hAnsi="Arial"/>
          <w:rtl/>
        </w:rPr>
      </w:pPr>
      <w:r>
        <w:rPr>
          <w:rFonts w:ascii="Arial" w:hAnsi="Arial"/>
          <w:rtl/>
        </w:rPr>
        <w:t>בעניינ</w:t>
      </w:r>
      <w:r>
        <w:rPr>
          <w:rFonts w:ascii="Arial" w:hAnsi="Arial" w:hint="cs"/>
          <w:rtl/>
        </w:rPr>
        <w:t>ו</w:t>
      </w:r>
      <w:r>
        <w:rPr>
          <w:rFonts w:ascii="Arial" w:hAnsi="Arial"/>
          <w:rtl/>
        </w:rPr>
        <w:t xml:space="preserve"> של הנאשם לא מצאתי נסיבות המצדיקות סטייה ממתחם העונש ההולם לא לחומרא ולא לקולא. </w:t>
      </w:r>
    </w:p>
    <w:p w14:paraId="15204AD3" w14:textId="77777777" w:rsidR="00CD1AD5" w:rsidRDefault="00CD1AD5" w:rsidP="00CD1AD5">
      <w:pPr>
        <w:spacing w:before="240" w:after="240" w:line="360" w:lineRule="auto"/>
        <w:rPr>
          <w:rFonts w:ascii="Arial" w:hAnsi="Arial"/>
          <w:b/>
          <w:bCs/>
        </w:rPr>
      </w:pPr>
      <w:r>
        <w:rPr>
          <w:rFonts w:ascii="Arial" w:hAnsi="Arial"/>
          <w:b/>
          <w:bCs/>
          <w:rtl/>
        </w:rPr>
        <w:t xml:space="preserve">הנסיבות שאינן קשורות בביצוע העבירות: </w:t>
      </w:r>
    </w:p>
    <w:p w14:paraId="12E33122" w14:textId="77777777" w:rsidR="00CD1AD5" w:rsidRDefault="00CD1AD5" w:rsidP="00CD1AD5">
      <w:pPr>
        <w:spacing w:before="240" w:after="240" w:line="360" w:lineRule="auto"/>
        <w:jc w:val="both"/>
        <w:rPr>
          <w:rFonts w:ascii="Arial" w:hAnsi="Arial"/>
          <w:rtl/>
        </w:rPr>
      </w:pPr>
      <w:r>
        <w:rPr>
          <w:rFonts w:ascii="Arial" w:hAnsi="Arial"/>
          <w:rtl/>
        </w:rPr>
        <w:t xml:space="preserve">לקולא שקלתי את הודאתו </w:t>
      </w:r>
      <w:r>
        <w:rPr>
          <w:rFonts w:ascii="Arial" w:hAnsi="Arial" w:hint="cs"/>
          <w:rtl/>
        </w:rPr>
        <w:t xml:space="preserve">המיידית </w:t>
      </w:r>
      <w:r>
        <w:rPr>
          <w:rFonts w:ascii="Arial" w:hAnsi="Arial"/>
          <w:rtl/>
        </w:rPr>
        <w:t xml:space="preserve">של הנאשם בכתב האישום במסגרת הליך מוקד, נטילת האחריות על מעשיו והבעת חרטה. </w:t>
      </w:r>
    </w:p>
    <w:p w14:paraId="30E0ACD6" w14:textId="77777777" w:rsidR="00CD1AD5" w:rsidRDefault="00CD1AD5" w:rsidP="00CD1AD5">
      <w:pPr>
        <w:spacing w:before="240" w:after="240" w:line="360" w:lineRule="auto"/>
        <w:jc w:val="both"/>
        <w:rPr>
          <w:rFonts w:ascii="Arial" w:hAnsi="Arial"/>
          <w:rtl/>
        </w:rPr>
      </w:pPr>
      <w:r>
        <w:rPr>
          <w:rFonts w:ascii="Arial" w:hAnsi="Arial" w:hint="cs"/>
          <w:rtl/>
        </w:rPr>
        <w:t>הנאשם, צעיר בן 23, ואין לחובתו עבר פלילי, והוא עצור עד תום הליכים מזה תקופה.</w:t>
      </w:r>
    </w:p>
    <w:p w14:paraId="36534C29" w14:textId="77777777" w:rsidR="00CD1AD5" w:rsidRDefault="00CD1AD5" w:rsidP="00CD1AD5">
      <w:pPr>
        <w:spacing w:before="240" w:after="240" w:line="360" w:lineRule="auto"/>
        <w:jc w:val="both"/>
        <w:rPr>
          <w:rFonts w:ascii="Arial" w:hAnsi="Arial"/>
          <w:rtl/>
        </w:rPr>
      </w:pPr>
      <w:r>
        <w:rPr>
          <w:rFonts w:ascii="Arial" w:hAnsi="Arial" w:hint="cs"/>
          <w:rtl/>
        </w:rPr>
        <w:t xml:space="preserve">הנאשם בן למשפחה נורמטיבית ושירת בצה"ל שירות מלא, כפי שהדברים עולים ממכתב שהוגש בעניינו (טע/4). </w:t>
      </w:r>
    </w:p>
    <w:p w14:paraId="349D8023" w14:textId="77777777" w:rsidR="00CD1AD5" w:rsidRDefault="00CD1AD5" w:rsidP="00CD1AD5">
      <w:pPr>
        <w:spacing w:before="240" w:after="240" w:line="360" w:lineRule="auto"/>
        <w:jc w:val="both"/>
        <w:rPr>
          <w:rFonts w:ascii="Arial" w:hAnsi="Arial"/>
          <w:b/>
          <w:bCs/>
          <w:rtl/>
        </w:rPr>
      </w:pPr>
    </w:p>
    <w:p w14:paraId="19497DE2" w14:textId="77777777" w:rsidR="00CD1AD5" w:rsidRDefault="00CD1AD5" w:rsidP="00CD1AD5">
      <w:pPr>
        <w:spacing w:before="240" w:after="240" w:line="360" w:lineRule="auto"/>
        <w:jc w:val="both"/>
        <w:rPr>
          <w:rFonts w:ascii="Arial" w:hAnsi="Arial"/>
          <w:b/>
          <w:bCs/>
          <w:rtl/>
        </w:rPr>
      </w:pPr>
      <w:r>
        <w:rPr>
          <w:rFonts w:ascii="Arial" w:hAnsi="Arial"/>
          <w:b/>
          <w:bCs/>
          <w:rtl/>
        </w:rPr>
        <w:t xml:space="preserve">לאחר ששקלתי את כלל השיקולים המפורטים לעיל, אני גוזרת על הנאשם </w:t>
      </w:r>
      <w:r>
        <w:rPr>
          <w:rFonts w:ascii="Arial" w:hAnsi="Arial" w:hint="cs"/>
          <w:b/>
          <w:bCs/>
          <w:rtl/>
        </w:rPr>
        <w:t>את העונשים הבאים:</w:t>
      </w:r>
    </w:p>
    <w:p w14:paraId="336EFF4D" w14:textId="77777777" w:rsidR="00CD1AD5" w:rsidRDefault="00CD1AD5" w:rsidP="00CD1AD5">
      <w:pPr>
        <w:pStyle w:val="aa"/>
        <w:numPr>
          <w:ilvl w:val="0"/>
          <w:numId w:val="2"/>
        </w:numPr>
        <w:spacing w:before="240" w:after="240" w:line="360" w:lineRule="auto"/>
        <w:jc w:val="both"/>
        <w:rPr>
          <w:rFonts w:ascii="Arial" w:hAnsi="Arial"/>
          <w:b/>
          <w:bCs/>
          <w:sz w:val="26"/>
          <w:szCs w:val="26"/>
          <w:rtl/>
        </w:rPr>
      </w:pPr>
      <w:r>
        <w:rPr>
          <w:rFonts w:ascii="Arial" w:hAnsi="Arial" w:hint="cs"/>
          <w:rtl/>
        </w:rPr>
        <w:t>14 חודשי מאסר בפועל, מיום מעצרו בתאריך  30.6.24.</w:t>
      </w:r>
    </w:p>
    <w:p w14:paraId="4444E94A" w14:textId="77777777" w:rsidR="00CD1AD5" w:rsidRDefault="00CD1AD5" w:rsidP="00CD1AD5">
      <w:pPr>
        <w:pStyle w:val="aa"/>
        <w:numPr>
          <w:ilvl w:val="0"/>
          <w:numId w:val="2"/>
        </w:numPr>
        <w:spacing w:before="240" w:after="240" w:line="360" w:lineRule="auto"/>
        <w:jc w:val="both"/>
        <w:rPr>
          <w:rFonts w:ascii="Arial" w:hAnsi="Arial"/>
          <w:b/>
          <w:bCs/>
          <w:sz w:val="26"/>
          <w:szCs w:val="26"/>
        </w:rPr>
      </w:pPr>
      <w:r>
        <w:rPr>
          <w:rFonts w:ascii="Arial" w:hAnsi="Arial" w:hint="cs"/>
          <w:rtl/>
        </w:rPr>
        <w:t xml:space="preserve">7 חודשי מאסר על תנאי למשך 3 שנים מיום שחרורו של הנאשם, והתנאי הוא כי הנאשם לא יעבור בתקופת התנאי אחת מהעבירות בהן הורשע בתיק זה, ויורשע בגינה. </w:t>
      </w:r>
    </w:p>
    <w:p w14:paraId="22B69E31" w14:textId="77777777" w:rsidR="00CD1AD5" w:rsidRDefault="00CD1AD5" w:rsidP="00CD1AD5">
      <w:pPr>
        <w:pStyle w:val="aa"/>
        <w:numPr>
          <w:ilvl w:val="0"/>
          <w:numId w:val="2"/>
        </w:numPr>
        <w:spacing w:before="240" w:after="240" w:line="360" w:lineRule="auto"/>
        <w:jc w:val="both"/>
        <w:rPr>
          <w:rFonts w:ascii="Arial" w:hAnsi="Arial"/>
          <w:b/>
          <w:bCs/>
          <w:sz w:val="26"/>
          <w:szCs w:val="26"/>
        </w:rPr>
      </w:pPr>
      <w:r>
        <w:rPr>
          <w:rFonts w:ascii="Arial" w:hAnsi="Arial" w:hint="cs"/>
          <w:rtl/>
        </w:rPr>
        <w:t xml:space="preserve">קנס בסך 3,000 או 15 יום מאסר תחתיו. הקנס ישולם תוך 90 יום מהיום. </w:t>
      </w:r>
    </w:p>
    <w:p w14:paraId="52DF7D44" w14:textId="77777777" w:rsidR="00CD1AD5" w:rsidRDefault="00CD1AD5" w:rsidP="00CD1AD5">
      <w:pPr>
        <w:spacing w:line="360" w:lineRule="auto"/>
        <w:jc w:val="both"/>
        <w:rPr>
          <w:b/>
          <w:bCs/>
        </w:rPr>
      </w:pPr>
      <w:r>
        <w:rPr>
          <w:b/>
          <w:bCs/>
          <w:rtl/>
        </w:rPr>
        <w:t xml:space="preserve">הקנס ישולם לחשבון המרכז לגביית קנסות, אגרות והוצאות ברשות האכיפה והגבייה,  </w:t>
      </w:r>
    </w:p>
    <w:p w14:paraId="62D56DC5" w14:textId="77777777" w:rsidR="00CD1AD5" w:rsidRDefault="00CD1AD5" w:rsidP="00CD1AD5">
      <w:pPr>
        <w:spacing w:line="360" w:lineRule="auto"/>
        <w:jc w:val="both"/>
        <w:rPr>
          <w:b/>
          <w:bCs/>
        </w:rPr>
      </w:pPr>
      <w:r>
        <w:rPr>
          <w:b/>
          <w:bCs/>
          <w:rtl/>
        </w:rPr>
        <w:t>ניתן לשלם את הקנס באחת הדרכים הבאות:</w:t>
      </w:r>
    </w:p>
    <w:p w14:paraId="30E11721" w14:textId="77777777" w:rsidR="00CD1AD5" w:rsidRDefault="00CD1AD5" w:rsidP="00CD1AD5">
      <w:pPr>
        <w:spacing w:line="360" w:lineRule="auto"/>
        <w:jc w:val="both"/>
        <w:rPr>
          <w:b/>
          <w:bCs/>
        </w:rPr>
      </w:pPr>
      <w:r>
        <w:rPr>
          <w:b/>
          <w:bCs/>
          <w:rtl/>
        </w:rPr>
        <w:t xml:space="preserve">בכרטיס אשראי – באתר המקוון של רשות האכיפה והגבייה, </w:t>
      </w:r>
      <w:r>
        <w:rPr>
          <w:b/>
          <w:bCs/>
        </w:rPr>
        <w:t xml:space="preserve">www.eca.gov.il </w:t>
      </w:r>
      <w:r>
        <w:rPr>
          <w:b/>
          <w:bCs/>
          <w:rtl/>
        </w:rPr>
        <w:t xml:space="preserve">  </w:t>
      </w:r>
    </w:p>
    <w:p w14:paraId="46410A6E" w14:textId="77777777" w:rsidR="00CD1AD5" w:rsidRDefault="00CD1AD5" w:rsidP="00CD1AD5">
      <w:pPr>
        <w:spacing w:line="360" w:lineRule="auto"/>
        <w:jc w:val="both"/>
        <w:rPr>
          <w:b/>
          <w:bCs/>
          <w:rtl/>
        </w:rPr>
      </w:pPr>
      <w:r>
        <w:rPr>
          <w:b/>
          <w:bCs/>
          <w:rtl/>
        </w:rPr>
        <w:t>במזומן בכל סניף של בנק הדואר – בהצגת תעודת זהות בלבד (אין צורך בשוברי תשלום).</w:t>
      </w:r>
    </w:p>
    <w:p w14:paraId="4839F5B4" w14:textId="77777777" w:rsidR="00CD1AD5" w:rsidRDefault="0056681F" w:rsidP="00CD1AD5">
      <w:pPr>
        <w:spacing w:before="240" w:after="240" w:line="360" w:lineRule="auto"/>
        <w:jc w:val="both"/>
        <w:rPr>
          <w:rFonts w:ascii="Arial" w:hAnsi="Arial"/>
          <w:b/>
          <w:bCs/>
          <w:color w:val="FFFFFF"/>
          <w:sz w:val="2"/>
          <w:szCs w:val="2"/>
          <w:u w:val="single"/>
          <w:rtl/>
        </w:rPr>
      </w:pPr>
      <w:r w:rsidRPr="0056681F">
        <w:rPr>
          <w:rFonts w:ascii="Arial" w:hAnsi="Arial"/>
          <w:b/>
          <w:bCs/>
          <w:color w:val="FFFFFF"/>
          <w:sz w:val="2"/>
          <w:szCs w:val="2"/>
          <w:u w:val="single"/>
          <w:rtl/>
        </w:rPr>
        <w:t>5129371</w:t>
      </w:r>
      <w:r w:rsidR="00CD1AD5">
        <w:rPr>
          <w:rFonts w:ascii="Arial" w:hAnsi="Arial" w:hint="cs"/>
          <w:b/>
          <w:bCs/>
          <w:u w:val="single"/>
          <w:rtl/>
        </w:rPr>
        <w:t xml:space="preserve"> </w:t>
      </w:r>
      <w:r w:rsidR="00CD1AD5">
        <w:rPr>
          <w:rFonts w:ascii="Arial" w:hAnsi="Arial"/>
          <w:b/>
          <w:bCs/>
          <w:color w:val="FFFFFF"/>
          <w:sz w:val="2"/>
          <w:szCs w:val="2"/>
          <w:u w:val="single"/>
          <w:rtl/>
        </w:rPr>
        <w:t>54678313</w:t>
      </w:r>
    </w:p>
    <w:p w14:paraId="7293C8C3" w14:textId="77777777" w:rsidR="00CD1AD5" w:rsidRDefault="0056681F" w:rsidP="00CD1AD5">
      <w:pPr>
        <w:spacing w:before="240" w:after="240" w:line="360" w:lineRule="auto"/>
        <w:jc w:val="both"/>
        <w:rPr>
          <w:rFonts w:ascii="Arial" w:hAnsi="Arial"/>
          <w:b/>
          <w:bCs/>
          <w:u w:val="single"/>
          <w:rtl/>
        </w:rPr>
      </w:pPr>
      <w:r w:rsidRPr="0056681F">
        <w:rPr>
          <w:rFonts w:ascii="Arial" w:hAnsi="Arial"/>
          <w:b/>
          <w:bCs/>
          <w:color w:val="FFFFFF"/>
          <w:sz w:val="2"/>
          <w:szCs w:val="2"/>
          <w:u w:val="single"/>
          <w:rtl/>
        </w:rPr>
        <w:t>54678313</w:t>
      </w:r>
      <w:r w:rsidR="00CD1AD5">
        <w:rPr>
          <w:rFonts w:ascii="Arial" w:hAnsi="Arial"/>
          <w:b/>
          <w:bCs/>
          <w:u w:val="single"/>
          <w:rtl/>
        </w:rPr>
        <w:t xml:space="preserve">זכות ערעור תוך 45 יום מהיום לבית המשפט המחוזי בחיפה. </w:t>
      </w:r>
    </w:p>
    <w:p w14:paraId="2A89E0E5" w14:textId="77777777" w:rsidR="00CD1AD5" w:rsidRPr="00BA6A8B" w:rsidRDefault="00CD1AD5" w:rsidP="00CD1AD5">
      <w:pPr>
        <w:spacing w:before="240" w:after="240" w:line="360" w:lineRule="auto"/>
        <w:jc w:val="both"/>
        <w:rPr>
          <w:rFonts w:ascii="Arial" w:hAnsi="Arial"/>
          <w:rtl/>
        </w:rPr>
      </w:pPr>
    </w:p>
    <w:p w14:paraId="06857501" w14:textId="77777777" w:rsidR="00CD1AD5" w:rsidRPr="000F2247" w:rsidRDefault="0056681F" w:rsidP="00CD1AD5">
      <w:pPr>
        <w:spacing w:before="240" w:after="240" w:line="360" w:lineRule="auto"/>
        <w:jc w:val="both"/>
        <w:rPr>
          <w:rFonts w:ascii="Arial" w:hAnsi="Arial"/>
          <w:b/>
          <w:bCs/>
          <w:sz w:val="26"/>
          <w:szCs w:val="26"/>
          <w:rtl/>
        </w:rPr>
      </w:pPr>
      <w:bookmarkStart w:id="7" w:name="Nitan"/>
      <w:r>
        <w:rPr>
          <w:rFonts w:ascii="Arial" w:hAnsi="Arial"/>
          <w:rtl/>
        </w:rPr>
        <w:t xml:space="preserve">ניתן היום,  ט"ז חשוון תשפ"ה, 17 נובמבר 2024, במעמד הצדדים. </w:t>
      </w:r>
      <w:bookmarkEnd w:id="7"/>
      <w:r w:rsidR="00CD1AD5">
        <w:rPr>
          <w:rFonts w:ascii="Arial" w:hAnsi="Arial"/>
          <w:b/>
          <w:bCs/>
          <w:sz w:val="26"/>
          <w:szCs w:val="26"/>
          <w:rtl/>
        </w:rPr>
        <w:tab/>
      </w:r>
      <w:r w:rsidR="00CD1AD5">
        <w:rPr>
          <w:rFonts w:ascii="Arial" w:hAnsi="Arial"/>
          <w:b/>
          <w:bCs/>
          <w:sz w:val="26"/>
          <w:szCs w:val="26"/>
          <w:rtl/>
        </w:rPr>
        <w:tab/>
      </w:r>
      <w:r w:rsidR="00CD1AD5">
        <w:rPr>
          <w:rFonts w:ascii="Arial" w:hAnsi="Arial"/>
          <w:b/>
          <w:bCs/>
          <w:sz w:val="26"/>
          <w:szCs w:val="26"/>
          <w:rtl/>
        </w:rPr>
        <w:tab/>
      </w:r>
      <w:r w:rsidR="00CD1AD5">
        <w:rPr>
          <w:rFonts w:ascii="Arial" w:hAnsi="Arial"/>
          <w:b/>
          <w:bCs/>
          <w:sz w:val="26"/>
          <w:szCs w:val="26"/>
          <w:rtl/>
        </w:rPr>
        <w:tab/>
      </w:r>
      <w:r w:rsidR="00CD1AD5">
        <w:rPr>
          <w:rFonts w:ascii="Arial" w:hAnsi="Arial"/>
          <w:b/>
          <w:bCs/>
          <w:sz w:val="26"/>
          <w:szCs w:val="26"/>
          <w:rtl/>
        </w:rPr>
        <w:tab/>
      </w:r>
      <w:r w:rsidR="00CD1AD5">
        <w:rPr>
          <w:rFonts w:ascii="Arial" w:hAnsi="Arial"/>
          <w:b/>
          <w:bCs/>
          <w:sz w:val="26"/>
          <w:szCs w:val="26"/>
          <w:rtl/>
        </w:rPr>
        <w:tab/>
      </w:r>
      <w:r w:rsidR="00CD1AD5">
        <w:rPr>
          <w:rFonts w:ascii="Arial" w:hAnsi="Arial"/>
          <w:b/>
          <w:bCs/>
          <w:sz w:val="26"/>
          <w:szCs w:val="26"/>
          <w:rtl/>
        </w:rPr>
        <w:tab/>
      </w:r>
      <w:r w:rsidR="00CD1AD5">
        <w:rPr>
          <w:rFonts w:ascii="Arial" w:hAnsi="Arial" w:hint="cs"/>
          <w:b/>
          <w:bCs/>
          <w:sz w:val="26"/>
          <w:szCs w:val="26"/>
          <w:rtl/>
        </w:rPr>
        <w:t xml:space="preserve">         </w:t>
      </w:r>
    </w:p>
    <w:p w14:paraId="48E6699A" w14:textId="77777777" w:rsidR="00CD1AD5" w:rsidRPr="000F2247" w:rsidRDefault="00CD1AD5" w:rsidP="0056681F">
      <w:pPr>
        <w:spacing w:before="240" w:after="240"/>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6E024D" w14:textId="77777777" w:rsidR="00CD1AD5" w:rsidRPr="000F2247" w:rsidRDefault="00CD1AD5" w:rsidP="00CD1AD5">
      <w:pPr>
        <w:spacing w:before="240" w:after="240"/>
        <w:jc w:val="center"/>
        <w:rPr>
          <w:rFonts w:ascii="Arial" w:hAnsi="Arial"/>
          <w:b/>
          <w:bCs/>
          <w:sz w:val="26"/>
          <w:szCs w:val="26"/>
          <w:rtl/>
        </w:rPr>
      </w:pPr>
    </w:p>
    <w:p w14:paraId="795B1724" w14:textId="77777777" w:rsidR="00B22D71" w:rsidRPr="0056681F" w:rsidRDefault="00B22D71" w:rsidP="0056681F">
      <w:pPr>
        <w:keepNext/>
        <w:rPr>
          <w:rFonts w:ascii="David" w:hAnsi="David"/>
          <w:color w:val="000000"/>
          <w:sz w:val="22"/>
          <w:szCs w:val="22"/>
          <w:rtl/>
        </w:rPr>
      </w:pPr>
    </w:p>
    <w:p w14:paraId="3693B1BF" w14:textId="77777777" w:rsidR="0056681F" w:rsidRPr="0056681F" w:rsidRDefault="0056681F" w:rsidP="0056681F">
      <w:pPr>
        <w:keepNext/>
        <w:rPr>
          <w:rFonts w:ascii="David" w:hAnsi="David"/>
          <w:color w:val="000000"/>
          <w:sz w:val="22"/>
          <w:szCs w:val="22"/>
          <w:rtl/>
        </w:rPr>
      </w:pPr>
      <w:r w:rsidRPr="0056681F">
        <w:rPr>
          <w:rFonts w:ascii="David" w:hAnsi="David"/>
          <w:color w:val="000000"/>
          <w:sz w:val="22"/>
          <w:szCs w:val="22"/>
          <w:rtl/>
        </w:rPr>
        <w:t>מריה פיקוס בוגדאנוב 54678313</w:t>
      </w:r>
    </w:p>
    <w:p w14:paraId="5B16B4FE" w14:textId="77777777" w:rsidR="0056681F" w:rsidRDefault="0056681F" w:rsidP="0056681F">
      <w:r w:rsidRPr="0056681F">
        <w:rPr>
          <w:color w:val="000000"/>
          <w:rtl/>
        </w:rPr>
        <w:t>נוסח מסמך זה כפוף לשינויי ניסוח ועריכה</w:t>
      </w:r>
    </w:p>
    <w:p w14:paraId="112A4E7E" w14:textId="77777777" w:rsidR="0056681F" w:rsidRDefault="0056681F" w:rsidP="0056681F">
      <w:pPr>
        <w:rPr>
          <w:rtl/>
        </w:rPr>
      </w:pPr>
    </w:p>
    <w:p w14:paraId="1F11DF90" w14:textId="77777777" w:rsidR="0056681F" w:rsidRDefault="0056681F" w:rsidP="0056681F">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0BBA5C1A" w14:textId="77777777" w:rsidR="0056681F" w:rsidRPr="0056681F" w:rsidRDefault="0056681F" w:rsidP="0056681F">
      <w:pPr>
        <w:jc w:val="center"/>
        <w:rPr>
          <w:color w:val="0000FF"/>
          <w:u w:val="single"/>
        </w:rPr>
      </w:pPr>
    </w:p>
    <w:sectPr w:rsidR="0056681F" w:rsidRPr="0056681F" w:rsidSect="0056681F">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3D9A8" w14:textId="77777777" w:rsidR="00514D2C" w:rsidRDefault="00514D2C" w:rsidP="00951B11">
      <w:r>
        <w:separator/>
      </w:r>
    </w:p>
  </w:endnote>
  <w:endnote w:type="continuationSeparator" w:id="0">
    <w:p w14:paraId="6F5B98C2" w14:textId="77777777" w:rsidR="00514D2C" w:rsidRDefault="00514D2C" w:rsidP="0095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348E6" w14:textId="77777777" w:rsidR="0056681F" w:rsidRDefault="0056681F" w:rsidP="0056681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D07711" w14:textId="77777777" w:rsidR="00DE23C8" w:rsidRPr="0056681F" w:rsidRDefault="0056681F" w:rsidP="0056681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79BA4" w14:textId="77777777" w:rsidR="0056681F" w:rsidRDefault="0056681F" w:rsidP="0056681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3E22">
      <w:rPr>
        <w:rFonts w:ascii="FrankRuehl" w:hAnsi="FrankRuehl" w:cs="FrankRuehl"/>
        <w:noProof/>
        <w:rtl/>
      </w:rPr>
      <w:t>1</w:t>
    </w:r>
    <w:r>
      <w:rPr>
        <w:rFonts w:ascii="FrankRuehl" w:hAnsi="FrankRuehl" w:cs="FrankRuehl"/>
        <w:rtl/>
      </w:rPr>
      <w:fldChar w:fldCharType="end"/>
    </w:r>
  </w:p>
  <w:p w14:paraId="481AAC28" w14:textId="77777777" w:rsidR="00DE23C8" w:rsidRPr="0056681F" w:rsidRDefault="0056681F" w:rsidP="0056681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678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FF438" w14:textId="77777777" w:rsidR="00514D2C" w:rsidRDefault="00514D2C" w:rsidP="00951B11">
      <w:r>
        <w:separator/>
      </w:r>
    </w:p>
  </w:footnote>
  <w:footnote w:type="continuationSeparator" w:id="0">
    <w:p w14:paraId="50E4F9D9" w14:textId="77777777" w:rsidR="00514D2C" w:rsidRDefault="00514D2C" w:rsidP="0095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F062F" w14:textId="77777777" w:rsidR="0056681F" w:rsidRPr="0056681F" w:rsidRDefault="0056681F" w:rsidP="005668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28624-07-24</w:t>
    </w:r>
    <w:r>
      <w:rPr>
        <w:rFonts w:ascii="David" w:hAnsi="David"/>
        <w:color w:val="000000"/>
        <w:sz w:val="22"/>
        <w:szCs w:val="22"/>
        <w:rtl/>
      </w:rPr>
      <w:tab/>
      <w:t xml:space="preserve"> מדינת ישראל נ' עאטף כיוף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0EC1C" w14:textId="77777777" w:rsidR="0056681F" w:rsidRPr="0056681F" w:rsidRDefault="0056681F" w:rsidP="005668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28624-07-24</w:t>
    </w:r>
    <w:r>
      <w:rPr>
        <w:rFonts w:ascii="David" w:hAnsi="David"/>
        <w:color w:val="000000"/>
        <w:sz w:val="22"/>
        <w:szCs w:val="22"/>
        <w:rtl/>
      </w:rPr>
      <w:tab/>
      <w:t xml:space="preserve"> מדינת ישראל נ' עאטף כיוף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800B7"/>
    <w:multiLevelType w:val="hybridMultilevel"/>
    <w:tmpl w:val="CE46CC6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9276C2"/>
    <w:multiLevelType w:val="hybridMultilevel"/>
    <w:tmpl w:val="E0801B60"/>
    <w:lvl w:ilvl="0" w:tplc="9DB83D4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5973465">
    <w:abstractNumId w:val="0"/>
  </w:num>
  <w:num w:numId="2" w16cid:durableId="356470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1AD5"/>
    <w:rsid w:val="00514D2C"/>
    <w:rsid w:val="0056681F"/>
    <w:rsid w:val="007E1A31"/>
    <w:rsid w:val="00951B11"/>
    <w:rsid w:val="00B22D71"/>
    <w:rsid w:val="00B92735"/>
    <w:rsid w:val="00CD1AD5"/>
    <w:rsid w:val="00DE23C8"/>
    <w:rsid w:val="00F72D5F"/>
    <w:rsid w:val="00FC3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86415E"/>
  <w15:chartTrackingRefBased/>
  <w15:docId w15:val="{6CFDB98C-D2F2-491C-969D-3C08F15E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1A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1AD5"/>
    <w:pPr>
      <w:tabs>
        <w:tab w:val="center" w:pos="4153"/>
        <w:tab w:val="right" w:pos="8306"/>
      </w:tabs>
    </w:pPr>
  </w:style>
  <w:style w:type="character" w:customStyle="1" w:styleId="a4">
    <w:name w:val="כותרת עליונה תו"/>
    <w:link w:val="a3"/>
    <w:rsid w:val="00CD1AD5"/>
    <w:rPr>
      <w:rFonts w:ascii="Times New Roman" w:eastAsia="Times New Roman" w:hAnsi="Times New Roman" w:cs="David"/>
      <w:sz w:val="24"/>
      <w:szCs w:val="24"/>
    </w:rPr>
  </w:style>
  <w:style w:type="paragraph" w:styleId="a5">
    <w:name w:val="footer"/>
    <w:basedOn w:val="a"/>
    <w:link w:val="a6"/>
    <w:rsid w:val="00CD1AD5"/>
    <w:pPr>
      <w:tabs>
        <w:tab w:val="center" w:pos="4153"/>
        <w:tab w:val="right" w:pos="8306"/>
      </w:tabs>
    </w:pPr>
  </w:style>
  <w:style w:type="character" w:customStyle="1" w:styleId="a6">
    <w:name w:val="כותרת תחתונה תו"/>
    <w:link w:val="a5"/>
    <w:rsid w:val="00CD1AD5"/>
    <w:rPr>
      <w:rFonts w:ascii="Times New Roman" w:eastAsia="Times New Roman" w:hAnsi="Times New Roman" w:cs="David"/>
      <w:sz w:val="24"/>
      <w:szCs w:val="24"/>
    </w:rPr>
  </w:style>
  <w:style w:type="table" w:styleId="a7">
    <w:name w:val="Table Grid"/>
    <w:basedOn w:val="a1"/>
    <w:rsid w:val="00CD1A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1AD5"/>
  </w:style>
  <w:style w:type="character" w:styleId="Hyperlink">
    <w:name w:val="Hyperlink"/>
    <w:rsid w:val="00CD1AD5"/>
    <w:rPr>
      <w:color w:val="0000FF"/>
      <w:u w:val="single"/>
    </w:rPr>
  </w:style>
  <w:style w:type="character" w:customStyle="1" w:styleId="a9">
    <w:name w:val="פיסקת רשימה תו"/>
    <w:link w:val="aa"/>
    <w:locked/>
    <w:rsid w:val="00CD1AD5"/>
    <w:rPr>
      <w:rFonts w:ascii="David" w:hAnsi="David" w:cs="David"/>
      <w:sz w:val="24"/>
      <w:szCs w:val="24"/>
    </w:rPr>
  </w:style>
  <w:style w:type="paragraph" w:styleId="aa">
    <w:name w:val="List Paragraph"/>
    <w:basedOn w:val="a"/>
    <w:link w:val="a9"/>
    <w:qFormat/>
    <w:rsid w:val="00CD1AD5"/>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30472303"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29"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1475135" TargetMode="External"/><Relationship Id="rId32" Type="http://schemas.openxmlformats.org/officeDocument/2006/relationships/hyperlink" Target="http://www.nevo.co.il/case/28699338" TargetMode="External"/><Relationship Id="rId37" Type="http://schemas.openxmlformats.org/officeDocument/2006/relationships/hyperlink" Target="http://www.nevo.co.il/case/28231421" TargetMode="External"/><Relationship Id="rId40" Type="http://schemas.openxmlformats.org/officeDocument/2006/relationships/hyperlink" Target="http://www.nevo.co.il/case/28400048"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6499616" TargetMode="External"/><Relationship Id="rId58" Type="http://schemas.openxmlformats.org/officeDocument/2006/relationships/hyperlink" Target="http://www.nevo.co.il/law/70301/40c.a"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9174839"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64"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case/6834904" TargetMode="External"/><Relationship Id="rId25" Type="http://schemas.openxmlformats.org/officeDocument/2006/relationships/hyperlink" Target="http://www.nevo.co.il/case/29805376" TargetMode="External"/><Relationship Id="rId33" Type="http://schemas.openxmlformats.org/officeDocument/2006/relationships/hyperlink" Target="http://www.nevo.co.il/case/28852952"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26986974" TargetMode="External"/><Relationship Id="rId59" Type="http://schemas.openxmlformats.org/officeDocument/2006/relationships/hyperlink" Target="http://www.nevo.co.il/law/70301" TargetMode="External"/><Relationship Id="rId20" Type="http://schemas.openxmlformats.org/officeDocument/2006/relationships/hyperlink" Target="http://www.nevo.co.il/case/20531134"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law/70301/144.a"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317992"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7502726"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17498</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http://www.nevo.co.il/law/70301/40c.a</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4063357</vt:i4>
      </vt:variant>
      <vt:variant>
        <vt:i4>138</vt:i4>
      </vt:variant>
      <vt:variant>
        <vt:i4>0</vt:i4>
      </vt:variant>
      <vt:variant>
        <vt:i4>5</vt:i4>
      </vt:variant>
      <vt:variant>
        <vt:lpwstr>http://www.nevo.co.il/case/26499616</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3604596</vt:i4>
      </vt:variant>
      <vt:variant>
        <vt:i4>126</vt:i4>
      </vt:variant>
      <vt:variant>
        <vt:i4>0</vt:i4>
      </vt:variant>
      <vt:variant>
        <vt:i4>5</vt:i4>
      </vt:variant>
      <vt:variant>
        <vt:lpwstr>http://www.nevo.co.il/case/27502726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3801203</vt:i4>
      </vt:variant>
      <vt:variant>
        <vt:i4>117</vt:i4>
      </vt:variant>
      <vt:variant>
        <vt:i4>0</vt:i4>
      </vt:variant>
      <vt:variant>
        <vt:i4>5</vt:i4>
      </vt:variant>
      <vt:variant>
        <vt:lpwstr>http://www.nevo.co.il/case/26986974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3407986</vt:i4>
      </vt:variant>
      <vt:variant>
        <vt:i4>108</vt:i4>
      </vt:variant>
      <vt:variant>
        <vt:i4>0</vt:i4>
      </vt:variant>
      <vt:variant>
        <vt:i4>5</vt:i4>
      </vt:variant>
      <vt:variant>
        <vt:lpwstr>http://www.nevo.co.il/case/29174839</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3276924</vt:i4>
      </vt:variant>
      <vt:variant>
        <vt:i4>99</vt:i4>
      </vt:variant>
      <vt:variant>
        <vt:i4>0</vt:i4>
      </vt:variant>
      <vt:variant>
        <vt:i4>5</vt:i4>
      </vt:variant>
      <vt:variant>
        <vt:lpwstr>http://www.nevo.co.il/case/28400048</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3342459</vt:i4>
      </vt:variant>
      <vt:variant>
        <vt:i4>90</vt:i4>
      </vt:variant>
      <vt:variant>
        <vt:i4>0</vt:i4>
      </vt:variant>
      <vt:variant>
        <vt:i4>5</vt:i4>
      </vt:variant>
      <vt:variant>
        <vt:lpwstr>http://www.nevo.co.il/case/28231421</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3473520</vt:i4>
      </vt:variant>
      <vt:variant>
        <vt:i4>81</vt:i4>
      </vt:variant>
      <vt:variant>
        <vt:i4>0</vt:i4>
      </vt:variant>
      <vt:variant>
        <vt:i4>5</vt:i4>
      </vt:variant>
      <vt:variant>
        <vt:lpwstr>http://www.nevo.co.il/case/30472303</vt:lpwstr>
      </vt:variant>
      <vt:variant>
        <vt:lpwstr/>
      </vt:variant>
      <vt:variant>
        <vt:i4>3997808</vt:i4>
      </vt:variant>
      <vt:variant>
        <vt:i4>78</vt:i4>
      </vt:variant>
      <vt:variant>
        <vt:i4>0</vt:i4>
      </vt:variant>
      <vt:variant>
        <vt:i4>5</vt:i4>
      </vt:variant>
      <vt:variant>
        <vt:lpwstr>http://www.nevo.co.il/case/28852952</vt:lpwstr>
      </vt:variant>
      <vt:variant>
        <vt:lpwstr/>
      </vt:variant>
      <vt:variant>
        <vt:i4>4063350</vt:i4>
      </vt:variant>
      <vt:variant>
        <vt:i4>75</vt:i4>
      </vt:variant>
      <vt:variant>
        <vt:i4>0</vt:i4>
      </vt:variant>
      <vt:variant>
        <vt:i4>5</vt:i4>
      </vt:variant>
      <vt:variant>
        <vt:lpwstr>http://www.nevo.co.il/case/28699338</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4128884</vt:i4>
      </vt:variant>
      <vt:variant>
        <vt:i4>63</vt:i4>
      </vt:variant>
      <vt:variant>
        <vt:i4>0</vt:i4>
      </vt:variant>
      <vt:variant>
        <vt:i4>5</vt:i4>
      </vt:variant>
      <vt:variant>
        <vt:lpwstr>http://www.nevo.co.il/case/28317992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3670142</vt:i4>
      </vt:variant>
      <vt:variant>
        <vt:i4>54</vt:i4>
      </vt:variant>
      <vt:variant>
        <vt:i4>0</vt:i4>
      </vt:variant>
      <vt:variant>
        <vt:i4>5</vt:i4>
      </vt:variant>
      <vt:variant>
        <vt:lpwstr>http://www.nevo.co.il/case/29805376</vt:lpwstr>
      </vt:variant>
      <vt:variant>
        <vt:lpwstr/>
      </vt:variant>
      <vt:variant>
        <vt:i4>3145843</vt:i4>
      </vt:variant>
      <vt:variant>
        <vt:i4>51</vt:i4>
      </vt:variant>
      <vt:variant>
        <vt:i4>0</vt:i4>
      </vt:variant>
      <vt:variant>
        <vt:i4>5</vt:i4>
      </vt:variant>
      <vt:variant>
        <vt:lpwstr>http://www.nevo.co.il/case/21475135</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3473526</vt:i4>
      </vt:variant>
      <vt:variant>
        <vt:i4>39</vt:i4>
      </vt:variant>
      <vt:variant>
        <vt:i4>0</vt:i4>
      </vt:variant>
      <vt:variant>
        <vt:i4>5</vt:i4>
      </vt:variant>
      <vt:variant>
        <vt:lpwstr>http://www.nevo.co.il/case/20531134</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http://www.nevo.co.il/law/70301/144.g</vt:lpwstr>
      </vt:variant>
      <vt:variant>
        <vt:lpwstr/>
      </vt:variant>
      <vt:variant>
        <vt:i4>3670136</vt:i4>
      </vt:variant>
      <vt:variant>
        <vt:i4>30</vt:i4>
      </vt:variant>
      <vt:variant>
        <vt:i4>0</vt:i4>
      </vt:variant>
      <vt:variant>
        <vt:i4>5</vt:i4>
      </vt:variant>
      <vt:variant>
        <vt:lpwstr>http://www.nevo.co.il/case/6834904</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2025-01-19T17:55:00Z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28624</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עאטף כיוף</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20241117</vt:lpwstr>
  </property>
  <property fmtid="{D5CDD505-2E9C-101B-9397-08002B2CF9AE}" pid="13" name="TYPE_N_DATE">
    <vt:lpwstr>38020241117</vt:lpwstr>
  </property>
  <property fmtid="{D5CDD505-2E9C-101B-9397-08002B2CF9AE}" pid="14" name="CASESLISTTMP1">
    <vt:lpwstr>5573417;6834904;20531134;21475135;29805376;28317992;28699338;28852952;30472303;28231421;28400048;29174839;26986974;27502726;26499616</vt:lpwstr>
  </property>
  <property fmtid="{D5CDD505-2E9C-101B-9397-08002B2CF9AE}" pid="15" name="CASENOTES1">
    <vt:lpwstr>ProcID=209&amp;PartA=63991&amp;PartB=03&amp;PartC=23</vt:lpwstr>
  </property>
  <property fmtid="{D5CDD505-2E9C-101B-9397-08002B2CF9AE}" pid="16" name="CASENOTES2">
    <vt:lpwstr>ProcID=133;209&amp;PartA=1332&amp;PartC=04</vt:lpwstr>
  </property>
  <property fmtid="{D5CDD505-2E9C-101B-9397-08002B2CF9AE}" pid="17" name="WORDNUMPAGES">
    <vt:lpwstr>8</vt:lpwstr>
  </property>
  <property fmtid="{D5CDD505-2E9C-101B-9397-08002B2CF9AE}" pid="18" name="TYPE_ABS_DATE">
    <vt:lpwstr>380020241117</vt:lpwstr>
  </property>
  <property fmtid="{D5CDD505-2E9C-101B-9397-08002B2CF9AE}" pid="19" name="ISABSTRACT">
    <vt:lpwstr>Y</vt:lpwstr>
  </property>
  <property fmtid="{D5CDD505-2E9C-101B-9397-08002B2CF9AE}" pid="20" name="LAWLISTTMP1">
    <vt:lpwstr>70301/144.a:14;144.g;029:2;144.b;040c.a</vt:lpwstr>
  </property>
</Properties>
</file>