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43" w:type="dxa"/>
        <w:jc w:val="center"/>
        <w:tblLook w:val="0000" w:firstRow="0" w:lastRow="0" w:firstColumn="0" w:lastColumn="0" w:noHBand="0" w:noVBand="0"/>
      </w:tblPr>
      <w:tblGrid>
        <w:gridCol w:w="923"/>
        <w:gridCol w:w="3219"/>
        <w:gridCol w:w="917"/>
        <w:gridCol w:w="3761"/>
        <w:gridCol w:w="23"/>
      </w:tblGrid>
      <w:tr w:rsidR="00E01278" w:rsidRPr="008611DB" w14:paraId="00A49B19" w14:textId="77777777" w:rsidTr="006F4531">
        <w:trPr>
          <w:trHeight w:hRule="exact" w:val="418"/>
          <w:jc w:val="center"/>
        </w:trPr>
        <w:tc>
          <w:tcPr>
            <w:tcW w:w="8843" w:type="dxa"/>
            <w:gridSpan w:val="5"/>
          </w:tcPr>
          <w:p w14:paraId="198E3C1B" w14:textId="77777777" w:rsidR="00E01278" w:rsidRPr="008611DB" w:rsidRDefault="00E01278" w:rsidP="00F47EEC">
            <w:pPr>
              <w:pStyle w:val="a4"/>
              <w:jc w:val="center"/>
              <w:rPr>
                <w:rFonts w:ascii="Tahoma" w:hAnsi="Tahoma" w:cs="Tahoma"/>
                <w:color w:val="000080"/>
                <w:rtl/>
              </w:rPr>
            </w:pPr>
            <w:r w:rsidRPr="008611DB">
              <w:rPr>
                <w:rFonts w:ascii="Tahoma" w:hAnsi="Tahoma" w:cs="Tahoma"/>
                <w:b/>
                <w:bCs/>
                <w:color w:val="000080"/>
                <w:rtl/>
              </w:rPr>
              <w:t>בית משפט השלום בבאר שבע</w:t>
            </w:r>
          </w:p>
        </w:tc>
      </w:tr>
      <w:tr w:rsidR="00E01278" w:rsidRPr="008611DB" w14:paraId="389DB35E" w14:textId="77777777" w:rsidTr="006F4531">
        <w:trPr>
          <w:trHeight w:val="337"/>
          <w:jc w:val="center"/>
        </w:trPr>
        <w:tc>
          <w:tcPr>
            <w:tcW w:w="5059" w:type="dxa"/>
            <w:gridSpan w:val="3"/>
          </w:tcPr>
          <w:p w14:paraId="45DEC5E7" w14:textId="77777777" w:rsidR="00E01278" w:rsidRPr="008611DB" w:rsidRDefault="00E01278" w:rsidP="00F47EEC">
            <w:pPr>
              <w:rPr>
                <w:rFonts w:cs="FrankRuehl"/>
                <w:sz w:val="28"/>
                <w:szCs w:val="28"/>
                <w:rtl/>
              </w:rPr>
            </w:pPr>
            <w:r w:rsidRPr="008611DB">
              <w:rPr>
                <w:rFonts w:cs="FrankRuehl"/>
                <w:sz w:val="28"/>
                <w:szCs w:val="28"/>
                <w:rtl/>
              </w:rPr>
              <w:t>ת"פ</w:t>
            </w:r>
            <w:r w:rsidRPr="008611DB">
              <w:rPr>
                <w:rFonts w:cs="FrankRuehl" w:hint="cs"/>
                <w:sz w:val="28"/>
                <w:szCs w:val="28"/>
                <w:rtl/>
              </w:rPr>
              <w:t xml:space="preserve"> </w:t>
            </w:r>
            <w:r w:rsidRPr="008611DB">
              <w:rPr>
                <w:rFonts w:cs="FrankRuehl"/>
                <w:sz w:val="28"/>
                <w:szCs w:val="28"/>
                <w:rtl/>
              </w:rPr>
              <w:t>64378-07-24</w:t>
            </w:r>
            <w:r w:rsidRPr="008611DB">
              <w:rPr>
                <w:rFonts w:cs="FrankRuehl" w:hint="cs"/>
                <w:sz w:val="28"/>
                <w:szCs w:val="28"/>
                <w:rtl/>
              </w:rPr>
              <w:t xml:space="preserve"> </w:t>
            </w:r>
            <w:r w:rsidRPr="008611DB">
              <w:rPr>
                <w:rFonts w:cs="FrankRuehl"/>
                <w:sz w:val="28"/>
                <w:szCs w:val="28"/>
                <w:rtl/>
              </w:rPr>
              <w:t>מדינת ישראל נ' אבו מדיעם(עציר)</w:t>
            </w:r>
          </w:p>
          <w:p w14:paraId="0E5B1520" w14:textId="77777777" w:rsidR="00E01278" w:rsidRPr="008611DB" w:rsidRDefault="00E01278" w:rsidP="00F47EEC">
            <w:pPr>
              <w:pStyle w:val="a4"/>
              <w:rPr>
                <w:rFonts w:cs="FrankRuehl"/>
                <w:sz w:val="28"/>
                <w:szCs w:val="28"/>
                <w:rtl/>
              </w:rPr>
            </w:pPr>
          </w:p>
        </w:tc>
        <w:tc>
          <w:tcPr>
            <w:tcW w:w="3784" w:type="dxa"/>
            <w:gridSpan w:val="2"/>
          </w:tcPr>
          <w:p w14:paraId="57462246" w14:textId="77777777" w:rsidR="00E01278" w:rsidRPr="008611DB" w:rsidRDefault="00E01278" w:rsidP="00F47EEC">
            <w:pPr>
              <w:pStyle w:val="a4"/>
              <w:jc w:val="right"/>
              <w:rPr>
                <w:rFonts w:cs="FrankRuehl"/>
                <w:sz w:val="28"/>
                <w:szCs w:val="28"/>
                <w:rtl/>
              </w:rPr>
            </w:pPr>
          </w:p>
        </w:tc>
      </w:tr>
      <w:tr w:rsidR="00E01278" w:rsidRPr="008611DB" w14:paraId="029D0F45" w14:textId="77777777" w:rsidTr="006F45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295"/>
          <w:jc w:val="center"/>
        </w:trPr>
        <w:tc>
          <w:tcPr>
            <w:tcW w:w="923" w:type="dxa"/>
            <w:tcBorders>
              <w:top w:val="nil"/>
              <w:left w:val="nil"/>
              <w:bottom w:val="nil"/>
              <w:right w:val="nil"/>
            </w:tcBorders>
            <w:shd w:val="clear" w:color="auto" w:fill="auto"/>
          </w:tcPr>
          <w:p w14:paraId="14F6F21F" w14:textId="77777777" w:rsidR="00E01278" w:rsidRPr="008611DB" w:rsidRDefault="00E01278" w:rsidP="00E01278">
            <w:pPr>
              <w:jc w:val="both"/>
              <w:rPr>
                <w:rFonts w:ascii="David" w:hAnsi="David"/>
                <w:sz w:val="26"/>
                <w:szCs w:val="26"/>
              </w:rPr>
            </w:pPr>
            <w:r w:rsidRPr="008611DB">
              <w:rPr>
                <w:rFonts w:hint="cs"/>
                <w:rtl/>
              </w:rPr>
              <w:t xml:space="preserve"> </w:t>
            </w:r>
            <w:r w:rsidRPr="008611DB">
              <w:rPr>
                <w:rFonts w:ascii="David" w:hAnsi="David" w:hint="cs"/>
                <w:sz w:val="26"/>
                <w:szCs w:val="26"/>
                <w:rtl/>
              </w:rPr>
              <w:t>ל</w:t>
            </w:r>
            <w:r w:rsidRPr="008611DB">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60B341FD" w14:textId="77777777" w:rsidR="00E01278" w:rsidRPr="008611DB" w:rsidRDefault="00E01278" w:rsidP="00F47EEC">
            <w:pPr>
              <w:rPr>
                <w:rFonts w:ascii="David" w:hAnsi="David"/>
                <w:b/>
                <w:bCs/>
                <w:sz w:val="26"/>
                <w:szCs w:val="26"/>
                <w:rtl/>
              </w:rPr>
            </w:pPr>
            <w:r w:rsidRPr="008611DB">
              <w:rPr>
                <w:rFonts w:ascii="David" w:hAnsi="David"/>
                <w:b/>
                <w:bCs/>
                <w:sz w:val="26"/>
                <w:szCs w:val="26"/>
                <w:rtl/>
              </w:rPr>
              <w:t>כבוד השופט, סגן הנשיא  אבישי כהן</w:t>
            </w:r>
          </w:p>
          <w:p w14:paraId="57F75FA0" w14:textId="77777777" w:rsidR="00E01278" w:rsidRPr="008611DB" w:rsidRDefault="00E01278" w:rsidP="00F47EEC">
            <w:pPr>
              <w:rPr>
                <w:rFonts w:ascii="David" w:hAnsi="David"/>
                <w:sz w:val="26"/>
                <w:szCs w:val="26"/>
                <w:rtl/>
              </w:rPr>
            </w:pPr>
          </w:p>
          <w:p w14:paraId="481C595D" w14:textId="77777777" w:rsidR="00E01278" w:rsidRPr="008611DB" w:rsidRDefault="00E01278" w:rsidP="00E01278">
            <w:pPr>
              <w:jc w:val="both"/>
              <w:rPr>
                <w:rFonts w:ascii="David" w:hAnsi="David"/>
                <w:sz w:val="26"/>
                <w:szCs w:val="26"/>
              </w:rPr>
            </w:pPr>
          </w:p>
        </w:tc>
      </w:tr>
      <w:tr w:rsidR="00E01278" w:rsidRPr="008611DB" w14:paraId="64135474" w14:textId="77777777" w:rsidTr="006F45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5E5F6C4F" w14:textId="77777777" w:rsidR="00E01278" w:rsidRPr="008611DB" w:rsidRDefault="00E01278" w:rsidP="00E01278">
            <w:pPr>
              <w:jc w:val="both"/>
              <w:rPr>
                <w:rFonts w:ascii="David" w:hAnsi="David"/>
                <w:sz w:val="26"/>
                <w:szCs w:val="26"/>
              </w:rPr>
            </w:pPr>
            <w:bookmarkStart w:id="0" w:name="FirstAppellant"/>
            <w:bookmarkStart w:id="1" w:name="FirstLawyer"/>
            <w:bookmarkStart w:id="2" w:name="LastJudge"/>
            <w:bookmarkEnd w:id="2"/>
            <w:r w:rsidRPr="008611DB">
              <w:rPr>
                <w:rFonts w:ascii="David" w:hAnsi="David"/>
                <w:sz w:val="26"/>
                <w:szCs w:val="26"/>
                <w:rtl/>
              </w:rPr>
              <w:t>בעניין:</w:t>
            </w:r>
          </w:p>
        </w:tc>
        <w:tc>
          <w:tcPr>
            <w:tcW w:w="3219" w:type="dxa"/>
            <w:tcBorders>
              <w:top w:val="nil"/>
              <w:left w:val="nil"/>
              <w:bottom w:val="nil"/>
              <w:right w:val="nil"/>
            </w:tcBorders>
            <w:shd w:val="clear" w:color="auto" w:fill="auto"/>
          </w:tcPr>
          <w:p w14:paraId="0DCAECEB" w14:textId="77777777" w:rsidR="00E01278" w:rsidRPr="008611DB" w:rsidRDefault="00E01278" w:rsidP="00E01278">
            <w:pPr>
              <w:suppressLineNumbers/>
            </w:pPr>
            <w:r w:rsidRPr="008611DB">
              <w:rPr>
                <w:rFonts w:ascii="Arial" w:hAnsi="Arial" w:hint="cs"/>
                <w:b/>
                <w:bCs/>
                <w:sz w:val="26"/>
                <w:szCs w:val="26"/>
                <w:rtl/>
              </w:rPr>
              <w:t>ה</w:t>
            </w:r>
            <w:r w:rsidRPr="008611DB">
              <w:rPr>
                <w:rFonts w:ascii="Arial" w:hAnsi="Arial"/>
                <w:b/>
                <w:bCs/>
                <w:sz w:val="26"/>
                <w:szCs w:val="26"/>
                <w:rtl/>
              </w:rPr>
              <w:t>מאשימה</w:t>
            </w:r>
          </w:p>
          <w:p w14:paraId="3CEFB229" w14:textId="77777777" w:rsidR="00E01278" w:rsidRPr="008611DB" w:rsidRDefault="00E01278" w:rsidP="00F47EEC">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5292B0FA" w14:textId="77777777" w:rsidR="00E01278" w:rsidRPr="008611DB" w:rsidRDefault="00E01278" w:rsidP="00E01278">
            <w:pPr>
              <w:suppressLineNumbers/>
              <w:rPr>
                <w:rFonts w:ascii="Arial" w:hAnsi="Arial"/>
                <w:b/>
                <w:bCs/>
                <w:sz w:val="26"/>
                <w:szCs w:val="26"/>
                <w:rtl/>
              </w:rPr>
            </w:pPr>
            <w:r w:rsidRPr="008611DB">
              <w:rPr>
                <w:rFonts w:ascii="Arial" w:hAnsi="Arial"/>
                <w:b/>
                <w:bCs/>
                <w:sz w:val="26"/>
                <w:szCs w:val="26"/>
                <w:rtl/>
              </w:rPr>
              <w:t>מדינת ישראל</w:t>
            </w:r>
            <w:r w:rsidRPr="008611DB">
              <w:rPr>
                <w:rFonts w:ascii="Arial" w:hAnsi="Arial" w:hint="cs"/>
                <w:b/>
                <w:bCs/>
                <w:sz w:val="26"/>
                <w:szCs w:val="26"/>
                <w:rtl/>
              </w:rPr>
              <w:t xml:space="preserve"> </w:t>
            </w:r>
          </w:p>
          <w:p w14:paraId="609C37BE" w14:textId="77777777" w:rsidR="00E01278" w:rsidRPr="008611DB" w:rsidRDefault="00E01278" w:rsidP="00E01278">
            <w:pPr>
              <w:suppressLineNumbers/>
            </w:pPr>
            <w:r w:rsidRPr="008611DB">
              <w:rPr>
                <w:rFonts w:ascii="Arial" w:hAnsi="Arial"/>
                <w:b/>
                <w:bCs/>
                <w:sz w:val="26"/>
                <w:szCs w:val="26"/>
                <w:rtl/>
              </w:rPr>
              <w:t>ע"י ב"כ עוה"</w:t>
            </w:r>
            <w:r w:rsidRPr="008611DB">
              <w:rPr>
                <w:rFonts w:ascii="Arial" w:hAnsi="Arial" w:hint="cs"/>
                <w:b/>
                <w:bCs/>
                <w:sz w:val="26"/>
                <w:szCs w:val="26"/>
                <w:rtl/>
              </w:rPr>
              <w:t>ד כרמית כהן</w:t>
            </w:r>
          </w:p>
        </w:tc>
      </w:tr>
      <w:bookmarkEnd w:id="0"/>
      <w:bookmarkEnd w:id="1"/>
      <w:tr w:rsidR="00E01278" w:rsidRPr="008611DB" w14:paraId="1CC6565F" w14:textId="77777777" w:rsidTr="006F45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549BDD93" w14:textId="77777777" w:rsidR="00E01278" w:rsidRPr="008611DB" w:rsidRDefault="00E01278" w:rsidP="00E01278">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7A903EC5" w14:textId="77777777" w:rsidR="00E01278" w:rsidRPr="008611DB" w:rsidRDefault="00E01278" w:rsidP="00E01278">
            <w:pPr>
              <w:jc w:val="center"/>
              <w:rPr>
                <w:rFonts w:ascii="David" w:hAnsi="David"/>
                <w:b/>
                <w:bCs/>
                <w:sz w:val="26"/>
                <w:szCs w:val="26"/>
                <w:rtl/>
              </w:rPr>
            </w:pPr>
          </w:p>
          <w:p w14:paraId="0AC4FAC3" w14:textId="77777777" w:rsidR="00E01278" w:rsidRPr="008611DB" w:rsidRDefault="00E01278" w:rsidP="00E01278">
            <w:pPr>
              <w:jc w:val="center"/>
              <w:rPr>
                <w:rFonts w:ascii="David" w:hAnsi="David"/>
                <w:b/>
                <w:bCs/>
                <w:sz w:val="26"/>
                <w:szCs w:val="26"/>
                <w:rtl/>
              </w:rPr>
            </w:pPr>
            <w:r w:rsidRPr="008611DB">
              <w:rPr>
                <w:rFonts w:ascii="David" w:hAnsi="David"/>
                <w:b/>
                <w:bCs/>
                <w:sz w:val="26"/>
                <w:szCs w:val="26"/>
                <w:rtl/>
              </w:rPr>
              <w:t>נגד</w:t>
            </w:r>
          </w:p>
          <w:p w14:paraId="41D4D398" w14:textId="77777777" w:rsidR="00E01278" w:rsidRPr="008611DB" w:rsidRDefault="00E01278" w:rsidP="00E01278">
            <w:pPr>
              <w:jc w:val="both"/>
              <w:rPr>
                <w:rFonts w:ascii="David" w:hAnsi="David"/>
                <w:sz w:val="26"/>
                <w:szCs w:val="26"/>
              </w:rPr>
            </w:pPr>
          </w:p>
        </w:tc>
      </w:tr>
      <w:tr w:rsidR="00E01278" w:rsidRPr="008611DB" w14:paraId="4893DB6C" w14:textId="77777777" w:rsidTr="006F45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7FEC406B" w14:textId="77777777" w:rsidR="00E01278" w:rsidRPr="008611DB" w:rsidRDefault="00E01278" w:rsidP="00F47EEC">
            <w:pPr>
              <w:rPr>
                <w:rFonts w:ascii="David" w:hAnsi="David"/>
                <w:sz w:val="26"/>
                <w:szCs w:val="26"/>
                <w:rtl/>
              </w:rPr>
            </w:pPr>
          </w:p>
        </w:tc>
        <w:tc>
          <w:tcPr>
            <w:tcW w:w="3219" w:type="dxa"/>
            <w:tcBorders>
              <w:top w:val="nil"/>
              <w:left w:val="nil"/>
              <w:bottom w:val="nil"/>
              <w:right w:val="nil"/>
            </w:tcBorders>
            <w:shd w:val="clear" w:color="auto" w:fill="auto"/>
          </w:tcPr>
          <w:p w14:paraId="257034C5" w14:textId="77777777" w:rsidR="00E01278" w:rsidRPr="008611DB" w:rsidRDefault="00E01278" w:rsidP="00F47EEC">
            <w:pPr>
              <w:rPr>
                <w:rFonts w:ascii="Arial" w:hAnsi="Arial"/>
                <w:b/>
                <w:bCs/>
                <w:sz w:val="26"/>
                <w:szCs w:val="26"/>
                <w:rtl/>
              </w:rPr>
            </w:pPr>
            <w:r w:rsidRPr="008611DB">
              <w:rPr>
                <w:rFonts w:ascii="Arial" w:hAnsi="Arial"/>
                <w:b/>
                <w:bCs/>
                <w:sz w:val="26"/>
                <w:szCs w:val="26"/>
                <w:rtl/>
              </w:rPr>
              <w:t>הנאשמים</w:t>
            </w:r>
          </w:p>
        </w:tc>
        <w:tc>
          <w:tcPr>
            <w:tcW w:w="4678" w:type="dxa"/>
            <w:gridSpan w:val="2"/>
            <w:tcBorders>
              <w:top w:val="nil"/>
              <w:left w:val="nil"/>
              <w:bottom w:val="nil"/>
              <w:right w:val="nil"/>
            </w:tcBorders>
            <w:shd w:val="clear" w:color="auto" w:fill="auto"/>
            <w:vAlign w:val="center"/>
          </w:tcPr>
          <w:p w14:paraId="5CA5329F" w14:textId="77777777" w:rsidR="00E01278" w:rsidRPr="008611DB" w:rsidRDefault="00E01278" w:rsidP="00E01278">
            <w:pPr>
              <w:suppressLineNumbers/>
            </w:pPr>
            <w:r w:rsidRPr="008611DB">
              <w:rPr>
                <w:rFonts w:ascii="Arial" w:hAnsi="Arial"/>
                <w:b/>
                <w:bCs/>
                <w:sz w:val="26"/>
                <w:szCs w:val="26"/>
                <w:rtl/>
              </w:rPr>
              <w:t xml:space="preserve">חמזה אבו מדיעם (עציר) – הובא </w:t>
            </w:r>
            <w:r w:rsidRPr="008611DB">
              <w:rPr>
                <w:rFonts w:ascii="Arial" w:hAnsi="Arial" w:hint="cs"/>
                <w:b/>
                <w:bCs/>
                <w:sz w:val="26"/>
                <w:szCs w:val="26"/>
                <w:rtl/>
              </w:rPr>
              <w:t>ע"י שב"ס</w:t>
            </w:r>
            <w:r w:rsidRPr="008611DB">
              <w:rPr>
                <w:rFonts w:ascii="Arial" w:hAnsi="Arial"/>
                <w:b/>
                <w:bCs/>
                <w:sz w:val="26"/>
                <w:szCs w:val="26"/>
                <w:rtl/>
              </w:rPr>
              <w:br/>
              <w:t>ע"י ב"כ עוה"ד</w:t>
            </w:r>
            <w:r w:rsidRPr="008611DB">
              <w:rPr>
                <w:rFonts w:ascii="Arial" w:hAnsi="Arial" w:hint="cs"/>
                <w:b/>
                <w:bCs/>
                <w:sz w:val="26"/>
                <w:szCs w:val="26"/>
                <w:rtl/>
              </w:rPr>
              <w:t xml:space="preserve"> סמיר אבו עאבד</w:t>
            </w:r>
          </w:p>
        </w:tc>
      </w:tr>
    </w:tbl>
    <w:p w14:paraId="6B559A05" w14:textId="77777777" w:rsidR="008611DB" w:rsidRPr="008611DB" w:rsidRDefault="008611DB" w:rsidP="008611DB">
      <w:pPr>
        <w:spacing w:before="120" w:after="120" w:line="240" w:lineRule="exact"/>
        <w:ind w:left="283" w:hanging="283"/>
        <w:jc w:val="both"/>
        <w:rPr>
          <w:rFonts w:ascii="FrankRuehl" w:hAnsi="FrankRuehl" w:cs="FrankRuehl"/>
          <w:rtl/>
        </w:rPr>
      </w:pPr>
    </w:p>
    <w:p w14:paraId="4E029F36" w14:textId="77777777" w:rsidR="008611DB" w:rsidRPr="008611DB" w:rsidRDefault="008611DB" w:rsidP="008611DB">
      <w:pPr>
        <w:rPr>
          <w:rtl/>
        </w:rPr>
      </w:pPr>
    </w:p>
    <w:p w14:paraId="55A2BBF3" w14:textId="77777777" w:rsidR="006F4531" w:rsidRPr="006F4531" w:rsidRDefault="006F4531" w:rsidP="006F4531">
      <w:pPr>
        <w:spacing w:before="120" w:after="120" w:line="240" w:lineRule="exact"/>
        <w:ind w:left="283" w:hanging="283"/>
        <w:jc w:val="both"/>
        <w:rPr>
          <w:rFonts w:ascii="FrankRuehl" w:hAnsi="FrankRuehl" w:cs="FrankRuehl"/>
          <w:rtl/>
        </w:rPr>
      </w:pPr>
      <w:bookmarkStart w:id="3" w:name="LawTable"/>
      <w:bookmarkEnd w:id="3"/>
    </w:p>
    <w:p w14:paraId="5F11313E" w14:textId="77777777" w:rsidR="006F4531" w:rsidRPr="006F4531" w:rsidRDefault="006F4531" w:rsidP="006F4531">
      <w:pPr>
        <w:spacing w:before="120" w:after="120" w:line="240" w:lineRule="exact"/>
        <w:ind w:left="283" w:hanging="283"/>
        <w:jc w:val="both"/>
        <w:rPr>
          <w:rFonts w:ascii="FrankRuehl" w:hAnsi="FrankRuehl" w:cs="FrankRuehl"/>
          <w:rtl/>
        </w:rPr>
      </w:pPr>
      <w:r w:rsidRPr="006F4531">
        <w:rPr>
          <w:rFonts w:ascii="FrankRuehl" w:hAnsi="FrankRuehl" w:cs="FrankRuehl"/>
          <w:rtl/>
        </w:rPr>
        <w:t xml:space="preserve">חקיקה שאוזכרה: </w:t>
      </w:r>
    </w:p>
    <w:p w14:paraId="319AFACE" w14:textId="77777777" w:rsidR="006F4531" w:rsidRPr="006F4531" w:rsidRDefault="006F4531" w:rsidP="006F4531">
      <w:pPr>
        <w:spacing w:before="120" w:after="120" w:line="240" w:lineRule="exact"/>
        <w:ind w:left="283" w:hanging="283"/>
        <w:jc w:val="both"/>
        <w:rPr>
          <w:rFonts w:ascii="FrankRuehl" w:hAnsi="FrankRuehl" w:cs="FrankRuehl"/>
          <w:color w:val="0000FF"/>
          <w:rtl/>
        </w:rPr>
      </w:pPr>
      <w:hyperlink r:id="rId7" w:history="1">
        <w:r w:rsidRPr="006F4531">
          <w:rPr>
            <w:rStyle w:val="Hyperlink"/>
            <w:rFonts w:ascii="FrankRuehl" w:hAnsi="FrankRuehl" w:cs="FrankRuehl"/>
            <w:u w:val="none"/>
            <w:rtl/>
          </w:rPr>
          <w:t>חוק העונשין, תשל"ז-1977</w:t>
        </w:r>
      </w:hyperlink>
      <w:r w:rsidRPr="006F4531">
        <w:rPr>
          <w:rFonts w:ascii="FrankRuehl" w:hAnsi="FrankRuehl" w:cs="FrankRuehl"/>
          <w:color w:val="0000FF"/>
          <w:rtl/>
        </w:rPr>
        <w:t xml:space="preserve">: סע'  </w:t>
      </w:r>
      <w:hyperlink r:id="rId8" w:history="1">
        <w:r w:rsidRPr="006F4531">
          <w:rPr>
            <w:rStyle w:val="Hyperlink"/>
            <w:rFonts w:ascii="FrankRuehl" w:hAnsi="FrankRuehl" w:cs="FrankRuehl"/>
            <w:u w:val="none"/>
          </w:rPr>
          <w:t xml:space="preserve">40 </w:t>
        </w:r>
        <w:r w:rsidRPr="006F4531">
          <w:rPr>
            <w:rStyle w:val="Hyperlink"/>
            <w:rFonts w:ascii="FrankRuehl" w:hAnsi="FrankRuehl" w:cs="FrankRuehl"/>
            <w:u w:val="none"/>
            <w:rtl/>
          </w:rPr>
          <w:t>ט</w:t>
        </w:r>
        <w:r w:rsidRPr="006F4531">
          <w:rPr>
            <w:rStyle w:val="Hyperlink"/>
            <w:rFonts w:ascii="FrankRuehl" w:hAnsi="FrankRuehl" w:cs="FrankRuehl"/>
            <w:u w:val="none"/>
          </w:rPr>
          <w:t>'</w:t>
        </w:r>
      </w:hyperlink>
      <w:r w:rsidRPr="006F4531">
        <w:rPr>
          <w:rFonts w:ascii="FrankRuehl" w:hAnsi="FrankRuehl" w:cs="FrankRuehl"/>
          <w:color w:val="0000FF"/>
          <w:rtl/>
        </w:rPr>
        <w:t xml:space="preserve">, </w:t>
      </w:r>
      <w:hyperlink r:id="rId9" w:history="1">
        <w:r w:rsidRPr="006F4531">
          <w:rPr>
            <w:rStyle w:val="Hyperlink"/>
            <w:rFonts w:ascii="FrankRuehl" w:hAnsi="FrankRuehl" w:cs="FrankRuehl"/>
            <w:u w:val="none"/>
          </w:rPr>
          <w:t>144</w:t>
        </w:r>
      </w:hyperlink>
      <w:r w:rsidRPr="006F4531">
        <w:rPr>
          <w:rFonts w:ascii="FrankRuehl" w:hAnsi="FrankRuehl" w:cs="FrankRuehl"/>
          <w:color w:val="0000FF"/>
          <w:rtl/>
        </w:rPr>
        <w:t xml:space="preserve">, </w:t>
      </w:r>
      <w:hyperlink r:id="rId10" w:history="1">
        <w:r w:rsidRPr="006F4531">
          <w:rPr>
            <w:rStyle w:val="Hyperlink"/>
            <w:rFonts w:ascii="FrankRuehl" w:hAnsi="FrankRuehl" w:cs="FrankRuehl"/>
            <w:u w:val="none"/>
          </w:rPr>
          <w:t xml:space="preserve">144 </w:t>
        </w:r>
      </w:hyperlink>
      <w:r w:rsidRPr="006F4531">
        <w:rPr>
          <w:rFonts w:ascii="FrankRuehl" w:hAnsi="FrankRuehl" w:cs="FrankRuehl"/>
          <w:color w:val="0000FF"/>
          <w:rtl/>
        </w:rPr>
        <w:t xml:space="preserve">(א), </w:t>
      </w:r>
      <w:hyperlink r:id="rId11" w:history="1">
        <w:r w:rsidRPr="006F4531">
          <w:rPr>
            <w:rStyle w:val="Hyperlink"/>
            <w:rFonts w:ascii="FrankRuehl" w:hAnsi="FrankRuehl" w:cs="FrankRuehl"/>
            <w:u w:val="none"/>
          </w:rPr>
          <w:t xml:space="preserve">40 </w:t>
        </w:r>
        <w:r w:rsidRPr="006F4531">
          <w:rPr>
            <w:rStyle w:val="Hyperlink"/>
            <w:rFonts w:ascii="FrankRuehl" w:hAnsi="FrankRuehl" w:cs="FrankRuehl"/>
            <w:u w:val="none"/>
            <w:rtl/>
          </w:rPr>
          <w:t>יא</w:t>
        </w:r>
        <w:r w:rsidRPr="006F4531">
          <w:rPr>
            <w:rStyle w:val="Hyperlink"/>
            <w:rFonts w:ascii="FrankRuehl" w:hAnsi="FrankRuehl" w:cs="FrankRuehl"/>
            <w:u w:val="none"/>
          </w:rPr>
          <w:t>'</w:t>
        </w:r>
      </w:hyperlink>
      <w:r w:rsidRPr="006F4531">
        <w:rPr>
          <w:rFonts w:ascii="FrankRuehl" w:hAnsi="FrankRuehl" w:cs="FrankRuehl"/>
          <w:color w:val="0000FF"/>
          <w:rtl/>
        </w:rPr>
        <w:t xml:space="preserve">, </w:t>
      </w:r>
      <w:hyperlink r:id="rId12" w:history="1">
        <w:r w:rsidRPr="006F4531">
          <w:rPr>
            <w:rStyle w:val="Hyperlink"/>
            <w:rFonts w:ascii="FrankRuehl" w:hAnsi="FrankRuehl" w:cs="FrankRuehl"/>
            <w:u w:val="none"/>
          </w:rPr>
          <w:t xml:space="preserve">40 </w:t>
        </w:r>
        <w:r w:rsidRPr="006F4531">
          <w:rPr>
            <w:rStyle w:val="Hyperlink"/>
            <w:rFonts w:ascii="FrankRuehl" w:hAnsi="FrankRuehl" w:cs="FrankRuehl"/>
            <w:u w:val="none"/>
            <w:rtl/>
          </w:rPr>
          <w:t>יג</w:t>
        </w:r>
        <w:r w:rsidRPr="006F4531">
          <w:rPr>
            <w:rStyle w:val="Hyperlink"/>
            <w:rFonts w:ascii="FrankRuehl" w:hAnsi="FrankRuehl" w:cs="FrankRuehl"/>
            <w:u w:val="none"/>
          </w:rPr>
          <w:t>'</w:t>
        </w:r>
      </w:hyperlink>
    </w:p>
    <w:p w14:paraId="21947E2A" w14:textId="77777777" w:rsidR="008611DB" w:rsidRPr="006F4531" w:rsidRDefault="008611DB" w:rsidP="006F4531">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1278" w14:paraId="4C39C71E" w14:textId="77777777" w:rsidTr="00E01278">
        <w:trPr>
          <w:trHeight w:val="355"/>
          <w:jc w:val="center"/>
        </w:trPr>
        <w:tc>
          <w:tcPr>
            <w:tcW w:w="8820" w:type="dxa"/>
            <w:tcBorders>
              <w:top w:val="nil"/>
              <w:left w:val="nil"/>
              <w:bottom w:val="nil"/>
              <w:right w:val="nil"/>
            </w:tcBorders>
            <w:shd w:val="clear" w:color="auto" w:fill="auto"/>
          </w:tcPr>
          <w:p w14:paraId="58B8D61E" w14:textId="77777777" w:rsidR="008611DB" w:rsidRPr="008611DB" w:rsidRDefault="008611DB" w:rsidP="008611DB">
            <w:pPr>
              <w:jc w:val="center"/>
              <w:rPr>
                <w:rFonts w:ascii="David" w:hAnsi="David"/>
                <w:b/>
                <w:bCs/>
                <w:sz w:val="32"/>
                <w:szCs w:val="32"/>
                <w:u w:val="single"/>
                <w:rtl/>
              </w:rPr>
            </w:pPr>
            <w:bookmarkStart w:id="5" w:name="PsakDin" w:colFirst="0" w:colLast="0"/>
            <w:r w:rsidRPr="008611DB">
              <w:rPr>
                <w:rFonts w:ascii="David" w:hAnsi="David"/>
                <w:b/>
                <w:bCs/>
                <w:sz w:val="32"/>
                <w:szCs w:val="32"/>
                <w:u w:val="single"/>
                <w:rtl/>
              </w:rPr>
              <w:t>גזר דין</w:t>
            </w:r>
          </w:p>
          <w:p w14:paraId="45FB13F7" w14:textId="77777777" w:rsidR="00E01278" w:rsidRPr="008611DB" w:rsidRDefault="00E01278" w:rsidP="008611DB">
            <w:pPr>
              <w:jc w:val="center"/>
              <w:rPr>
                <w:rFonts w:ascii="David" w:hAnsi="David"/>
                <w:bCs/>
                <w:sz w:val="32"/>
                <w:szCs w:val="32"/>
                <w:u w:val="single"/>
                <w:rtl/>
              </w:rPr>
            </w:pPr>
          </w:p>
        </w:tc>
      </w:tr>
      <w:bookmarkEnd w:id="5"/>
    </w:tbl>
    <w:p w14:paraId="5F98A250" w14:textId="77777777" w:rsidR="00E01278" w:rsidRDefault="00E01278" w:rsidP="00E01278">
      <w:pPr>
        <w:rPr>
          <w:rFonts w:ascii="Arial" w:hAnsi="Arial"/>
          <w:b/>
          <w:bCs/>
          <w:sz w:val="26"/>
          <w:szCs w:val="26"/>
          <w:rtl/>
        </w:rPr>
      </w:pPr>
    </w:p>
    <w:p w14:paraId="7D97BDC9" w14:textId="77777777" w:rsidR="00E01278" w:rsidRPr="000F2247" w:rsidRDefault="00E01278" w:rsidP="00E01278">
      <w:pPr>
        <w:rPr>
          <w:rFonts w:ascii="Arial" w:hAnsi="Arial"/>
          <w:b/>
          <w:bCs/>
          <w:sz w:val="26"/>
          <w:szCs w:val="26"/>
          <w:rtl/>
        </w:rPr>
      </w:pPr>
    </w:p>
    <w:p w14:paraId="4158C959" w14:textId="77777777" w:rsidR="00E01278" w:rsidRDefault="00E01278" w:rsidP="00E01278">
      <w:pPr>
        <w:numPr>
          <w:ilvl w:val="0"/>
          <w:numId w:val="1"/>
        </w:numPr>
        <w:spacing w:after="120" w:line="360" w:lineRule="auto"/>
        <w:jc w:val="both"/>
        <w:rPr>
          <w:rFonts w:ascii="David" w:hAnsi="David"/>
          <w:color w:val="000000"/>
        </w:rPr>
      </w:pPr>
      <w:bookmarkStart w:id="6" w:name="ABSTRACT_START"/>
      <w:bookmarkEnd w:id="6"/>
      <w:r>
        <w:rPr>
          <w:rFonts w:ascii="David" w:hAnsi="David"/>
          <w:color w:val="000000"/>
          <w:rtl/>
        </w:rPr>
        <w:t xml:space="preserve">הנאשם הורשע בהתאם להודאתו בעובדות כתב האישום המתוקן בעבירות של </w:t>
      </w:r>
      <w:r>
        <w:rPr>
          <w:rFonts w:ascii="David" w:hAnsi="David"/>
          <w:b/>
          <w:bCs/>
          <w:color w:val="000000"/>
          <w:rtl/>
        </w:rPr>
        <w:t>החזקת נשק</w:t>
      </w:r>
      <w:r>
        <w:rPr>
          <w:rFonts w:ascii="David" w:hAnsi="David"/>
          <w:color w:val="000000"/>
          <w:rtl/>
        </w:rPr>
        <w:t xml:space="preserve"> </w:t>
      </w:r>
      <w:r>
        <w:rPr>
          <w:rFonts w:ascii="David" w:hAnsi="David"/>
          <w:b/>
          <w:bCs/>
          <w:color w:val="000000"/>
          <w:rtl/>
        </w:rPr>
        <w:t xml:space="preserve">ותחמושת </w:t>
      </w:r>
      <w:r>
        <w:rPr>
          <w:rFonts w:ascii="David" w:hAnsi="David"/>
          <w:color w:val="000000"/>
          <w:rtl/>
        </w:rPr>
        <w:t xml:space="preserve">לפי סעיף </w:t>
      </w:r>
      <w:hyperlink r:id="rId13" w:history="1">
        <w:r w:rsidR="006F4531" w:rsidRPr="006F4531">
          <w:rPr>
            <w:rStyle w:val="Hyperlink"/>
            <w:rFonts w:ascii="David" w:hAnsi="David"/>
            <w:color w:val="0000FF"/>
            <w:rtl/>
          </w:rPr>
          <w:t>144 (א)</w:t>
        </w:r>
      </w:hyperlink>
      <w:r>
        <w:rPr>
          <w:rFonts w:ascii="David" w:hAnsi="David"/>
          <w:color w:val="000000"/>
          <w:rtl/>
        </w:rPr>
        <w:t xml:space="preserve"> רישא וסיפא ל</w:t>
      </w:r>
      <w:hyperlink r:id="rId14" w:history="1">
        <w:r w:rsidR="008611DB" w:rsidRPr="008611DB">
          <w:rPr>
            <w:rFonts w:ascii="David" w:hAnsi="David"/>
            <w:color w:val="0000FF"/>
            <w:u w:val="single"/>
            <w:rtl/>
          </w:rPr>
          <w:t>חוק העונשין</w:t>
        </w:r>
      </w:hyperlink>
      <w:r>
        <w:rPr>
          <w:rFonts w:ascii="David" w:hAnsi="David"/>
          <w:color w:val="000000"/>
          <w:rtl/>
        </w:rPr>
        <w:t>, תשל"ז-1977.</w:t>
      </w:r>
    </w:p>
    <w:p w14:paraId="06312298" w14:textId="77777777" w:rsidR="00E01278" w:rsidRDefault="00E01278" w:rsidP="00E01278">
      <w:pPr>
        <w:spacing w:after="120" w:line="360" w:lineRule="auto"/>
        <w:ind w:left="720"/>
        <w:jc w:val="both"/>
        <w:rPr>
          <w:rFonts w:ascii="David" w:hAnsi="David"/>
          <w:color w:val="000000"/>
          <w:rtl/>
        </w:rPr>
      </w:pPr>
    </w:p>
    <w:p w14:paraId="2608CABB" w14:textId="77777777" w:rsidR="00E01278" w:rsidRDefault="00E01278" w:rsidP="00E01278">
      <w:pPr>
        <w:numPr>
          <w:ilvl w:val="0"/>
          <w:numId w:val="1"/>
        </w:numPr>
        <w:spacing w:after="120" w:line="360" w:lineRule="auto"/>
        <w:jc w:val="both"/>
        <w:rPr>
          <w:rFonts w:ascii="David" w:hAnsi="David"/>
          <w:color w:val="000000"/>
        </w:rPr>
      </w:pPr>
      <w:bookmarkStart w:id="7" w:name="ABSTRACT_END"/>
      <w:bookmarkEnd w:id="7"/>
      <w:r>
        <w:rPr>
          <w:rFonts w:ascii="David" w:hAnsi="David"/>
          <w:color w:val="000000"/>
          <w:rtl/>
        </w:rPr>
        <w:t xml:space="preserve">על-פי המתואר בעובדות כתב האישום המתוקן, בתאריך 08.07.24 החזיק הנאשם בביתו בתוך מגירה בחדר אמבטיה בקומה העליונה </w:t>
      </w:r>
      <w:r>
        <w:rPr>
          <w:rFonts w:ascii="David" w:hAnsi="David"/>
          <w:b/>
          <w:bCs/>
          <w:color w:val="000000"/>
          <w:rtl/>
        </w:rPr>
        <w:t>באקדח 9 מ"מ אוטומטי ,חמוש במחסנית ובתוכה 7 כדורי 9 מ"מ</w:t>
      </w:r>
      <w:r>
        <w:rPr>
          <w:rFonts w:ascii="David" w:hAnsi="David"/>
          <w:color w:val="000000"/>
          <w:rtl/>
        </w:rPr>
        <w:t xml:space="preserve">,  וזאת ללא רשות כדין להחזקתם. </w:t>
      </w:r>
    </w:p>
    <w:p w14:paraId="3A563389" w14:textId="77777777" w:rsidR="00E01278" w:rsidRDefault="00E01278" w:rsidP="00E01278">
      <w:pPr>
        <w:pStyle w:val="aa"/>
        <w:rPr>
          <w:rFonts w:ascii="David" w:hAnsi="David"/>
          <w:color w:val="000000"/>
          <w:rtl/>
        </w:rPr>
      </w:pPr>
    </w:p>
    <w:p w14:paraId="1803F32D" w14:textId="77777777" w:rsidR="00E01278" w:rsidRDefault="00E01278" w:rsidP="00E01278">
      <w:pPr>
        <w:numPr>
          <w:ilvl w:val="0"/>
          <w:numId w:val="1"/>
        </w:numPr>
        <w:spacing w:after="120" w:line="360" w:lineRule="auto"/>
        <w:jc w:val="both"/>
        <w:rPr>
          <w:rFonts w:ascii="David" w:hAnsi="David"/>
          <w:b/>
          <w:bCs/>
          <w:color w:val="000000"/>
          <w:u w:val="single"/>
        </w:rPr>
      </w:pPr>
      <w:r>
        <w:rPr>
          <w:rFonts w:ascii="David" w:hAnsi="David"/>
          <w:color w:val="000000"/>
          <w:rtl/>
        </w:rPr>
        <w:t xml:space="preserve">בתאריך 13.10.24  הצדדים הגיעו להסדר טיעון, לפיו הודה הנאשם והורשע בכתב האישום המתוקן, ההסדר לא כלל הסכמה לעניין העונש. נוכח גילו נשלח הנאשם לקבלת תסקיר שירות מבחן. </w:t>
      </w:r>
    </w:p>
    <w:p w14:paraId="6A94C81B" w14:textId="77777777" w:rsidR="00E01278" w:rsidRDefault="00E01278" w:rsidP="00E01278">
      <w:pPr>
        <w:pStyle w:val="aa"/>
        <w:rPr>
          <w:rFonts w:ascii="David" w:hAnsi="David"/>
          <w:b/>
          <w:bCs/>
          <w:color w:val="000000"/>
          <w:u w:val="single"/>
          <w:rtl/>
        </w:rPr>
      </w:pPr>
    </w:p>
    <w:p w14:paraId="68CDADF1" w14:textId="77777777" w:rsidR="00E01278" w:rsidRDefault="00E01278" w:rsidP="00E01278">
      <w:pPr>
        <w:spacing w:after="120" w:line="360" w:lineRule="auto"/>
        <w:ind w:left="720"/>
        <w:jc w:val="both"/>
        <w:rPr>
          <w:rFonts w:ascii="David" w:hAnsi="David"/>
          <w:b/>
          <w:bCs/>
          <w:color w:val="000000"/>
          <w:u w:val="single"/>
        </w:rPr>
      </w:pPr>
      <w:r>
        <w:rPr>
          <w:rFonts w:ascii="David" w:hAnsi="David"/>
          <w:b/>
          <w:bCs/>
          <w:color w:val="000000"/>
          <w:u w:val="single"/>
          <w:rtl/>
        </w:rPr>
        <w:t>תסקיר שירות המבחן</w:t>
      </w:r>
    </w:p>
    <w:p w14:paraId="3596D33D" w14:textId="77777777" w:rsidR="00E01278" w:rsidRDefault="00E01278" w:rsidP="00E01278">
      <w:pPr>
        <w:pStyle w:val="a"/>
        <w:jc w:val="both"/>
        <w:rPr>
          <w:rtl/>
        </w:rPr>
      </w:pPr>
      <w:r>
        <w:rPr>
          <w:rFonts w:hint="cs"/>
          <w:rtl/>
        </w:rPr>
        <w:t xml:space="preserve">במסגרת התסקיר מיום 08.12.24 סקר שירות המבחן קורות חייו של הנאשם, בן 20 רווק,  מתגורר עם משפחתו ברהט, הנאשם שולב במסגרת תעסוקתית כבר בהיותו בן 14, בתחילה עבד בחקלאות במקביל ללימודים ולאחר שנשר מהלימודים השתלב בתעסוקה רציפה </w:t>
      </w:r>
      <w:r>
        <w:rPr>
          <w:rFonts w:hint="cs"/>
          <w:rtl/>
        </w:rPr>
        <w:lastRenderedPageBreak/>
        <w:t xml:space="preserve">במפעלים שונים, בעבודתו סייע לפרנסת משפחתו. הנאשם גדל בסביבה משפחתית תומכת, בני משפחתו הקרובה אינם מעורבים בסכסוכים בתוך המשפחה ומחוצה לה. </w:t>
      </w:r>
    </w:p>
    <w:p w14:paraId="76329915" w14:textId="77777777" w:rsidR="00E01278" w:rsidRDefault="00E01278" w:rsidP="00E01278">
      <w:pPr>
        <w:pStyle w:val="a"/>
        <w:numPr>
          <w:ilvl w:val="0"/>
          <w:numId w:val="0"/>
        </w:numPr>
        <w:tabs>
          <w:tab w:val="left" w:pos="720"/>
        </w:tabs>
        <w:ind w:left="720"/>
        <w:jc w:val="both"/>
      </w:pPr>
      <w:r>
        <w:rPr>
          <w:rFonts w:hint="cs"/>
          <w:rtl/>
        </w:rPr>
        <w:t xml:space="preserve">הנאשם נעדר עבר פלילי, הודה במיוחס לו ונטל אחריות על מעשיו, טען שבאותה תקופה היה מצוי בקשר עם בן משפחה אשר ביקש ממנו לשמור על נשקו למספר שעות בשל חיפושים שנערכו בביתו, הנאשם מסר שפעל מתוך רצון לסייע לחבר וחש התלהבות להחזיק בנשק. הנאשם מסר שבאותה עת לא הבין השלכות מעשיו וסבר שחברו ייקח הנשק חזרה תוך מספר שעות. שירות המבחן ציין כי הנאשם הביע אכזבה מחברו אך יחד עם זאת נטל אחריות מלאה על מעשיו, וציין כי במהלך מעצרו ערך חשבון נפש והפיק לקחים.   </w:t>
      </w:r>
    </w:p>
    <w:p w14:paraId="0E27B73D" w14:textId="77777777" w:rsidR="00E01278" w:rsidRDefault="00E01278" w:rsidP="00E01278">
      <w:pPr>
        <w:pStyle w:val="a"/>
        <w:numPr>
          <w:ilvl w:val="0"/>
          <w:numId w:val="0"/>
        </w:numPr>
        <w:tabs>
          <w:tab w:val="left" w:pos="720"/>
        </w:tabs>
        <w:ind w:left="720"/>
        <w:jc w:val="both"/>
        <w:rPr>
          <w:rtl/>
        </w:rPr>
      </w:pPr>
      <w:r>
        <w:rPr>
          <w:rFonts w:hint="cs"/>
          <w:rtl/>
        </w:rPr>
        <w:t xml:space="preserve">שירות המבחן ציין כי הנאשם מביע צער וחרטה על מעשיו, מבין שעליו לשלם מחיר על העבירה שביצע ושמח שנתפס בגיל צעיר, הואיל ומעתה יפעיל שיקול דעת ולא יהיה מעורב שוב בפלילים. </w:t>
      </w:r>
    </w:p>
    <w:p w14:paraId="24AD5556" w14:textId="77777777" w:rsidR="00E01278" w:rsidRDefault="00E01278" w:rsidP="00E01278">
      <w:pPr>
        <w:pStyle w:val="a"/>
        <w:numPr>
          <w:ilvl w:val="0"/>
          <w:numId w:val="0"/>
        </w:numPr>
        <w:tabs>
          <w:tab w:val="left" w:pos="720"/>
        </w:tabs>
        <w:ind w:left="720"/>
        <w:jc w:val="both"/>
        <w:rPr>
          <w:rtl/>
        </w:rPr>
      </w:pPr>
      <w:r>
        <w:rPr>
          <w:rFonts w:hint="cs"/>
          <w:rtl/>
        </w:rPr>
        <w:t xml:space="preserve">שירות המבחן התרשם כי העבירה נעברה על רקע חבירה לסביבה שוליית, מאפייני אישיות לא בשלים וילדותיים, קושי לעמוד בלחץ חברתי, קושי בהפעלת שיקול דעת ביחס להשלכות מעשיו והיעדר כלים לגילוי מצבי סיכון והימנעות מהם. </w:t>
      </w:r>
    </w:p>
    <w:p w14:paraId="28AF843C" w14:textId="77777777" w:rsidR="00E01278" w:rsidRDefault="00E01278" w:rsidP="00E01278">
      <w:pPr>
        <w:pStyle w:val="a"/>
        <w:numPr>
          <w:ilvl w:val="0"/>
          <w:numId w:val="0"/>
        </w:numPr>
        <w:tabs>
          <w:tab w:val="left" w:pos="720"/>
        </w:tabs>
        <w:ind w:left="720"/>
        <w:jc w:val="both"/>
        <w:rPr>
          <w:rtl/>
        </w:rPr>
      </w:pPr>
      <w:r>
        <w:rPr>
          <w:rFonts w:hint="cs"/>
          <w:rtl/>
        </w:rPr>
        <w:t xml:space="preserve">שירות המבחן העריך גורמי הסיכוי בהקשר לנאשם וציין היעדר עבר פלילי, קשריו המשמעותיים עם בני משפחתו, העובדה כי טרם מעצרו השתלב במסגרות תעסוקתיות  ושאיפותיו לניהול אורח חיים נורמטיבי ויציב כאשר לצד זאת ציין שירות המבחן גורמי הסיכון, העובדה שהנאשם נמצא בשלבי גיבוש זהותו ונוטה לבחינת גבולות וכן לנגררות חברתית, גדל בסביבה עתירה בסכסוכים ואלימות ונחשף באופן תדיר לשימוש לא חוקי בנשק חם, כמו כן ציין שירות המבחן שהקשר של הנאשם עם אביו קרוב אך ניכר שהאב לא היווה עבורו דמות סמכותית ומציבת גבולות. </w:t>
      </w:r>
    </w:p>
    <w:p w14:paraId="7070A9EA" w14:textId="77777777" w:rsidR="00E01278" w:rsidRDefault="00E01278" w:rsidP="00E01278">
      <w:pPr>
        <w:pStyle w:val="a"/>
        <w:numPr>
          <w:ilvl w:val="0"/>
          <w:numId w:val="0"/>
        </w:numPr>
        <w:tabs>
          <w:tab w:val="left" w:pos="720"/>
        </w:tabs>
        <w:ind w:left="720"/>
        <w:jc w:val="both"/>
        <w:rPr>
          <w:rtl/>
        </w:rPr>
      </w:pPr>
      <w:r>
        <w:rPr>
          <w:rFonts w:hint="cs"/>
          <w:rtl/>
        </w:rPr>
        <w:t xml:space="preserve">שירות המבחן ציין שהנאשם שלל נזקקות טיפולית תוך שמסר כי במהלך שהותו במעצר הפיק לקחים מהתנהלותו וביטא רצון לסיים ההליך הפלילי ולשוב ולנהל חייו באופן תקין. </w:t>
      </w:r>
    </w:p>
    <w:p w14:paraId="2D337816" w14:textId="77777777" w:rsidR="00E01278" w:rsidRDefault="00E01278" w:rsidP="00E01278">
      <w:pPr>
        <w:pStyle w:val="a"/>
        <w:numPr>
          <w:ilvl w:val="0"/>
          <w:numId w:val="0"/>
        </w:numPr>
        <w:tabs>
          <w:tab w:val="left" w:pos="720"/>
        </w:tabs>
        <w:ind w:left="720"/>
        <w:jc w:val="both"/>
        <w:rPr>
          <w:rtl/>
        </w:rPr>
      </w:pPr>
      <w:r>
        <w:rPr>
          <w:rFonts w:hint="cs"/>
          <w:rtl/>
        </w:rPr>
        <w:t xml:space="preserve">נוכח האמור ובשל חומרת העבירה לא בא שירות המבחן בהמלצה טיפולית אך ציין שבעת גזירת העונש יש להתחשב בגילו הצעיר, לקיחת האחריות והחרטה שהביע ושאיפותיו לעתיד. </w:t>
      </w:r>
    </w:p>
    <w:p w14:paraId="2A92A40F" w14:textId="77777777" w:rsidR="00E01278" w:rsidRDefault="00E01278" w:rsidP="00E01278">
      <w:pPr>
        <w:spacing w:after="120" w:line="360" w:lineRule="auto"/>
        <w:jc w:val="both"/>
        <w:rPr>
          <w:bCs/>
          <w:u w:val="single"/>
          <w:rtl/>
          <w:lang w:eastAsia="he-IL"/>
        </w:rPr>
      </w:pPr>
    </w:p>
    <w:p w14:paraId="56AC928A" w14:textId="77777777" w:rsidR="00E01278" w:rsidRDefault="00E01278" w:rsidP="00E01278">
      <w:pPr>
        <w:spacing w:after="120" w:line="360" w:lineRule="auto"/>
        <w:jc w:val="both"/>
        <w:rPr>
          <w:bCs/>
          <w:u w:val="single"/>
          <w:rtl/>
          <w:lang w:eastAsia="he-IL"/>
        </w:rPr>
      </w:pPr>
      <w:r>
        <w:rPr>
          <w:bCs/>
          <w:u w:val="single"/>
          <w:rtl/>
          <w:lang w:eastAsia="he-IL"/>
        </w:rPr>
        <w:t>ראיות וטיעוני הצדדים</w:t>
      </w:r>
    </w:p>
    <w:p w14:paraId="357E8FBA" w14:textId="77777777" w:rsidR="00E01278" w:rsidRDefault="00E01278" w:rsidP="00E01278">
      <w:pPr>
        <w:pStyle w:val="a"/>
        <w:jc w:val="both"/>
        <w:rPr>
          <w:bCs/>
          <w:u w:val="single"/>
          <w:rtl/>
          <w:lang w:eastAsia="he-IL"/>
        </w:rPr>
      </w:pPr>
      <w:r>
        <w:rPr>
          <w:rFonts w:hint="cs"/>
          <w:rtl/>
        </w:rPr>
        <w:t xml:space="preserve">המאשימה הגישה טיעונים בכתב (ת/1). </w:t>
      </w:r>
    </w:p>
    <w:p w14:paraId="535C9302" w14:textId="77777777" w:rsidR="00E01278" w:rsidRDefault="00E01278" w:rsidP="00E01278">
      <w:pPr>
        <w:pStyle w:val="a"/>
        <w:numPr>
          <w:ilvl w:val="0"/>
          <w:numId w:val="0"/>
        </w:numPr>
        <w:tabs>
          <w:tab w:val="left" w:pos="720"/>
        </w:tabs>
        <w:ind w:left="720"/>
        <w:jc w:val="both"/>
      </w:pPr>
      <w:r>
        <w:rPr>
          <w:rFonts w:hint="cs"/>
          <w:b/>
          <w:bCs/>
          <w:rtl/>
        </w:rPr>
        <w:t>המאשימה</w:t>
      </w:r>
      <w:r>
        <w:rPr>
          <w:rFonts w:hint="cs"/>
          <w:rtl/>
        </w:rPr>
        <w:t xml:space="preserve"> עמדה על חומרת  המעשים, הערכים המוגנים שנפגעו ומידת הפגיעה בהם תוך שהדגישה החומרה הטבועה בעבירת החזקת נשק שיש בה פוטנציאל לפגיעה ממשית בחיי אדם, כאשר הנחת היסוד היא שבגין עבירת נשק הענישה צריכה להיות בדמות מאסר בפועל </w:t>
      </w:r>
      <w:r>
        <w:rPr>
          <w:rFonts w:hint="cs"/>
          <w:rtl/>
        </w:rPr>
        <w:lastRenderedPageBreak/>
        <w:t xml:space="preserve">לתקופה ממושכת גם כאשר מדובר בנאשם נעדר עבר פלילי. המאשימה ציינה כי הנאשם החזיק בביתו אקדח חמוש במחסנית וכן כדורים תואמים. נוכח האמור עמדה המאשימה על מדיניות הענישה הנוהגת ועתרה לקביעת מתחם ענישה הנע בין 24 ל 40 חודשי מאסר בפועל. המאשימה ציינה שהנאשם נעדר עבר פלילי, הודה במיוחס לו חסך בזמן שיפוטי יקר, בתסקיר עולה כי הנאשם לוקח אחריות, מתאר הרקע להחזקת הנשק כאשר שירות המבחן מתרשם מנאשם שנגרר חברתית ולכן ביצע את המיוחס לו. שירות המבחן לא בא בהמלצה טיפולית או עונשית. </w:t>
      </w:r>
    </w:p>
    <w:p w14:paraId="218095A9" w14:textId="77777777" w:rsidR="00E01278" w:rsidRDefault="00E01278" w:rsidP="00E01278">
      <w:pPr>
        <w:pStyle w:val="a"/>
        <w:numPr>
          <w:ilvl w:val="0"/>
          <w:numId w:val="0"/>
        </w:numPr>
        <w:tabs>
          <w:tab w:val="left" w:pos="720"/>
        </w:tabs>
        <w:ind w:left="720"/>
        <w:jc w:val="both"/>
        <w:rPr>
          <w:rtl/>
        </w:rPr>
      </w:pPr>
      <w:r>
        <w:rPr>
          <w:rFonts w:hint="cs"/>
          <w:rtl/>
        </w:rPr>
        <w:t xml:space="preserve">נוכח האמור עתרה המאשימה למיקום עונשו של הנאשם בשליש התחתון של המתחם לו עתרה וזאת לצד הטלת ענישה מותנית, קנס והתחייבות. </w:t>
      </w:r>
    </w:p>
    <w:p w14:paraId="5CFA3761" w14:textId="77777777" w:rsidR="00E01278" w:rsidRDefault="00E01278" w:rsidP="00E01278">
      <w:pPr>
        <w:pStyle w:val="a"/>
        <w:numPr>
          <w:ilvl w:val="0"/>
          <w:numId w:val="0"/>
        </w:numPr>
        <w:tabs>
          <w:tab w:val="left" w:pos="720"/>
        </w:tabs>
        <w:ind w:left="720" w:hanging="720"/>
        <w:jc w:val="both"/>
        <w:rPr>
          <w:rtl/>
        </w:rPr>
      </w:pPr>
    </w:p>
    <w:p w14:paraId="062B6CEB" w14:textId="77777777" w:rsidR="00E01278" w:rsidRDefault="00E01278" w:rsidP="00E01278">
      <w:pPr>
        <w:pStyle w:val="a"/>
        <w:jc w:val="both"/>
      </w:pPr>
      <w:r>
        <w:rPr>
          <w:rFonts w:hint="cs"/>
          <w:b/>
          <w:bCs/>
          <w:rtl/>
        </w:rPr>
        <w:t>מטעם ההגנה העיד אביו של הנאשם</w:t>
      </w:r>
      <w:r>
        <w:rPr>
          <w:rFonts w:hint="cs"/>
          <w:rtl/>
        </w:rPr>
        <w:t xml:space="preserve">, מר סאמי אבו מדיעם, הוא סיפר אודות קורות חייו של הנאשם, הדגיש כי הנאשם עובד עימו ועם אחיו בקצביה. ציין שהנאשם חבר לחברה "לא כשרה". הוא מודע לעבירה המיוחסת לו הביע אכזבתו מכך שהסתבך בפלילי, מסר שבהתחלה ניתק עימו קשר ורק לאחרונה שבו להתקשר, הוא ציין שרואה שהנאשם למד את לקחו והוא לוקח עליו אחריו. </w:t>
      </w:r>
    </w:p>
    <w:p w14:paraId="4AFE1D55" w14:textId="77777777" w:rsidR="00E01278" w:rsidRDefault="00E01278" w:rsidP="00E01278">
      <w:pPr>
        <w:pStyle w:val="a"/>
        <w:numPr>
          <w:ilvl w:val="0"/>
          <w:numId w:val="0"/>
        </w:numPr>
        <w:ind w:left="720"/>
        <w:jc w:val="both"/>
        <w:rPr>
          <w:rtl/>
        </w:rPr>
      </w:pPr>
    </w:p>
    <w:p w14:paraId="11B814EE" w14:textId="77777777" w:rsidR="00E01278" w:rsidRDefault="00E01278" w:rsidP="00E01278">
      <w:pPr>
        <w:pStyle w:val="a"/>
        <w:jc w:val="both"/>
      </w:pPr>
      <w:r>
        <w:rPr>
          <w:rFonts w:hint="cs"/>
          <w:b/>
          <w:bCs/>
          <w:rtl/>
        </w:rPr>
        <w:t>ב"כ הנאשם,</w:t>
      </w:r>
      <w:r>
        <w:rPr>
          <w:rFonts w:hint="cs"/>
          <w:rtl/>
        </w:rPr>
        <w:t xml:space="preserve"> התייחס תחילה  למתחם הענישה וטען שהמתחם לו עתרה  והפסיקה עליה הסתמכה המאשימה אינו תואם נסיבות תיק זה והפנה למפורט בתסקיר בהתייחס לנסיבות ביצוע העבירה, עצם ההודאה במיוחס לו לקיחת האחריות הרקע להחזקה בקשה של חבר להחזיק בנשק למספר שעות כאשר הנאשם לא הבין באותה עת השלכות מעשיו. הנאשם הביע חרטה מלאה כנה ואמתית. הנאשם צעיר נעדר עבר פלילי, שירות המבחן לא בא בהמלצה טיפולית או עונשית לגביו. לגישת ב"כ הנאשם יש במקרה זה להסתפק בימי מעצרו. </w:t>
      </w:r>
    </w:p>
    <w:p w14:paraId="5E07BA23" w14:textId="77777777" w:rsidR="00E01278" w:rsidRDefault="00E01278" w:rsidP="00E01278">
      <w:pPr>
        <w:pStyle w:val="a"/>
        <w:numPr>
          <w:ilvl w:val="0"/>
          <w:numId w:val="0"/>
        </w:numPr>
        <w:tabs>
          <w:tab w:val="left" w:pos="720"/>
        </w:tabs>
        <w:ind w:left="720"/>
        <w:jc w:val="both"/>
      </w:pPr>
      <w:r>
        <w:rPr>
          <w:rFonts w:hint="cs"/>
          <w:b/>
          <w:bCs/>
          <w:rtl/>
        </w:rPr>
        <w:t xml:space="preserve">הנאשם בדברו, </w:t>
      </w:r>
      <w:r>
        <w:rPr>
          <w:rFonts w:hint="cs"/>
          <w:rtl/>
        </w:rPr>
        <w:t xml:space="preserve"> מודה שטעה ולא יחזור שוב על אותה הטעות, מעוניין להשתחרר ולשוב לשגרת חייו. </w:t>
      </w:r>
    </w:p>
    <w:p w14:paraId="697CBC16" w14:textId="77777777" w:rsidR="00E01278" w:rsidRDefault="00E01278" w:rsidP="00E01278">
      <w:pPr>
        <w:spacing w:after="120" w:line="360" w:lineRule="auto"/>
        <w:jc w:val="both"/>
        <w:rPr>
          <w:bCs/>
          <w:u w:val="single"/>
          <w:rtl/>
          <w:lang w:eastAsia="he-IL"/>
        </w:rPr>
      </w:pPr>
    </w:p>
    <w:p w14:paraId="71487CFE" w14:textId="77777777" w:rsidR="00E01278" w:rsidRDefault="00E01278" w:rsidP="00E01278">
      <w:pPr>
        <w:spacing w:after="120" w:line="360" w:lineRule="auto"/>
        <w:jc w:val="both"/>
        <w:rPr>
          <w:bCs/>
          <w:u w:val="single"/>
          <w:lang w:eastAsia="he-IL"/>
        </w:rPr>
      </w:pPr>
      <w:r>
        <w:rPr>
          <w:bCs/>
          <w:u w:val="single"/>
          <w:rtl/>
          <w:lang w:eastAsia="he-IL"/>
        </w:rPr>
        <w:t>דיון - קביעת מתחם העונש ההולם</w:t>
      </w:r>
    </w:p>
    <w:p w14:paraId="04F016C9" w14:textId="77777777" w:rsidR="00E01278" w:rsidRDefault="00E01278" w:rsidP="00E01278">
      <w:pPr>
        <w:numPr>
          <w:ilvl w:val="0"/>
          <w:numId w:val="1"/>
        </w:numPr>
        <w:spacing w:after="120" w:line="360" w:lineRule="auto"/>
        <w:jc w:val="both"/>
        <w:rPr>
          <w:rFonts w:ascii="David" w:hAnsi="David"/>
          <w:color w:val="000000"/>
        </w:rPr>
      </w:pPr>
      <w:r>
        <w:rPr>
          <w:rFonts w:ascii="David" w:hAnsi="David"/>
          <w:color w:val="000000"/>
          <w:rtl/>
        </w:rPr>
        <w:t xml:space="preserve">העיקרון המנחה בעקבות תיקון 113 הינו עקרון ההלימה, קיומו של יחס הולם בין חומרת מעשה העבירה בנסיבותיו ומידת אשמתו של נאשם ובין סוג ומידת העונש המוטל עליו. לשם קביעת מתחם העונש ההולם, בהתאם לעקרון ההלימה, יש להתחשב בערכים המוגנים שנפגעו, במידת הפגיעה בהם, במדיניות הענישה הנהוגה ובנסיבות הקשורות בביצוע העבירה. </w:t>
      </w:r>
    </w:p>
    <w:p w14:paraId="09A6CFE6" w14:textId="77777777" w:rsidR="00E01278" w:rsidRDefault="00E01278" w:rsidP="00E01278">
      <w:pPr>
        <w:spacing w:after="120" w:line="360" w:lineRule="auto"/>
        <w:jc w:val="both"/>
        <w:rPr>
          <w:rFonts w:ascii="David" w:hAnsi="David"/>
          <w:b/>
          <w:bCs/>
          <w:color w:val="000000"/>
          <w:u w:val="single"/>
          <w:rtl/>
        </w:rPr>
      </w:pPr>
    </w:p>
    <w:p w14:paraId="5F826AD7" w14:textId="77777777" w:rsidR="00E01278" w:rsidRDefault="00E01278" w:rsidP="00E01278">
      <w:pPr>
        <w:spacing w:after="120" w:line="360" w:lineRule="auto"/>
        <w:jc w:val="both"/>
        <w:rPr>
          <w:rFonts w:ascii="David" w:hAnsi="David"/>
          <w:b/>
          <w:bCs/>
          <w:color w:val="000000"/>
          <w:u w:val="single"/>
        </w:rPr>
      </w:pPr>
      <w:r>
        <w:rPr>
          <w:rFonts w:ascii="David" w:hAnsi="David"/>
          <w:b/>
          <w:bCs/>
          <w:color w:val="000000"/>
          <w:u w:val="single"/>
          <w:rtl/>
        </w:rPr>
        <w:t xml:space="preserve">מתחם הענישה </w:t>
      </w:r>
    </w:p>
    <w:p w14:paraId="2949B477" w14:textId="77777777" w:rsidR="00E01278" w:rsidRDefault="00E01278" w:rsidP="00E01278">
      <w:pPr>
        <w:numPr>
          <w:ilvl w:val="0"/>
          <w:numId w:val="1"/>
        </w:numPr>
        <w:spacing w:after="120" w:line="360" w:lineRule="auto"/>
        <w:jc w:val="both"/>
        <w:rPr>
          <w:rFonts w:ascii="David" w:hAnsi="David"/>
          <w:color w:val="000000"/>
        </w:rPr>
      </w:pPr>
      <w:r>
        <w:rPr>
          <w:rFonts w:ascii="David" w:hAnsi="David"/>
          <w:color w:val="000000"/>
          <w:rtl/>
        </w:rPr>
        <w:t xml:space="preserve">במעשיו פגע הנאשם </w:t>
      </w:r>
      <w:r>
        <w:rPr>
          <w:rFonts w:ascii="David" w:hAnsi="David"/>
          <w:b/>
          <w:bCs/>
          <w:color w:val="000000"/>
          <w:rtl/>
        </w:rPr>
        <w:t xml:space="preserve">במספר ערכים מוגנים </w:t>
      </w:r>
      <w:r>
        <w:rPr>
          <w:rFonts w:ascii="David" w:hAnsi="David"/>
          <w:color w:val="000000"/>
          <w:rtl/>
        </w:rPr>
        <w:t xml:space="preserve"> הגנה ושמירה על בטחון ושלום הציבור. וכן שמירה על הסדר הציבורי והגנה על שלמותו גופו ורכושו של אדם ומניעת פגיעה משמעותית באדם כתוצאה משימוש בנשק חם שלא על ידי מורשה. עבירה של החזקת נשק ותחמושת מעצם טיבה יוצרת סיכון שייעשה שימוש בנשק ובתחמושת למטרות פסולות, פליליות או ביטחוניות, לרבות פגיעה בגוף או בנפש. בית המשפט העליון שב וחזר על החומרה הגלומה בעבירות נשק ועל פוטנציאל הפגיעה בנפש וברכוש שעלולים להיגרם כתוצאה מהשימוש בו.  </w:t>
      </w:r>
    </w:p>
    <w:p w14:paraId="0B9D0476" w14:textId="77777777" w:rsidR="00E01278" w:rsidRDefault="00E01278" w:rsidP="00E01278">
      <w:pPr>
        <w:spacing w:after="120" w:line="360" w:lineRule="auto"/>
        <w:ind w:left="707"/>
        <w:rPr>
          <w:rFonts w:ascii="David" w:hAnsi="David"/>
          <w:color w:val="000000"/>
        </w:rPr>
      </w:pPr>
      <w:r>
        <w:rPr>
          <w:rFonts w:ascii="David" w:hAnsi="David"/>
          <w:color w:val="000000"/>
          <w:rtl/>
        </w:rPr>
        <w:t>ראה הנאמר ב</w:t>
      </w:r>
      <w:hyperlink r:id="rId15" w:history="1">
        <w:r w:rsidR="008611DB" w:rsidRPr="008611DB">
          <w:rPr>
            <w:rFonts w:ascii="David" w:hAnsi="David"/>
            <w:color w:val="0000FF"/>
            <w:u w:val="single"/>
            <w:rtl/>
          </w:rPr>
          <w:t>ע"פ 135/17</w:t>
        </w:r>
      </w:hyperlink>
      <w:r>
        <w:rPr>
          <w:rFonts w:ascii="David" w:hAnsi="David"/>
          <w:color w:val="000000"/>
          <w:rtl/>
        </w:rPr>
        <w:t xml:space="preserve"> </w:t>
      </w:r>
      <w:r>
        <w:rPr>
          <w:rFonts w:ascii="David" w:hAnsi="David"/>
          <w:b/>
          <w:bCs/>
          <w:color w:val="000000"/>
          <w:rtl/>
        </w:rPr>
        <w:t>מדינת ישראל נ' בסל</w:t>
      </w:r>
      <w:r>
        <w:rPr>
          <w:rFonts w:ascii="David" w:hAnsi="David"/>
          <w:color w:val="000000"/>
          <w:rtl/>
        </w:rPr>
        <w:t xml:space="preserve"> (8.3.17), מפי כב' השופט נ' סולברג : </w:t>
      </w:r>
    </w:p>
    <w:p w14:paraId="21C0E46E" w14:textId="77777777" w:rsidR="00E01278" w:rsidRDefault="00E01278" w:rsidP="00E01278">
      <w:pPr>
        <w:spacing w:after="120" w:line="360" w:lineRule="auto"/>
        <w:ind w:left="720"/>
        <w:jc w:val="both"/>
        <w:rPr>
          <w:rFonts w:ascii="David" w:hAnsi="David"/>
          <w:color w:val="000000"/>
        </w:rPr>
      </w:pPr>
      <w:r>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00082755" w14:textId="77777777" w:rsidR="00E01278" w:rsidRDefault="00E01278" w:rsidP="00E01278">
      <w:pPr>
        <w:spacing w:after="120" w:line="360" w:lineRule="auto"/>
        <w:ind w:left="707"/>
        <w:jc w:val="both"/>
        <w:rPr>
          <w:rFonts w:ascii="David" w:hAnsi="David"/>
          <w:color w:val="000000"/>
          <w:rtl/>
        </w:rPr>
      </w:pPr>
      <w:r>
        <w:rPr>
          <w:rFonts w:ascii="David" w:hAnsi="David"/>
          <w:color w:val="000000"/>
          <w:rtl/>
        </w:rPr>
        <w:t>ב</w:t>
      </w:r>
      <w:hyperlink r:id="rId16" w:history="1">
        <w:r w:rsidR="008611DB" w:rsidRPr="008611DB">
          <w:rPr>
            <w:rFonts w:ascii="David" w:hAnsi="David"/>
            <w:color w:val="0000FF"/>
            <w:u w:val="single"/>
            <w:rtl/>
          </w:rPr>
          <w:t>ע"פ 5446/19</w:t>
        </w:r>
      </w:hyperlink>
      <w:r>
        <w:rPr>
          <w:rFonts w:ascii="David" w:hAnsi="David"/>
          <w:color w:val="000000"/>
          <w:rtl/>
        </w:rPr>
        <w:t xml:space="preserve"> </w:t>
      </w:r>
      <w:r>
        <w:rPr>
          <w:rFonts w:ascii="David" w:hAnsi="David"/>
          <w:b/>
          <w:bCs/>
          <w:color w:val="000000"/>
          <w:rtl/>
        </w:rPr>
        <w:t>מדינת ישראל נ' הוארי</w:t>
      </w:r>
      <w:r>
        <w:rPr>
          <w:rFonts w:ascii="David" w:hAnsi="David"/>
          <w:color w:val="000000"/>
          <w:rtl/>
        </w:rPr>
        <w:t xml:space="preserve"> (25.11.19), מפי כב' השופט ע' גרוסקופף, חזר והדגיש לאחרונה בית המשפט העליון את מגמת ההחמרה בעבירות נשק, על סוגיהן השונים: </w:t>
      </w:r>
    </w:p>
    <w:p w14:paraId="53D99369" w14:textId="77777777" w:rsidR="00E01278" w:rsidRDefault="00E01278" w:rsidP="00E01278">
      <w:pPr>
        <w:spacing w:after="120" w:line="360" w:lineRule="auto"/>
        <w:ind w:left="720"/>
        <w:jc w:val="both"/>
        <w:rPr>
          <w:rFonts w:ascii="David" w:hAnsi="David"/>
          <w:color w:val="000000"/>
          <w:rtl/>
        </w:rPr>
      </w:pPr>
      <w:r>
        <w:rPr>
          <w:rFonts w:ascii="David" w:hAnsi="David"/>
          <w:color w:val="000000"/>
          <w:rtl/>
        </w:rPr>
        <w:t>"בשנים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w:t>
      </w:r>
      <w:r>
        <w:rPr>
          <w:rFonts w:ascii="David" w:hAnsi="David" w:hint="cs"/>
          <w:color w:val="000000"/>
          <w:rtl/>
        </w:rPr>
        <w:t>ע</w:t>
      </w:r>
      <w:r>
        <w:rPr>
          <w:rFonts w:ascii="David" w:hAnsi="David"/>
          <w:color w:val="000000"/>
          <w:rtl/>
        </w:rPr>
        <w:t xml:space="preserve">ים בעבירות נשק, כך שזו תבטא באופן הולם את פוטנציאל ההרס הרב הגלום בהן". </w:t>
      </w:r>
    </w:p>
    <w:p w14:paraId="5CF91170" w14:textId="77777777" w:rsidR="00E01278" w:rsidRDefault="00E01278" w:rsidP="00E01278">
      <w:pPr>
        <w:spacing w:after="120" w:line="360" w:lineRule="auto"/>
        <w:ind w:left="720"/>
        <w:jc w:val="both"/>
        <w:rPr>
          <w:rFonts w:ascii="David" w:hAnsi="David"/>
          <w:color w:val="000000"/>
          <w:rtl/>
        </w:rPr>
      </w:pPr>
    </w:p>
    <w:p w14:paraId="5A1EEB8C" w14:textId="77777777" w:rsidR="00E01278" w:rsidRDefault="00E01278" w:rsidP="00E01278">
      <w:pPr>
        <w:numPr>
          <w:ilvl w:val="0"/>
          <w:numId w:val="1"/>
        </w:numPr>
        <w:spacing w:after="120" w:line="360" w:lineRule="auto"/>
        <w:jc w:val="both"/>
        <w:rPr>
          <w:rFonts w:ascii="David" w:hAnsi="David"/>
          <w:color w:val="000000"/>
        </w:rPr>
      </w:pPr>
      <w:r>
        <w:rPr>
          <w:rFonts w:ascii="David" w:hAnsi="David"/>
          <w:color w:val="000000"/>
          <w:rtl/>
        </w:rPr>
        <w:t xml:space="preserve">בחינת </w:t>
      </w:r>
      <w:r>
        <w:rPr>
          <w:rFonts w:ascii="David" w:hAnsi="David"/>
          <w:b/>
          <w:bCs/>
          <w:color w:val="000000"/>
          <w:rtl/>
        </w:rPr>
        <w:t xml:space="preserve">מידת הפגיעה בערך המוגן </w:t>
      </w:r>
      <w:r>
        <w:rPr>
          <w:rFonts w:ascii="David" w:hAnsi="David"/>
          <w:color w:val="000000"/>
          <w:rtl/>
        </w:rPr>
        <w:t xml:space="preserve">מובילה למסקנה כי הפגיעה היא </w:t>
      </w:r>
      <w:r>
        <w:rPr>
          <w:rFonts w:ascii="David" w:hAnsi="David"/>
          <w:b/>
          <w:bCs/>
          <w:color w:val="000000"/>
          <w:rtl/>
        </w:rPr>
        <w:t>ברף הבינוני.</w:t>
      </w:r>
      <w:r>
        <w:rPr>
          <w:rFonts w:ascii="David" w:hAnsi="David"/>
          <w:color w:val="000000"/>
          <w:rtl/>
        </w:rPr>
        <w:t xml:space="preserve"> בהקשר זה נתתי דעתי לכך שהנאשם ביצע עבירה של החזקת נשק ותחמושת, שהעונש המרבי שנקבע לצידה הוא של  7 שנות מאסר, עוד יש לתת את הדעת לכך שעסקינן בהחזקת אקדח ותחמושת בביתו.  </w:t>
      </w:r>
    </w:p>
    <w:p w14:paraId="6F3F4F58" w14:textId="77777777" w:rsidR="00E01278" w:rsidRDefault="00E01278" w:rsidP="00E01278">
      <w:pPr>
        <w:spacing w:after="120" w:line="360" w:lineRule="auto"/>
        <w:ind w:left="720"/>
        <w:jc w:val="both"/>
        <w:rPr>
          <w:rFonts w:ascii="David" w:hAnsi="David"/>
          <w:color w:val="000000"/>
          <w:rtl/>
        </w:rPr>
      </w:pPr>
    </w:p>
    <w:p w14:paraId="6AD3DBFA" w14:textId="77777777" w:rsidR="00E01278" w:rsidRDefault="00E01278" w:rsidP="00E01278">
      <w:pPr>
        <w:pStyle w:val="a"/>
        <w:jc w:val="both"/>
      </w:pPr>
      <w:r>
        <w:rPr>
          <w:rFonts w:hint="cs"/>
          <w:rtl/>
        </w:rPr>
        <w:t>יש לציין שלאחרונה,  התקבל  תיקון ל</w:t>
      </w:r>
      <w:r w:rsidR="008611DB" w:rsidRPr="006F4531">
        <w:rPr>
          <w:color w:val="auto"/>
          <w:rtl/>
        </w:rPr>
        <w:t>חוק העונשין</w:t>
      </w:r>
      <w:r>
        <w:rPr>
          <w:rFonts w:hint="cs"/>
          <w:rtl/>
        </w:rPr>
        <w:t xml:space="preserve"> (חוק העונשין (תיקון מס' 140 – הוראת שעה), תשפ"ב-2021 (אשר נכנס לתוקף ביום 07.12.21) – במסגרתו נקבעו עונשי מינימום בכל הנוגע לעבירות נשק, כך שעונשו של העבריין לא יפחת מרבע העונש המקסימלי הקבוע לצד העבירה, כאשר ניתן לחרוג מעונש המינימום בהתקיים נימוקים מיוחדים שיירשמו. בסמוך לפרסומו של התיקון נקבע בפסיקה, שיש להחמיר בענישה ב"רוח התיקון", ראה דברי כב' השופט י' עמית ב</w:t>
      </w:r>
      <w:hyperlink r:id="rId17" w:history="1">
        <w:r w:rsidR="008611DB" w:rsidRPr="008611DB">
          <w:rPr>
            <w:color w:val="0000FF"/>
            <w:u w:val="single"/>
            <w:rtl/>
          </w:rPr>
          <w:t>ע"פ 2482/22</w:t>
        </w:r>
      </w:hyperlink>
      <w:r>
        <w:rPr>
          <w:rFonts w:hint="cs"/>
          <w:rtl/>
        </w:rPr>
        <w:t xml:space="preserve"> </w:t>
      </w:r>
      <w:r>
        <w:rPr>
          <w:rFonts w:hint="cs"/>
          <w:b/>
          <w:bCs/>
          <w:rtl/>
        </w:rPr>
        <w:t xml:space="preserve">מדינת ישראל נ' קדורה </w:t>
      </w:r>
      <w:r>
        <w:rPr>
          <w:rFonts w:hint="cs"/>
          <w:rtl/>
        </w:rPr>
        <w:t xml:space="preserve">(14.04.22)- </w:t>
      </w:r>
    </w:p>
    <w:p w14:paraId="5CAAED25" w14:textId="77777777" w:rsidR="00E01278" w:rsidRDefault="00E01278" w:rsidP="00E01278">
      <w:pPr>
        <w:pStyle w:val="a"/>
        <w:numPr>
          <w:ilvl w:val="0"/>
          <w:numId w:val="0"/>
        </w:numPr>
        <w:tabs>
          <w:tab w:val="left" w:pos="720"/>
        </w:tabs>
        <w:ind w:left="720"/>
        <w:jc w:val="both"/>
        <w:rPr>
          <w:rtl/>
        </w:rPr>
      </w:pPr>
      <w:r>
        <w:rPr>
          <w:rFonts w:hint="cs"/>
          <w:rtl/>
        </w:rPr>
        <w:t xml:space="preserve">"לא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 אכן, התיקון לחוק לא חל בענייננו, מאחר שהמעשים בהם הורשע המשיב נעשו עוד קודם לתיקון, </w:t>
      </w:r>
      <w:r>
        <w:rPr>
          <w:rFonts w:hint="cs"/>
          <w:b/>
          <w:bCs/>
          <w:rtl/>
        </w:rPr>
        <w:t>אך יש בו כדי לשקף את רצון המחוקק להחמיר בענישה בעבירות נשק</w:t>
      </w:r>
      <w:r>
        <w:rPr>
          <w:rFonts w:hint="cs"/>
          <w:rtl/>
        </w:rPr>
        <w:t xml:space="preserve">". </w:t>
      </w:r>
    </w:p>
    <w:p w14:paraId="245890DD" w14:textId="77777777" w:rsidR="00E01278" w:rsidRDefault="00E01278" w:rsidP="00E01278">
      <w:pPr>
        <w:pStyle w:val="a"/>
        <w:numPr>
          <w:ilvl w:val="0"/>
          <w:numId w:val="0"/>
        </w:numPr>
        <w:tabs>
          <w:tab w:val="left" w:pos="720"/>
        </w:tabs>
        <w:ind w:left="720"/>
        <w:jc w:val="both"/>
      </w:pPr>
    </w:p>
    <w:p w14:paraId="74BA41C1" w14:textId="77777777" w:rsidR="00E01278" w:rsidRDefault="00E01278" w:rsidP="00E01278">
      <w:pPr>
        <w:numPr>
          <w:ilvl w:val="0"/>
          <w:numId w:val="1"/>
        </w:numPr>
        <w:spacing w:after="120" w:line="360" w:lineRule="auto"/>
        <w:jc w:val="both"/>
        <w:rPr>
          <w:i/>
          <w:iCs/>
          <w:color w:val="000000"/>
        </w:rPr>
      </w:pPr>
      <w:r>
        <w:rPr>
          <w:rFonts w:ascii="David" w:hAnsi="David"/>
          <w:color w:val="000000"/>
          <w:rtl/>
        </w:rPr>
        <w:t xml:space="preserve">במסגרת </w:t>
      </w:r>
      <w:r>
        <w:rPr>
          <w:rFonts w:ascii="David" w:hAnsi="David"/>
          <w:b/>
          <w:bCs/>
          <w:color w:val="000000"/>
          <w:rtl/>
        </w:rPr>
        <w:t xml:space="preserve">הנסיבות הקשורות בביצוע העבירה </w:t>
      </w:r>
      <w:r>
        <w:rPr>
          <w:rFonts w:ascii="David" w:hAnsi="David"/>
          <w:color w:val="000000"/>
          <w:rtl/>
        </w:rPr>
        <w:t xml:space="preserve">(סעיף  </w:t>
      </w:r>
      <w:hyperlink r:id="rId18" w:history="1">
        <w:r w:rsidR="006F4531" w:rsidRPr="006F4531">
          <w:rPr>
            <w:rStyle w:val="Hyperlink"/>
            <w:rFonts w:ascii="David" w:hAnsi="David"/>
            <w:color w:val="0000FF"/>
            <w:rtl/>
          </w:rPr>
          <w:t xml:space="preserve">40 ט' </w:t>
        </w:r>
      </w:hyperlink>
      <w:r>
        <w:rPr>
          <w:rFonts w:ascii="David" w:hAnsi="David"/>
          <w:color w:val="000000"/>
          <w:rtl/>
        </w:rPr>
        <w:t xml:space="preserve">  לחוק),</w:t>
      </w:r>
      <w:r>
        <w:rPr>
          <w:color w:val="000000"/>
          <w:rtl/>
        </w:rPr>
        <w:t xml:space="preserve"> יש לתת את הדעת לכך שהנאשם החזיק בביתו אקדח אוטומטי וכן מחסנית טעונה בכדורים, פוטנציאל הנזק שצפוי להיגרם ככל והיה נעשה שימוש באקדח ובתחמושת הוא רב ועשוי היה להוביל לפגיעה בגוף ובנפש. יש לתת את הדעת לכך שבפועל לא נעשה שימוש בנשק ובתחמושת ולא נגרם נזק מוחשי. האקדח והתחמושת נתפסו על ידי המשטרה. </w:t>
      </w:r>
    </w:p>
    <w:p w14:paraId="2879704B" w14:textId="77777777" w:rsidR="00E01278" w:rsidRDefault="00E01278" w:rsidP="00E01278">
      <w:pPr>
        <w:spacing w:after="120" w:line="360" w:lineRule="auto"/>
        <w:ind w:left="720"/>
        <w:jc w:val="both"/>
        <w:rPr>
          <w:i/>
          <w:iCs/>
          <w:color w:val="000000"/>
          <w:rtl/>
        </w:rPr>
      </w:pPr>
    </w:p>
    <w:p w14:paraId="55D5A55E" w14:textId="77777777" w:rsidR="00E01278" w:rsidRDefault="00E01278" w:rsidP="00E01278">
      <w:pPr>
        <w:numPr>
          <w:ilvl w:val="0"/>
          <w:numId w:val="1"/>
        </w:numPr>
        <w:spacing w:after="120" w:line="360" w:lineRule="auto"/>
        <w:jc w:val="both"/>
        <w:rPr>
          <w:rFonts w:ascii="David" w:hAnsi="David"/>
          <w:color w:val="000000"/>
        </w:rPr>
      </w:pPr>
      <w:r>
        <w:rPr>
          <w:rFonts w:ascii="David" w:hAnsi="David"/>
          <w:color w:val="000000"/>
          <w:rtl/>
        </w:rPr>
        <w:t xml:space="preserve">בחינת </w:t>
      </w:r>
      <w:r>
        <w:rPr>
          <w:rFonts w:ascii="David" w:hAnsi="David"/>
          <w:b/>
          <w:bCs/>
          <w:color w:val="000000"/>
          <w:rtl/>
        </w:rPr>
        <w:t>מדיניות הענישה הנוהגת</w:t>
      </w:r>
      <w:r>
        <w:rPr>
          <w:rFonts w:ascii="David" w:hAnsi="David"/>
          <w:color w:val="000000"/>
          <w:rtl/>
        </w:rPr>
        <w:t xml:space="preserve"> מעלה כי  הוטלו עונשים במנעד רחב תלוי בנסיבות ובהן; סוג הנשק, אופן ומשך ההחזקה, מטרת ההחזקה וכיוצא באלה, וזאת כמפורט להלן:</w:t>
      </w:r>
    </w:p>
    <w:p w14:paraId="0035E2DD" w14:textId="77777777" w:rsidR="00E01278" w:rsidRDefault="008611DB" w:rsidP="00E01278">
      <w:pPr>
        <w:pStyle w:val="aa"/>
        <w:numPr>
          <w:ilvl w:val="1"/>
          <w:numId w:val="1"/>
        </w:numPr>
        <w:spacing w:after="120" w:line="360" w:lineRule="auto"/>
        <w:jc w:val="both"/>
        <w:rPr>
          <w:rFonts w:ascii="David" w:hAnsi="David"/>
          <w:color w:val="000000"/>
        </w:rPr>
      </w:pPr>
      <w:hyperlink r:id="rId19" w:history="1">
        <w:r w:rsidRPr="008611DB">
          <w:rPr>
            <w:rFonts w:ascii="David" w:hAnsi="David"/>
            <w:color w:val="0000FF"/>
            <w:u w:val="single"/>
            <w:rtl/>
          </w:rPr>
          <w:t>ע"פ 2482/22</w:t>
        </w:r>
      </w:hyperlink>
      <w:r w:rsidR="00E01278">
        <w:rPr>
          <w:rFonts w:ascii="David" w:hAnsi="David"/>
          <w:color w:val="000000"/>
          <w:rtl/>
        </w:rPr>
        <w:t xml:space="preserve"> </w:t>
      </w:r>
      <w:r w:rsidR="00E01278">
        <w:rPr>
          <w:rFonts w:ascii="David" w:hAnsi="David"/>
          <w:b/>
          <w:bCs/>
          <w:color w:val="000000"/>
          <w:rtl/>
        </w:rPr>
        <w:t xml:space="preserve">מדינת ישראל נ' קדורה </w:t>
      </w:r>
      <w:r w:rsidR="00E01278">
        <w:rPr>
          <w:rFonts w:ascii="David" w:hAnsi="David"/>
          <w:color w:val="000000"/>
          <w:rtl/>
        </w:rPr>
        <w:t xml:space="preserve">(14.04.22) – הנאשם הודה והורשע בעבירה של החזקת נשק בצוותא, </w:t>
      </w:r>
      <w:r w:rsidR="00E01278">
        <w:rPr>
          <w:rFonts w:ascii="David" w:hAnsi="David"/>
          <w:b/>
          <w:bCs/>
          <w:color w:val="000000"/>
          <w:rtl/>
        </w:rPr>
        <w:t>הנאשם נמצא מחזיק בביתו רימון</w:t>
      </w:r>
      <w:r w:rsidR="00E01278">
        <w:rPr>
          <w:rFonts w:ascii="David" w:hAnsi="David"/>
          <w:color w:val="000000"/>
          <w:rtl/>
        </w:rPr>
        <w:t xml:space="preserve">, בנוסף במהלך חקירתו הודה בהחזקת אקדח וכדורים שלא נתפסו. בית המשפט המחוזי קבע מתחם ענישה הנע בין </w:t>
      </w:r>
      <w:r w:rsidR="00E01278">
        <w:rPr>
          <w:rFonts w:ascii="David" w:hAnsi="David"/>
          <w:b/>
          <w:bCs/>
          <w:color w:val="000000"/>
          <w:rtl/>
        </w:rPr>
        <w:t xml:space="preserve">10 ל 36 חודשי מאסר </w:t>
      </w:r>
      <w:r w:rsidR="00E01278">
        <w:rPr>
          <w:rFonts w:ascii="David" w:hAnsi="David"/>
          <w:color w:val="000000"/>
          <w:rtl/>
        </w:rPr>
        <w:t xml:space="preserve">בצירוף ענישה נלווית. הנאשם נעדר עבר פלילי נדון ל 10 חודשי מאסר בפועל. ערעור המדינה על </w:t>
      </w:r>
      <w:r w:rsidR="00E01278">
        <w:rPr>
          <w:rFonts w:ascii="David" w:hAnsi="David"/>
          <w:b/>
          <w:bCs/>
          <w:color w:val="000000"/>
          <w:rtl/>
        </w:rPr>
        <w:t>קולת העונש התקבל ועונשו של הנאשם הוחמר והוא נדון ל 18 חודשי מאסר בפועל</w:t>
      </w:r>
      <w:r w:rsidR="00E01278">
        <w:rPr>
          <w:rFonts w:ascii="David" w:hAnsi="David"/>
          <w:color w:val="000000"/>
          <w:rtl/>
        </w:rPr>
        <w:t xml:space="preserve">. </w:t>
      </w:r>
    </w:p>
    <w:p w14:paraId="2E4CF85A" w14:textId="77777777" w:rsidR="00E01278" w:rsidRDefault="008611DB" w:rsidP="00E01278">
      <w:pPr>
        <w:pStyle w:val="aa"/>
        <w:numPr>
          <w:ilvl w:val="1"/>
          <w:numId w:val="1"/>
        </w:numPr>
        <w:spacing w:after="120" w:line="360" w:lineRule="auto"/>
        <w:jc w:val="both"/>
        <w:rPr>
          <w:rFonts w:ascii="David" w:hAnsi="David"/>
          <w:color w:val="000000"/>
        </w:rPr>
      </w:pPr>
      <w:hyperlink r:id="rId20" w:history="1">
        <w:r w:rsidRPr="008611DB">
          <w:rPr>
            <w:rFonts w:ascii="David" w:hAnsi="David"/>
            <w:color w:val="0000FF"/>
            <w:u w:val="single"/>
            <w:rtl/>
          </w:rPr>
          <w:t>ע"פ 8320/21</w:t>
        </w:r>
      </w:hyperlink>
      <w:r w:rsidR="00E01278">
        <w:rPr>
          <w:rFonts w:ascii="David" w:hAnsi="David"/>
          <w:color w:val="000000"/>
          <w:rtl/>
        </w:rPr>
        <w:t xml:space="preserve"> </w:t>
      </w:r>
      <w:r w:rsidR="00E01278">
        <w:rPr>
          <w:rFonts w:ascii="David" w:hAnsi="David"/>
          <w:b/>
          <w:bCs/>
          <w:color w:val="000000"/>
          <w:rtl/>
        </w:rPr>
        <w:t>מדינת ישראל נ' בסילה</w:t>
      </w:r>
      <w:r w:rsidR="00E01278">
        <w:rPr>
          <w:rFonts w:ascii="David" w:hAnsi="David"/>
          <w:color w:val="000000"/>
          <w:rtl/>
        </w:rPr>
        <w:t xml:space="preserve"> ( 28.12.21) הנאשם הודה והורשע בעבירה של החזקת נשק ותחמושת בכך שנשא והוביל לביתו נשק</w:t>
      </w:r>
      <w:r w:rsidR="00E01278">
        <w:rPr>
          <w:rFonts w:ascii="David" w:hAnsi="David"/>
          <w:b/>
          <w:bCs/>
          <w:color w:val="000000"/>
          <w:rtl/>
        </w:rPr>
        <w:t xml:space="preserve"> דמוי רובה</w:t>
      </w:r>
      <w:r w:rsidR="00E01278">
        <w:rPr>
          <w:rFonts w:ascii="David" w:hAnsi="David"/>
          <w:color w:val="000000"/>
          <w:rtl/>
        </w:rPr>
        <w:t xml:space="preserve">, והחזיקו במשך 3 שבועות טרם נתפס. בנוסף נמצא מחזיק </w:t>
      </w:r>
      <w:r w:rsidR="00E01278">
        <w:rPr>
          <w:rFonts w:ascii="David" w:hAnsi="David"/>
          <w:b/>
          <w:bCs/>
          <w:color w:val="000000"/>
          <w:rtl/>
        </w:rPr>
        <w:t>5 מחסניות</w:t>
      </w:r>
      <w:r w:rsidR="00E01278">
        <w:rPr>
          <w:rFonts w:ascii="David" w:hAnsi="David"/>
          <w:color w:val="000000"/>
          <w:rtl/>
        </w:rPr>
        <w:t>, מיכל תרסיס שמן לנשק, 2 קופסאות תחמושת סך הכל</w:t>
      </w:r>
      <w:r w:rsidR="00E01278">
        <w:rPr>
          <w:rFonts w:ascii="David" w:hAnsi="David"/>
          <w:b/>
          <w:bCs/>
          <w:color w:val="000000"/>
          <w:rtl/>
        </w:rPr>
        <w:t xml:space="preserve"> 60 כדורים</w:t>
      </w:r>
      <w:r w:rsidR="00E01278">
        <w:rPr>
          <w:rFonts w:ascii="David" w:hAnsi="David"/>
          <w:color w:val="000000"/>
          <w:rtl/>
        </w:rPr>
        <w:t xml:space="preserve">. בית משפט המחוזי קבע מתחם ענישה הנע בין 6 ל 24 חודשי מאסר, הנאשם בעל פלילי, שהה במעצר במשך 80 יום טרם שוחרר למעצר בית, </w:t>
      </w:r>
      <w:r w:rsidR="00E01278">
        <w:rPr>
          <w:rFonts w:ascii="David" w:hAnsi="David"/>
          <w:b/>
          <w:bCs/>
          <w:color w:val="000000"/>
          <w:rtl/>
        </w:rPr>
        <w:t>נדון ל 7 חודשי מאסר בפועל</w:t>
      </w:r>
      <w:r w:rsidR="00E01278">
        <w:rPr>
          <w:rFonts w:ascii="David" w:hAnsi="David"/>
          <w:color w:val="000000"/>
          <w:rtl/>
        </w:rPr>
        <w:t xml:space="preserve">. </w:t>
      </w:r>
      <w:r w:rsidR="00E01278">
        <w:rPr>
          <w:rFonts w:ascii="David" w:hAnsi="David"/>
          <w:b/>
          <w:bCs/>
          <w:color w:val="000000"/>
          <w:rtl/>
        </w:rPr>
        <w:t>בית המשפט העליון קיבל ערעור המדינה והחמיר בעונשו של הנאשם והעמידו על 14 חודשי מאסר בפועל</w:t>
      </w:r>
      <w:r w:rsidR="00E01278">
        <w:rPr>
          <w:rFonts w:ascii="David" w:hAnsi="David"/>
          <w:color w:val="000000"/>
          <w:rtl/>
        </w:rPr>
        <w:t>. בית המשפט העליון ציין כי מתחם הענישה שנקבע הינו מקל יתר על המידה.</w:t>
      </w:r>
    </w:p>
    <w:p w14:paraId="59E053C9" w14:textId="77777777" w:rsidR="00E01278" w:rsidRDefault="008611DB" w:rsidP="00E01278">
      <w:pPr>
        <w:pStyle w:val="aa"/>
        <w:numPr>
          <w:ilvl w:val="1"/>
          <w:numId w:val="1"/>
        </w:numPr>
        <w:spacing w:after="120" w:line="360" w:lineRule="auto"/>
        <w:jc w:val="both"/>
        <w:rPr>
          <w:rFonts w:ascii="David" w:hAnsi="David"/>
          <w:color w:val="000000"/>
        </w:rPr>
      </w:pPr>
      <w:hyperlink r:id="rId21" w:history="1">
        <w:r w:rsidRPr="008611DB">
          <w:rPr>
            <w:rFonts w:ascii="David" w:hAnsi="David"/>
            <w:color w:val="0000FF"/>
            <w:u w:val="single"/>
            <w:rtl/>
          </w:rPr>
          <w:t>רע"פ 5613/20</w:t>
        </w:r>
      </w:hyperlink>
      <w:r w:rsidR="00E01278">
        <w:rPr>
          <w:rFonts w:ascii="David" w:hAnsi="David"/>
          <w:color w:val="000000"/>
          <w:rtl/>
        </w:rPr>
        <w:t xml:space="preserve"> </w:t>
      </w:r>
      <w:r w:rsidR="00E01278">
        <w:rPr>
          <w:rFonts w:ascii="David" w:hAnsi="David"/>
          <w:b/>
          <w:bCs/>
          <w:color w:val="000000"/>
          <w:rtl/>
        </w:rPr>
        <w:t>אלהוזייל נ' מדינת ישראל</w:t>
      </w:r>
      <w:r w:rsidR="00E01278">
        <w:rPr>
          <w:rFonts w:ascii="David" w:hAnsi="David"/>
          <w:color w:val="000000"/>
          <w:rtl/>
        </w:rPr>
        <w:t xml:space="preserve">  (25.08.20) הנאשם הודה והורשע בהחזקת נשק ותחמושת בכך שהחזיק בביתו אקדח וכן 20 כדורים, בית משפט השלום קבע </w:t>
      </w:r>
      <w:r w:rsidR="00E01278">
        <w:rPr>
          <w:rFonts w:ascii="David" w:hAnsi="David"/>
          <w:b/>
          <w:bCs/>
          <w:color w:val="000000"/>
          <w:rtl/>
        </w:rPr>
        <w:t>מתחם ענישה הנע בין 11 ל 30 חודשי מאסר בפועל</w:t>
      </w:r>
      <w:r w:rsidR="00E01278">
        <w:rPr>
          <w:rFonts w:ascii="David" w:hAnsi="David"/>
          <w:color w:val="000000"/>
          <w:rtl/>
        </w:rPr>
        <w:t xml:space="preserve"> והטיל על הנאשם </w:t>
      </w:r>
      <w:r w:rsidR="00E01278">
        <w:rPr>
          <w:rFonts w:ascii="David" w:hAnsi="David"/>
          <w:b/>
          <w:bCs/>
          <w:color w:val="000000"/>
          <w:rtl/>
        </w:rPr>
        <w:t>בעל עבר פלילי 12 חודשי מאסר בפועל</w:t>
      </w:r>
      <w:r w:rsidR="00E01278">
        <w:rPr>
          <w:rFonts w:ascii="David" w:hAnsi="David"/>
          <w:color w:val="000000"/>
          <w:rtl/>
        </w:rPr>
        <w:t xml:space="preserve">, ערעור שהגיש הנאשם לבית המשפט המחוזי נדחה וכן בקשת רשות ערעור נדחתה, תוך שבית המשפט העליון מציין כי בעבירות נשק מתחייבת החמרה ממשית בענישה על מנת ליצור התרעה. </w:t>
      </w:r>
    </w:p>
    <w:p w14:paraId="0DFB2C00" w14:textId="77777777" w:rsidR="00E01278" w:rsidRDefault="008611DB" w:rsidP="00E01278">
      <w:pPr>
        <w:pStyle w:val="aa"/>
        <w:numPr>
          <w:ilvl w:val="1"/>
          <w:numId w:val="1"/>
        </w:numPr>
        <w:spacing w:after="120" w:line="360" w:lineRule="auto"/>
        <w:jc w:val="both"/>
        <w:rPr>
          <w:rFonts w:ascii="David" w:hAnsi="David"/>
          <w:color w:val="000000"/>
        </w:rPr>
      </w:pPr>
      <w:hyperlink r:id="rId22" w:history="1">
        <w:r w:rsidRPr="008611DB">
          <w:rPr>
            <w:rFonts w:ascii="David" w:hAnsi="David"/>
            <w:color w:val="0000FF"/>
            <w:u w:val="single"/>
            <w:rtl/>
          </w:rPr>
          <w:t>עפ"ג (מחוזי -חיפה) 50840-03-22</w:t>
        </w:r>
      </w:hyperlink>
      <w:r w:rsidR="00E01278">
        <w:rPr>
          <w:rFonts w:ascii="David" w:hAnsi="David"/>
          <w:color w:val="000000"/>
          <w:rtl/>
        </w:rPr>
        <w:t xml:space="preserve"> </w:t>
      </w:r>
      <w:r w:rsidR="00E01278">
        <w:rPr>
          <w:rFonts w:ascii="David" w:hAnsi="David"/>
          <w:b/>
          <w:bCs/>
          <w:color w:val="000000"/>
          <w:rtl/>
        </w:rPr>
        <w:t>מדינת ישראל נ' סלאמה</w:t>
      </w:r>
      <w:r w:rsidR="00E01278">
        <w:rPr>
          <w:rFonts w:ascii="David" w:hAnsi="David"/>
          <w:color w:val="000000"/>
          <w:rtl/>
        </w:rPr>
        <w:t xml:space="preserve"> (04.04.22) – הנאשם הודה והורשע בהחזקת נשק שלא כדין ותקיפת שוטר, הנאשם נמצא מחזיק בביתו </w:t>
      </w:r>
      <w:r w:rsidR="00E01278">
        <w:rPr>
          <w:rFonts w:ascii="David" w:hAnsi="David"/>
          <w:b/>
          <w:bCs/>
          <w:color w:val="000000"/>
          <w:rtl/>
        </w:rPr>
        <w:t>שני תתי מקלע מאולתרים</w:t>
      </w:r>
      <w:r w:rsidR="00E01278">
        <w:rPr>
          <w:rFonts w:ascii="David" w:hAnsi="David"/>
          <w:color w:val="000000"/>
          <w:rtl/>
        </w:rPr>
        <w:t xml:space="preserve">, במהלך החיפוש בביתו תקף שוטר. בית משפט </w:t>
      </w:r>
      <w:r w:rsidR="00E01278">
        <w:rPr>
          <w:rFonts w:ascii="David" w:hAnsi="David"/>
          <w:b/>
          <w:bCs/>
          <w:color w:val="000000"/>
          <w:rtl/>
        </w:rPr>
        <w:t>השלום קבע מתחם ענישה הנע בין 12 ל 36 חודשי מאסר בפועל</w:t>
      </w:r>
      <w:r w:rsidR="00E01278">
        <w:rPr>
          <w:rFonts w:ascii="David" w:hAnsi="David"/>
          <w:color w:val="000000"/>
          <w:rtl/>
        </w:rPr>
        <w:t xml:space="preserve">, והטיל על הנאשם 15 חודשי מאסר בפועל. ערעור על קולת העונש התקבל, תוך שבית המשפט המחוזי מציין כי מתחם העונש שנקבע אינו הולם הנסיבות, וקבע מתחם ענישה הנע בין 25 ל 50 חודשי מאסר בפועל והטיל על הנאשם 28 חודשי מאסר בפועל. </w:t>
      </w:r>
    </w:p>
    <w:p w14:paraId="77D3B7A4" w14:textId="77777777" w:rsidR="00E01278" w:rsidRDefault="008611DB" w:rsidP="00E01278">
      <w:pPr>
        <w:pStyle w:val="aa"/>
        <w:numPr>
          <w:ilvl w:val="1"/>
          <w:numId w:val="1"/>
        </w:numPr>
        <w:spacing w:after="120" w:line="360" w:lineRule="auto"/>
        <w:jc w:val="both"/>
        <w:rPr>
          <w:rFonts w:ascii="David" w:hAnsi="David"/>
          <w:color w:val="000000"/>
        </w:rPr>
      </w:pPr>
      <w:hyperlink r:id="rId23" w:history="1">
        <w:r w:rsidRPr="008611DB">
          <w:rPr>
            <w:rFonts w:ascii="David" w:hAnsi="David"/>
            <w:color w:val="0000FF"/>
            <w:u w:val="single"/>
            <w:rtl/>
          </w:rPr>
          <w:t>עפ"ג (מרכז) 58855-12-21</w:t>
        </w:r>
      </w:hyperlink>
      <w:r w:rsidR="00E01278">
        <w:rPr>
          <w:rFonts w:ascii="David" w:hAnsi="David"/>
          <w:color w:val="000000"/>
          <w:rtl/>
        </w:rPr>
        <w:t xml:space="preserve"> </w:t>
      </w:r>
      <w:r w:rsidR="00E01278">
        <w:rPr>
          <w:rFonts w:ascii="David" w:hAnsi="David"/>
          <w:b/>
          <w:bCs/>
          <w:color w:val="000000"/>
          <w:rtl/>
        </w:rPr>
        <w:t>עלי שעבאן נ' מדינת ישראל</w:t>
      </w:r>
      <w:r w:rsidR="00E01278">
        <w:rPr>
          <w:rFonts w:ascii="David" w:hAnsi="David"/>
          <w:color w:val="000000"/>
          <w:rtl/>
        </w:rPr>
        <w:t xml:space="preserve"> (03.04.22) הנאשם הורשע לאחר ניהול הוכחות בהחזקת נשק ותחמושת וכן בעבירה של שיבוש הליכי משפט, בכך שבמהלך הגעת כוח משטרתי לפתח ביתו, במהלך פעילות משטרתית, שהה הנאשם מחוץ לפתח ביתו שברשותו אקדח ו 16 כדורים במחסנית, משהבחין הנאשם בשוטר השליך האקדח מעבר לחומה. בית משפט השלום קבע </w:t>
      </w:r>
      <w:r w:rsidR="00E01278">
        <w:rPr>
          <w:rFonts w:ascii="David" w:hAnsi="David"/>
          <w:b/>
          <w:bCs/>
          <w:color w:val="000000"/>
          <w:rtl/>
        </w:rPr>
        <w:t>מתחם ענישה הנע בין 12 ל 36 חודשים</w:t>
      </w:r>
      <w:r w:rsidR="00E01278">
        <w:rPr>
          <w:rFonts w:ascii="David" w:hAnsi="David"/>
          <w:color w:val="000000"/>
          <w:rtl/>
        </w:rPr>
        <w:t xml:space="preserve">, הנאשם בעל עבר פלילי מכביד </w:t>
      </w:r>
      <w:r w:rsidR="00E01278">
        <w:rPr>
          <w:rFonts w:ascii="David" w:hAnsi="David"/>
          <w:b/>
          <w:bCs/>
          <w:color w:val="000000"/>
          <w:rtl/>
        </w:rPr>
        <w:t>נדון ל 20 חודשי מאסר בפועל.</w:t>
      </w:r>
      <w:r w:rsidR="00E01278">
        <w:rPr>
          <w:rFonts w:ascii="David" w:hAnsi="David"/>
          <w:color w:val="000000"/>
          <w:rtl/>
        </w:rPr>
        <w:t xml:space="preserve"> יודגש כי התיק עבר מספר גלגולים שכן הנאשם זוכה תחילה בערכה הדיונית ונמצא אשם על ידי ערכאת הערעור והתיק הושב לבית משפט השלום לצורך גזירת עונשו של הנאשם. בית המשפט המחוזי במסגרת ערעור על חומרת העונש, מצא שיש מקום להקל בעונש המאסר וזאת נוכח נסיבות כניסת השוטרים לביתו של הנאשם, ללא הסמכה כדין, לנוכח גלגוליו של התיק, העובדה שאומנם לנאשם עבר פלילי עשיר אך מדובר בעבר פלילי שברובו ישן. בית המשפט המחוזי הקל בעונשו של הנאשם והעמידו על </w:t>
      </w:r>
      <w:r w:rsidR="00E01278">
        <w:rPr>
          <w:rFonts w:ascii="David" w:hAnsi="David"/>
          <w:b/>
          <w:bCs/>
          <w:color w:val="000000"/>
          <w:rtl/>
        </w:rPr>
        <w:t xml:space="preserve">15 חודשים </w:t>
      </w:r>
      <w:r w:rsidR="00E01278">
        <w:rPr>
          <w:rFonts w:ascii="David" w:hAnsi="David"/>
          <w:color w:val="000000"/>
          <w:rtl/>
        </w:rPr>
        <w:t xml:space="preserve">תוך שמציין שאין מקום להתערב במתחם העונש שנקבע. </w:t>
      </w:r>
    </w:p>
    <w:p w14:paraId="1038FEE6" w14:textId="77777777" w:rsidR="00E01278" w:rsidRDefault="008611DB" w:rsidP="00E01278">
      <w:pPr>
        <w:pStyle w:val="aa"/>
        <w:numPr>
          <w:ilvl w:val="1"/>
          <w:numId w:val="1"/>
        </w:numPr>
        <w:spacing w:after="120" w:line="360" w:lineRule="auto"/>
        <w:jc w:val="both"/>
        <w:rPr>
          <w:rFonts w:ascii="David" w:hAnsi="David"/>
          <w:color w:val="000000"/>
        </w:rPr>
      </w:pPr>
      <w:hyperlink r:id="rId24" w:history="1">
        <w:r w:rsidRPr="008611DB">
          <w:rPr>
            <w:rFonts w:ascii="David" w:hAnsi="David"/>
            <w:color w:val="0000FF"/>
            <w:u w:val="single"/>
            <w:rtl/>
          </w:rPr>
          <w:t>ת"פ 19417-11-16</w:t>
        </w:r>
      </w:hyperlink>
      <w:r w:rsidR="00E01278">
        <w:rPr>
          <w:rFonts w:ascii="David" w:hAnsi="David"/>
          <w:color w:val="000000"/>
          <w:rtl/>
        </w:rPr>
        <w:t xml:space="preserve"> </w:t>
      </w:r>
      <w:r w:rsidR="00E01278">
        <w:rPr>
          <w:rFonts w:ascii="David" w:hAnsi="David"/>
          <w:b/>
          <w:bCs/>
          <w:color w:val="000000"/>
          <w:rtl/>
        </w:rPr>
        <w:t>מדינת ישראל נ' אבואלקיען</w:t>
      </w:r>
      <w:r w:rsidR="00E01278">
        <w:rPr>
          <w:rFonts w:ascii="David" w:hAnsi="David"/>
          <w:color w:val="000000"/>
          <w:rtl/>
        </w:rPr>
        <w:t xml:space="preserve"> ( 25.01.20) – הנאשם הורשע לאחר ניהול הוכחות בהחזקת נשק ותחמושת, בכך שנתפס מחזיק ברכבו אקדח חצי אוטומטי מחסנית וכדורים, </w:t>
      </w:r>
      <w:r w:rsidR="00E01278">
        <w:rPr>
          <w:rFonts w:ascii="David" w:hAnsi="David"/>
          <w:b/>
          <w:bCs/>
          <w:color w:val="000000"/>
          <w:rtl/>
        </w:rPr>
        <w:t>בית משפט השלום קבע מתחם ענישה הנע בין 15 עד 30 חודשי מאסר בפועל</w:t>
      </w:r>
      <w:r w:rsidR="00E01278">
        <w:rPr>
          <w:rFonts w:ascii="David" w:hAnsi="David"/>
          <w:color w:val="000000"/>
          <w:rtl/>
        </w:rPr>
        <w:t>, הנאשם נעדר עבר פלילי, מנהל אורח חיים נורמטיבי . נדון ל 15 חודשי מאסר בפועל. יודגש, שבמסגרת תיק ערעור שהגיש הנאשם (</w:t>
      </w:r>
      <w:hyperlink r:id="rId25" w:history="1">
        <w:r w:rsidRPr="008611DB">
          <w:rPr>
            <w:rFonts w:ascii="David" w:hAnsi="David"/>
            <w:color w:val="0000FF"/>
            <w:u w:val="single"/>
            <w:rtl/>
          </w:rPr>
          <w:t>עפ"ג 56305-02-20</w:t>
        </w:r>
      </w:hyperlink>
      <w:r w:rsidR="00E01278">
        <w:rPr>
          <w:rFonts w:ascii="David" w:hAnsi="David"/>
          <w:color w:val="000000"/>
          <w:rtl/>
        </w:rPr>
        <w:t xml:space="preserve"> ) התקבל. תוך שבית המשפט המחוזי שב וחוזר על החומרה הגלומה בעבירת הנשק,  לפנים משורת הדין, מקבל הערעור וזאת נוכח נסיבותיו האישיות-משפחתיות של הנאשם, תרומתו למדינה (כחייל סדיר ובמילואים), היעדר עבר פלילי </w:t>
      </w:r>
      <w:r w:rsidR="00E01278">
        <w:rPr>
          <w:rFonts w:ascii="David" w:hAnsi="David"/>
          <w:b/>
          <w:bCs/>
          <w:color w:val="000000"/>
          <w:u w:val="single"/>
          <w:rtl/>
        </w:rPr>
        <w:t>והקל בעונשו בכך שתקופת המאסר שנקבעה הועמדה על 12 חודשים</w:t>
      </w:r>
      <w:r w:rsidR="00E01278">
        <w:rPr>
          <w:rFonts w:ascii="David" w:hAnsi="David"/>
          <w:color w:val="000000"/>
          <w:rtl/>
        </w:rPr>
        <w:t xml:space="preserve">. </w:t>
      </w:r>
    </w:p>
    <w:p w14:paraId="75977BD1" w14:textId="77777777" w:rsidR="00E01278" w:rsidRDefault="008611DB" w:rsidP="00E01278">
      <w:pPr>
        <w:pStyle w:val="aa"/>
        <w:numPr>
          <w:ilvl w:val="1"/>
          <w:numId w:val="1"/>
        </w:numPr>
        <w:spacing w:after="120" w:line="360" w:lineRule="auto"/>
        <w:jc w:val="both"/>
        <w:rPr>
          <w:rFonts w:ascii="David" w:hAnsi="David"/>
          <w:color w:val="000000"/>
        </w:rPr>
      </w:pPr>
      <w:hyperlink r:id="rId26" w:history="1">
        <w:r w:rsidRPr="008611DB">
          <w:rPr>
            <w:rFonts w:ascii="David" w:hAnsi="David"/>
            <w:color w:val="0000FF"/>
            <w:u w:val="single"/>
            <w:rtl/>
          </w:rPr>
          <w:t>עפ"ג (חיפה) 24796-06-20</w:t>
        </w:r>
      </w:hyperlink>
      <w:r w:rsidR="00E01278">
        <w:rPr>
          <w:rFonts w:ascii="David" w:hAnsi="David"/>
          <w:color w:val="000000"/>
          <w:rtl/>
        </w:rPr>
        <w:t xml:space="preserve">  </w:t>
      </w:r>
      <w:r w:rsidR="00E01278">
        <w:rPr>
          <w:rFonts w:ascii="David" w:hAnsi="David"/>
          <w:b/>
          <w:bCs/>
          <w:color w:val="000000"/>
          <w:rtl/>
        </w:rPr>
        <w:t xml:space="preserve">חג'אזי נ' מדינת ישראל </w:t>
      </w:r>
      <w:r w:rsidR="00E01278">
        <w:rPr>
          <w:rFonts w:ascii="David" w:hAnsi="David"/>
          <w:color w:val="000000"/>
          <w:rtl/>
        </w:rPr>
        <w:t xml:space="preserve">(06.07.20) </w:t>
      </w:r>
      <w:r w:rsidR="00E01278">
        <w:rPr>
          <w:rFonts w:ascii="David" w:hAnsi="David"/>
          <w:b/>
          <w:bCs/>
          <w:color w:val="000000"/>
          <w:rtl/>
        </w:rPr>
        <w:t xml:space="preserve">– </w:t>
      </w:r>
      <w:r w:rsidR="00E01278">
        <w:rPr>
          <w:rFonts w:ascii="David" w:hAnsi="David"/>
          <w:color w:val="000000"/>
          <w:rtl/>
        </w:rPr>
        <w:t xml:space="preserve">הנאשם הודה והורשע בהחזקת נשק ותחמושת בכך שהחזיק בחוות סוסים אקדח חצי אוטומטי ובו מחסנית טעונה ב 15 כדורים. במצב "הכנס". בית משפט השלום </w:t>
      </w:r>
      <w:r w:rsidR="00E01278">
        <w:rPr>
          <w:rFonts w:ascii="David" w:hAnsi="David"/>
          <w:b/>
          <w:bCs/>
          <w:color w:val="000000"/>
          <w:rtl/>
        </w:rPr>
        <w:t>קבע מתחם ענישה הנע בין 10 ל 24 חודשי מאסר בפועל</w:t>
      </w:r>
      <w:r w:rsidR="00E01278">
        <w:rPr>
          <w:rFonts w:ascii="David" w:hAnsi="David"/>
          <w:color w:val="000000"/>
          <w:rtl/>
        </w:rPr>
        <w:t xml:space="preserve">, הנאשם צעיר  נעדר עבר פלילי נדון ל 15 חודשי מאסר. ערעור שהגיש הנאשם נדחה. בית המחוזי בפסק דינו ציין כי מתחם העונש שנקבע הינו מקל באופן בלתי מבוטל בהתחשב בנסיבות ביצוע העבירות. </w:t>
      </w:r>
    </w:p>
    <w:p w14:paraId="4F75FEF4" w14:textId="77777777" w:rsidR="00E01278" w:rsidRDefault="008611DB" w:rsidP="00E01278">
      <w:pPr>
        <w:pStyle w:val="aa"/>
        <w:numPr>
          <w:ilvl w:val="1"/>
          <w:numId w:val="1"/>
        </w:numPr>
        <w:spacing w:after="120" w:line="360" w:lineRule="auto"/>
        <w:jc w:val="both"/>
        <w:rPr>
          <w:rFonts w:ascii="David" w:hAnsi="David"/>
          <w:b/>
          <w:bCs/>
          <w:color w:val="000000"/>
        </w:rPr>
      </w:pPr>
      <w:hyperlink r:id="rId27" w:history="1">
        <w:r w:rsidRPr="008611DB">
          <w:rPr>
            <w:rFonts w:ascii="David" w:hAnsi="David"/>
            <w:b/>
            <w:bCs/>
            <w:color w:val="0000FF"/>
            <w:u w:val="single"/>
            <w:rtl/>
          </w:rPr>
          <w:t>עפ"ג (ב"ש) 33419-03-24</w:t>
        </w:r>
      </w:hyperlink>
      <w:r w:rsidR="00E01278">
        <w:rPr>
          <w:rFonts w:ascii="David" w:hAnsi="David"/>
          <w:b/>
          <w:bCs/>
          <w:color w:val="000000"/>
          <w:rtl/>
        </w:rPr>
        <w:t xml:space="preserve"> מדינת ישראל נ' גרנאוי (03.04.24) – </w:t>
      </w:r>
      <w:r w:rsidR="00E01278">
        <w:rPr>
          <w:rFonts w:ascii="David" w:hAnsi="David"/>
          <w:color w:val="000000"/>
          <w:rtl/>
        </w:rPr>
        <w:t xml:space="preserve">הנאשם הורשע על פי הודאתו בעבירה של החזקת נשק בכך שהחזיק סמוך לדיון אקדח חצי אוטומטי, </w:t>
      </w:r>
      <w:r w:rsidR="00E01278">
        <w:rPr>
          <w:rFonts w:ascii="David" w:hAnsi="David"/>
          <w:b/>
          <w:bCs/>
          <w:color w:val="000000"/>
          <w:rtl/>
        </w:rPr>
        <w:t>בית משפט השלום קבע מתחם ענישה הנע בין 12 ל 36 חודשי מאסר בפועל והטיל על הנאשם 12 חודשי מאסר בפועל</w:t>
      </w:r>
      <w:r w:rsidR="00E01278">
        <w:rPr>
          <w:rFonts w:ascii="David" w:hAnsi="David"/>
          <w:color w:val="000000"/>
          <w:rtl/>
        </w:rPr>
        <w:t xml:space="preserve">, הנאשם נעדר עבר פלילי נתוניו האישים מורכבים מתמודד עם קושי אישיותי וקוגנטיבי, בית המשפט המחוזי דחה ערעור המדינה תוך שציין שהעונש מקל יחסית אך בנסיבות אינו חורג במידה המצדיקה התערבות. </w:t>
      </w:r>
    </w:p>
    <w:p w14:paraId="7CC2C48F" w14:textId="77777777" w:rsidR="00E01278" w:rsidRDefault="00E01278" w:rsidP="00E01278">
      <w:pPr>
        <w:pStyle w:val="aa"/>
        <w:spacing w:after="120" w:line="360" w:lineRule="auto"/>
        <w:ind w:left="1620"/>
        <w:jc w:val="both"/>
        <w:rPr>
          <w:rFonts w:ascii="David" w:hAnsi="David"/>
          <w:b/>
          <w:bCs/>
          <w:color w:val="000000"/>
        </w:rPr>
      </w:pPr>
    </w:p>
    <w:p w14:paraId="56FB8DB2" w14:textId="77777777" w:rsidR="00E01278" w:rsidRDefault="00E01278" w:rsidP="00E01278">
      <w:pPr>
        <w:numPr>
          <w:ilvl w:val="0"/>
          <w:numId w:val="1"/>
        </w:numPr>
        <w:spacing w:after="120" w:line="360" w:lineRule="auto"/>
        <w:jc w:val="both"/>
        <w:rPr>
          <w:rFonts w:ascii="David" w:hAnsi="David"/>
          <w:color w:val="000000"/>
        </w:rPr>
      </w:pPr>
      <w:r>
        <w:rPr>
          <w:rFonts w:ascii="David" w:hAnsi="David"/>
          <w:color w:val="000000"/>
          <w:rtl/>
        </w:rPr>
        <w:t xml:space="preserve">אין חולק כי עבירות נשק הפכו זה מכבר ל"מכת מדינה" (ראה </w:t>
      </w:r>
      <w:hyperlink r:id="rId28" w:history="1">
        <w:r w:rsidR="008611DB" w:rsidRPr="008611DB">
          <w:rPr>
            <w:rFonts w:ascii="David" w:hAnsi="David"/>
            <w:color w:val="0000FF"/>
            <w:u w:val="single"/>
            <w:rtl/>
          </w:rPr>
          <w:t>ע"פ 7473/20</w:t>
        </w:r>
      </w:hyperlink>
      <w:r>
        <w:rPr>
          <w:rFonts w:ascii="David" w:hAnsi="David"/>
          <w:color w:val="000000"/>
          <w:rtl/>
        </w:rPr>
        <w:t xml:space="preserve"> </w:t>
      </w:r>
      <w:r>
        <w:rPr>
          <w:rFonts w:ascii="David" w:hAnsi="David"/>
          <w:b/>
          <w:bCs/>
          <w:color w:val="000000"/>
          <w:rtl/>
        </w:rPr>
        <w:t>מדינת ישראל נ' מחאמיד</w:t>
      </w:r>
      <w:r>
        <w:rPr>
          <w:rFonts w:ascii="David" w:hAnsi="David"/>
          <w:color w:val="000000"/>
          <w:rtl/>
        </w:rPr>
        <w:t xml:space="preserve"> (29.06.21) המצריכה ענישה מחמירה בדרך של הטלת עונשי מאסר משמעותיים. כאמור לעיל, עניין זה גם בא לידי ביטוי במסגרת תיקון 140 ל</w:t>
      </w:r>
      <w:hyperlink r:id="rId29" w:history="1">
        <w:r w:rsidR="008611DB" w:rsidRPr="008611DB">
          <w:rPr>
            <w:rFonts w:ascii="David" w:hAnsi="David"/>
            <w:color w:val="0000FF"/>
            <w:u w:val="single"/>
            <w:rtl/>
          </w:rPr>
          <w:t>חוק העונשין</w:t>
        </w:r>
      </w:hyperlink>
      <w:r>
        <w:rPr>
          <w:rFonts w:ascii="David" w:hAnsi="David"/>
          <w:color w:val="000000"/>
          <w:rtl/>
        </w:rPr>
        <w:t xml:space="preserve"> הקובע עונשי מינימום לעבירות נשק. </w:t>
      </w:r>
    </w:p>
    <w:p w14:paraId="0B77C74D" w14:textId="77777777" w:rsidR="00E01278" w:rsidRDefault="00E01278" w:rsidP="00E01278">
      <w:pPr>
        <w:spacing w:after="120" w:line="360" w:lineRule="auto"/>
        <w:ind w:left="720"/>
        <w:jc w:val="both"/>
        <w:rPr>
          <w:rFonts w:ascii="David" w:hAnsi="David"/>
          <w:color w:val="000000"/>
        </w:rPr>
      </w:pPr>
    </w:p>
    <w:p w14:paraId="0D257C17" w14:textId="77777777" w:rsidR="00E01278" w:rsidRDefault="00E01278" w:rsidP="00E01278">
      <w:pPr>
        <w:numPr>
          <w:ilvl w:val="0"/>
          <w:numId w:val="1"/>
        </w:numPr>
        <w:spacing w:after="120" w:line="360" w:lineRule="auto"/>
        <w:jc w:val="both"/>
        <w:rPr>
          <w:rFonts w:ascii="David" w:hAnsi="David"/>
          <w:color w:val="000000"/>
        </w:rPr>
      </w:pPr>
      <w:r>
        <w:rPr>
          <w:rFonts w:ascii="David" w:hAnsi="David"/>
          <w:color w:val="000000"/>
          <w:rtl/>
        </w:rPr>
        <w:t>בהתאם לתיקון 113 ל</w:t>
      </w:r>
      <w:r>
        <w:rPr>
          <w:rtl/>
        </w:rPr>
        <w:t xml:space="preserve">חוק העונשים </w:t>
      </w:r>
      <w:r>
        <w:rPr>
          <w:rFonts w:ascii="David" w:hAnsi="David"/>
          <w:color w:val="000000"/>
          <w:rtl/>
        </w:rPr>
        <w:t xml:space="preserve">(סעיף </w:t>
      </w:r>
      <w:hyperlink r:id="rId30" w:history="1">
        <w:r w:rsidR="006F4531" w:rsidRPr="006F4531">
          <w:rPr>
            <w:rStyle w:val="Hyperlink"/>
            <w:rFonts w:ascii="David" w:hAnsi="David"/>
            <w:color w:val="0000FF"/>
            <w:rtl/>
          </w:rPr>
          <w:t>40 יג'</w:t>
        </w:r>
      </w:hyperlink>
      <w:r>
        <w:rPr>
          <w:rFonts w:ascii="David" w:hAnsi="David"/>
          <w:color w:val="000000"/>
          <w:rtl/>
        </w:rPr>
        <w:t xml:space="preserve">), אני קובע כי </w:t>
      </w:r>
      <w:r>
        <w:rPr>
          <w:rFonts w:ascii="David" w:hAnsi="David"/>
          <w:b/>
          <w:bCs/>
          <w:color w:val="000000"/>
          <w:rtl/>
        </w:rPr>
        <w:t>מתחם העונש ההולם הוא</w:t>
      </w:r>
      <w:r>
        <w:rPr>
          <w:rFonts w:ascii="David" w:hAnsi="David"/>
          <w:color w:val="000000"/>
          <w:rtl/>
        </w:rPr>
        <w:t xml:space="preserve"> </w:t>
      </w:r>
      <w:r>
        <w:rPr>
          <w:rFonts w:ascii="David" w:hAnsi="David"/>
          <w:b/>
          <w:bCs/>
          <w:color w:val="000000"/>
          <w:rtl/>
        </w:rPr>
        <w:t>החל מ-15 ועד ל-30 חודשי מאסר בפועל</w:t>
      </w:r>
      <w:r>
        <w:rPr>
          <w:rFonts w:ascii="David" w:hAnsi="David"/>
          <w:color w:val="000000"/>
          <w:rtl/>
        </w:rPr>
        <w:t xml:space="preserve">. </w:t>
      </w:r>
    </w:p>
    <w:p w14:paraId="72162AC9" w14:textId="77777777" w:rsidR="00E01278" w:rsidRDefault="00E01278" w:rsidP="00E01278">
      <w:pPr>
        <w:pStyle w:val="aa"/>
        <w:rPr>
          <w:rFonts w:ascii="David" w:hAnsi="David"/>
          <w:color w:val="000000"/>
          <w:rtl/>
        </w:rPr>
      </w:pPr>
    </w:p>
    <w:p w14:paraId="57745635" w14:textId="77777777" w:rsidR="00E01278" w:rsidRDefault="00E01278" w:rsidP="00E01278">
      <w:pPr>
        <w:numPr>
          <w:ilvl w:val="0"/>
          <w:numId w:val="1"/>
        </w:numPr>
        <w:spacing w:after="120" w:line="360" w:lineRule="auto"/>
        <w:jc w:val="both"/>
        <w:rPr>
          <w:rFonts w:ascii="David" w:hAnsi="David"/>
          <w:color w:val="000000"/>
        </w:rPr>
      </w:pPr>
      <w:r>
        <w:rPr>
          <w:rFonts w:ascii="David" w:hAnsi="David"/>
          <w:color w:val="000000"/>
          <w:rtl/>
        </w:rPr>
        <w:t>במקרה דנן, לא קיימים שיקולים אשר מצדיקים חריגה מהמתחם, לחומרה או לקולא. שירות המבחן בתסקיר לא בא בהמלצה שיקומית, המליץ על הטלת ענישה מוחשית. אולם העדר עבר פלילי, העובדה כי מדובר בנאשם צעיר – מהווים שיקול לגבי מיקום עונשו של הנאשם במתחם העונש, עם זאת, לא מצאתי כי יש בנתונים אלו כדי להביא לסטייה ממתחם העונש ההולם.</w:t>
      </w:r>
    </w:p>
    <w:p w14:paraId="251C0C64" w14:textId="77777777" w:rsidR="00E01278" w:rsidRDefault="00E01278" w:rsidP="00E01278">
      <w:pPr>
        <w:spacing w:after="120" w:line="360" w:lineRule="auto"/>
        <w:jc w:val="both"/>
        <w:rPr>
          <w:bCs/>
          <w:u w:val="single"/>
          <w:rtl/>
          <w:lang w:eastAsia="he-IL"/>
        </w:rPr>
      </w:pPr>
    </w:p>
    <w:p w14:paraId="401429B3" w14:textId="77777777" w:rsidR="00E01278" w:rsidRDefault="00E01278" w:rsidP="00E01278">
      <w:pPr>
        <w:spacing w:after="120" w:line="360" w:lineRule="auto"/>
        <w:jc w:val="both"/>
        <w:rPr>
          <w:bCs/>
          <w:u w:val="single"/>
          <w:lang w:eastAsia="he-IL"/>
        </w:rPr>
      </w:pPr>
      <w:r>
        <w:rPr>
          <w:bCs/>
          <w:u w:val="single"/>
          <w:rtl/>
          <w:lang w:eastAsia="he-IL"/>
        </w:rPr>
        <w:t>גזירת העונש המתאים לנאשם</w:t>
      </w:r>
    </w:p>
    <w:p w14:paraId="60909BE8" w14:textId="77777777" w:rsidR="00E01278" w:rsidRDefault="00E01278" w:rsidP="00E01278">
      <w:pPr>
        <w:numPr>
          <w:ilvl w:val="0"/>
          <w:numId w:val="1"/>
        </w:numPr>
        <w:spacing w:after="120" w:line="360" w:lineRule="auto"/>
        <w:jc w:val="both"/>
        <w:rPr>
          <w:color w:val="000000"/>
        </w:rPr>
      </w:pPr>
      <w:r>
        <w:rPr>
          <w:rFonts w:ascii="David" w:hAnsi="David"/>
          <w:color w:val="000000"/>
          <w:rtl/>
        </w:rPr>
        <w:t xml:space="preserve">בגזירת העונש המתאים לנאשם, בגדרי מתחם העונש ההולם, יש להתחשב </w:t>
      </w:r>
      <w:r>
        <w:rPr>
          <w:rFonts w:ascii="David" w:hAnsi="David"/>
          <w:b/>
          <w:bCs/>
          <w:color w:val="000000"/>
          <w:rtl/>
        </w:rPr>
        <w:t>בנסיבות שאינן קשורות בביצוע העבירה</w:t>
      </w:r>
      <w:r>
        <w:rPr>
          <w:rFonts w:ascii="David" w:hAnsi="David"/>
          <w:color w:val="000000"/>
          <w:rtl/>
        </w:rPr>
        <w:t xml:space="preserve"> (סעיף </w:t>
      </w:r>
      <w:hyperlink r:id="rId31" w:history="1">
        <w:r w:rsidR="006F4531" w:rsidRPr="006F4531">
          <w:rPr>
            <w:rStyle w:val="Hyperlink"/>
            <w:rFonts w:ascii="David" w:hAnsi="David"/>
            <w:color w:val="0000FF"/>
            <w:rtl/>
          </w:rPr>
          <w:t>40 יא'</w:t>
        </w:r>
      </w:hyperlink>
      <w:r>
        <w:rPr>
          <w:rFonts w:ascii="David" w:hAnsi="David"/>
          <w:color w:val="000000"/>
          <w:rtl/>
        </w:rPr>
        <w:t xml:space="preserve">). במסגרת זו </w:t>
      </w:r>
      <w:r>
        <w:rPr>
          <w:color w:val="000000"/>
          <w:rtl/>
        </w:rPr>
        <w:t xml:space="preserve">מן הראוי לתת את הדעת לכך שמדובר בנאשם צעיר, בן 20 ניהל אורח חיים נורמטיבי, טרם מעצרו עבד יחד עם אביו בקצביה.  </w:t>
      </w:r>
    </w:p>
    <w:p w14:paraId="26B9F1FE" w14:textId="77777777" w:rsidR="00E01278" w:rsidRDefault="00E01278" w:rsidP="00E01278">
      <w:pPr>
        <w:spacing w:after="120" w:line="360" w:lineRule="auto"/>
        <w:ind w:left="720"/>
        <w:jc w:val="both"/>
        <w:rPr>
          <w:color w:val="000000"/>
        </w:rPr>
      </w:pPr>
      <w:r>
        <w:rPr>
          <w:color w:val="000000"/>
          <w:rtl/>
        </w:rPr>
        <w:t xml:space="preserve">הנאשם נעדר עבר פלילי, מובן שריצוי עונש מאסר ראשון יקשה על הנאשם ועל משפחתו. הנאשם הודה במיוחס לו, נתתי דעתי לכך שהנאשם שהה במעצר במסגרת תיק זה במשך מספר חודשים, לציין כי כתב האישום הוגש בסמוך למועד ביצוע העבירה. </w:t>
      </w:r>
    </w:p>
    <w:p w14:paraId="46856787" w14:textId="77777777" w:rsidR="00E01278" w:rsidRDefault="00E01278" w:rsidP="00E01278">
      <w:pPr>
        <w:numPr>
          <w:ilvl w:val="0"/>
          <w:numId w:val="1"/>
        </w:numPr>
        <w:spacing w:after="120" w:line="360" w:lineRule="auto"/>
        <w:jc w:val="both"/>
        <w:rPr>
          <w:color w:val="000000"/>
        </w:rPr>
      </w:pPr>
      <w:r>
        <w:rPr>
          <w:rFonts w:ascii="David" w:hAnsi="David"/>
          <w:color w:val="000000"/>
          <w:rtl/>
        </w:rPr>
        <w:t xml:space="preserve">עוד יש לתת את הדעת לשיקול </w:t>
      </w:r>
      <w:r>
        <w:rPr>
          <w:rFonts w:ascii="David" w:hAnsi="David"/>
          <w:b/>
          <w:bCs/>
          <w:color w:val="000000"/>
          <w:rtl/>
        </w:rPr>
        <w:t>הרתעת היחיד</w:t>
      </w:r>
      <w:r>
        <w:rPr>
          <w:b/>
          <w:bCs/>
          <w:color w:val="000000"/>
          <w:rtl/>
        </w:rPr>
        <w:t xml:space="preserve"> הרבים</w:t>
      </w:r>
      <w:r>
        <w:rPr>
          <w:color w:val="000000"/>
          <w:rtl/>
        </w:rPr>
        <w:t xml:space="preserve"> בגדרו של המתחם, </w:t>
      </w:r>
      <w:r>
        <w:rPr>
          <w:rFonts w:ascii="David" w:hAnsi="David"/>
          <w:color w:val="000000"/>
          <w:rtl/>
        </w:rPr>
        <w:t>זאת נוכח שכיחותן הרבה של עבירות הנשק במחוזותינו והחשיבות החברתית הרבה של צמצום תופעה זו</w:t>
      </w:r>
      <w:r>
        <w:rPr>
          <w:color w:val="000000"/>
          <w:rtl/>
        </w:rPr>
        <w:t>.</w:t>
      </w:r>
    </w:p>
    <w:p w14:paraId="06E1801C" w14:textId="77777777" w:rsidR="00E01278" w:rsidRDefault="00E01278" w:rsidP="00E01278">
      <w:pPr>
        <w:spacing w:after="120" w:line="360" w:lineRule="auto"/>
        <w:ind w:left="720"/>
        <w:jc w:val="both"/>
        <w:rPr>
          <w:color w:val="000000"/>
        </w:rPr>
      </w:pPr>
    </w:p>
    <w:p w14:paraId="13FC7263" w14:textId="77777777" w:rsidR="00E01278" w:rsidRDefault="00E01278" w:rsidP="00E01278">
      <w:pPr>
        <w:numPr>
          <w:ilvl w:val="0"/>
          <w:numId w:val="1"/>
        </w:numPr>
        <w:spacing w:after="120" w:line="360" w:lineRule="auto"/>
        <w:jc w:val="both"/>
        <w:rPr>
          <w:color w:val="000000"/>
        </w:rPr>
      </w:pPr>
      <w:r>
        <w:rPr>
          <w:color w:val="000000"/>
          <w:rtl/>
        </w:rPr>
        <w:t>באיזון בין השיקולים השונים, ולאחר שנתתי דעתי להודאת הנאשם, להמלצת שירות המבחן, לנתוניו האישיים והמשפחתיים של הנאשם סבורני כי יש לגזור על הנאשם עונש בשליש התחתון של מתחם העונש ההולם, זאת לצד קנס כספי ועונש מאסר מותנה.</w:t>
      </w:r>
    </w:p>
    <w:p w14:paraId="56BD0CFD" w14:textId="77777777" w:rsidR="00E01278" w:rsidRDefault="00E01278" w:rsidP="00E01278">
      <w:pPr>
        <w:spacing w:after="120" w:line="360" w:lineRule="auto"/>
        <w:jc w:val="both"/>
        <w:rPr>
          <w:b/>
          <w:bCs/>
          <w:u w:val="single"/>
          <w:rtl/>
        </w:rPr>
      </w:pPr>
    </w:p>
    <w:p w14:paraId="2DA83BA0" w14:textId="77777777" w:rsidR="00E01278" w:rsidRDefault="00E01278" w:rsidP="00E01278">
      <w:pPr>
        <w:spacing w:after="120" w:line="360" w:lineRule="auto"/>
        <w:jc w:val="both"/>
        <w:rPr>
          <w:b/>
          <w:bCs/>
          <w:u w:val="single"/>
        </w:rPr>
      </w:pPr>
      <w:r>
        <w:rPr>
          <w:b/>
          <w:bCs/>
          <w:u w:val="single"/>
          <w:rtl/>
        </w:rPr>
        <w:t>סוף דבר</w:t>
      </w:r>
    </w:p>
    <w:p w14:paraId="2A042A50" w14:textId="77777777" w:rsidR="00E01278" w:rsidRDefault="00E01278" w:rsidP="00E01278">
      <w:pPr>
        <w:numPr>
          <w:ilvl w:val="0"/>
          <w:numId w:val="1"/>
        </w:numPr>
        <w:spacing w:after="120" w:line="360" w:lineRule="auto"/>
        <w:jc w:val="both"/>
        <w:rPr>
          <w:rFonts w:ascii="David" w:hAnsi="David"/>
          <w:color w:val="000000"/>
          <w:rtl/>
        </w:rPr>
      </w:pPr>
      <w:r>
        <w:rPr>
          <w:rFonts w:ascii="David" w:hAnsi="David"/>
          <w:b/>
          <w:bCs/>
          <w:color w:val="000000"/>
          <w:u w:val="single"/>
          <w:rtl/>
        </w:rPr>
        <w:t>אשר על-כן, הנני גוזר על הנאשם את העונשים הבאים</w:t>
      </w:r>
      <w:r>
        <w:rPr>
          <w:rFonts w:ascii="David" w:hAnsi="David"/>
          <w:color w:val="000000"/>
          <w:rtl/>
        </w:rPr>
        <w:t>:</w:t>
      </w:r>
    </w:p>
    <w:p w14:paraId="7CD819F2" w14:textId="77777777" w:rsidR="00E01278" w:rsidRPr="00070C56" w:rsidRDefault="00E01278" w:rsidP="00E01278">
      <w:pPr>
        <w:pStyle w:val="aa"/>
        <w:numPr>
          <w:ilvl w:val="1"/>
          <w:numId w:val="1"/>
        </w:numPr>
        <w:tabs>
          <w:tab w:val="num" w:pos="1286"/>
        </w:tabs>
        <w:spacing w:after="120" w:line="360" w:lineRule="auto"/>
        <w:ind w:left="720" w:hanging="540"/>
        <w:jc w:val="both"/>
        <w:rPr>
          <w:rFonts w:ascii="David" w:hAnsi="David"/>
          <w:color w:val="000000"/>
          <w:lang w:eastAsia="he-IL"/>
        </w:rPr>
      </w:pPr>
      <w:r>
        <w:rPr>
          <w:b/>
          <w:bCs/>
          <w:rtl/>
        </w:rPr>
        <w:t xml:space="preserve"> </w:t>
      </w:r>
      <w:r>
        <w:rPr>
          <w:rFonts w:hint="cs"/>
          <w:b/>
          <w:bCs/>
          <w:rtl/>
        </w:rPr>
        <w:t>15 חודשי מאסר בפועל</w:t>
      </w:r>
      <w:r>
        <w:rPr>
          <w:rtl/>
        </w:rPr>
        <w:t xml:space="preserve"> בניכוי ימי מעצרו. </w:t>
      </w:r>
    </w:p>
    <w:p w14:paraId="096865C8" w14:textId="77777777" w:rsidR="00E01278" w:rsidRDefault="00E01278" w:rsidP="00E01278">
      <w:pPr>
        <w:pStyle w:val="aa"/>
        <w:spacing w:after="120" w:line="360" w:lineRule="auto"/>
        <w:jc w:val="both"/>
        <w:rPr>
          <w:rFonts w:ascii="David" w:hAnsi="David"/>
          <w:color w:val="000000"/>
          <w:lang w:eastAsia="he-IL"/>
        </w:rPr>
      </w:pPr>
      <w:r>
        <w:rPr>
          <w:rtl/>
          <w:lang w:eastAsia="he-IL"/>
        </w:rPr>
        <w:tab/>
      </w:r>
    </w:p>
    <w:p w14:paraId="05156FB8" w14:textId="77777777" w:rsidR="00E01278" w:rsidRPr="00070C56" w:rsidRDefault="00E01278" w:rsidP="00E01278">
      <w:pPr>
        <w:pStyle w:val="aa"/>
        <w:numPr>
          <w:ilvl w:val="1"/>
          <w:numId w:val="1"/>
        </w:numPr>
        <w:tabs>
          <w:tab w:val="num" w:pos="1286"/>
        </w:tabs>
        <w:spacing w:after="120" w:line="360" w:lineRule="auto"/>
        <w:ind w:left="720" w:hanging="540"/>
        <w:jc w:val="both"/>
        <w:rPr>
          <w:rFonts w:ascii="David" w:hAnsi="David"/>
          <w:color w:val="000000"/>
          <w:lang w:eastAsia="he-IL"/>
        </w:rPr>
      </w:pPr>
      <w:r>
        <w:rPr>
          <w:rtl/>
          <w:lang w:eastAsia="he-IL"/>
        </w:rPr>
        <w:t xml:space="preserve"> </w:t>
      </w:r>
      <w:r>
        <w:rPr>
          <w:rtl/>
        </w:rPr>
        <w:t xml:space="preserve">9 חודשי מאסר על תנאי, לבל יעבור הנאשם במשך 3 שנים מיום שחרורו ממאסר כל עבירת נשק מסוג פשע.  </w:t>
      </w:r>
    </w:p>
    <w:p w14:paraId="226B92F4" w14:textId="77777777" w:rsidR="00E01278" w:rsidRPr="00070C56" w:rsidRDefault="00E01278" w:rsidP="00E01278">
      <w:pPr>
        <w:pStyle w:val="aa"/>
        <w:rPr>
          <w:rFonts w:ascii="David" w:hAnsi="David"/>
          <w:color w:val="000000"/>
          <w:rtl/>
          <w:lang w:eastAsia="he-IL"/>
        </w:rPr>
      </w:pPr>
    </w:p>
    <w:p w14:paraId="13F15B75" w14:textId="77777777" w:rsidR="00E01278" w:rsidRPr="00070C56" w:rsidRDefault="00E01278" w:rsidP="00E01278">
      <w:pPr>
        <w:pStyle w:val="aa"/>
        <w:numPr>
          <w:ilvl w:val="1"/>
          <w:numId w:val="1"/>
        </w:numPr>
        <w:tabs>
          <w:tab w:val="num" w:pos="1286"/>
        </w:tabs>
        <w:spacing w:after="120" w:line="360" w:lineRule="auto"/>
        <w:ind w:left="720" w:hanging="540"/>
        <w:jc w:val="both"/>
        <w:rPr>
          <w:rFonts w:ascii="David" w:hAnsi="David"/>
          <w:color w:val="000000"/>
          <w:lang w:eastAsia="he-IL"/>
        </w:rPr>
      </w:pPr>
      <w:r>
        <w:rPr>
          <w:rtl/>
        </w:rPr>
        <w:t>5 חודשי מאסר על תנאי, לבל יעבור הנאשם במשך 3 שנים מיום שחרורו ממאסר כל עבירת נשק מסוג עוון.</w:t>
      </w:r>
    </w:p>
    <w:p w14:paraId="2D4E4F8D" w14:textId="77777777" w:rsidR="00E01278" w:rsidRPr="00070C56" w:rsidRDefault="00E01278" w:rsidP="00E01278">
      <w:pPr>
        <w:pStyle w:val="aa"/>
        <w:rPr>
          <w:rFonts w:ascii="David" w:hAnsi="David"/>
          <w:color w:val="000000"/>
          <w:rtl/>
          <w:lang w:eastAsia="he-IL"/>
        </w:rPr>
      </w:pPr>
    </w:p>
    <w:p w14:paraId="304EA8F8" w14:textId="77777777" w:rsidR="00E01278" w:rsidRDefault="00E01278" w:rsidP="00E01278">
      <w:pPr>
        <w:pStyle w:val="aa"/>
        <w:numPr>
          <w:ilvl w:val="1"/>
          <w:numId w:val="1"/>
        </w:numPr>
        <w:tabs>
          <w:tab w:val="num" w:pos="1286"/>
        </w:tabs>
        <w:spacing w:after="120" w:line="360" w:lineRule="auto"/>
        <w:ind w:left="720" w:hanging="540"/>
        <w:jc w:val="both"/>
        <w:rPr>
          <w:rFonts w:ascii="David" w:hAnsi="David"/>
          <w:color w:val="000000"/>
          <w:lang w:eastAsia="he-IL"/>
        </w:rPr>
      </w:pPr>
      <w:r>
        <w:rPr>
          <w:rtl/>
        </w:rPr>
        <w:t>קנס כספי בסך של 15,000 ₪ או 4 חודשי מאסר ימי מאסר תמורתו. הקנס ישולם ב-15 תשלומים חודשיים שווים</w:t>
      </w:r>
      <w:r>
        <w:rPr>
          <w:rtl/>
          <w:lang w:eastAsia="he-IL"/>
        </w:rPr>
        <w:t xml:space="preserve"> ורצופים, שהראשון שבהם ביום </w:t>
      </w:r>
      <w:r>
        <w:rPr>
          <w:rFonts w:hint="cs"/>
          <w:rtl/>
          <w:lang w:eastAsia="he-IL"/>
        </w:rPr>
        <w:t xml:space="preserve">1.6.25 ובכל 01 לחודש שלאחריו. </w:t>
      </w:r>
    </w:p>
    <w:p w14:paraId="54B4F647" w14:textId="77777777" w:rsidR="00E01278" w:rsidRPr="00070C56" w:rsidRDefault="00E01278" w:rsidP="00E01278">
      <w:pPr>
        <w:spacing w:line="360" w:lineRule="auto"/>
        <w:ind w:firstLine="720"/>
        <w:jc w:val="both"/>
        <w:rPr>
          <w:u w:val="single"/>
        </w:rPr>
      </w:pPr>
      <w:r w:rsidRPr="00070C56">
        <w:rPr>
          <w:rFonts w:hint="cs"/>
          <w:u w:val="single"/>
          <w:rtl/>
        </w:rPr>
        <w:t xml:space="preserve">את הקנס ניתן לשלם באחת מהדרכים הבאות: </w:t>
      </w:r>
    </w:p>
    <w:p w14:paraId="3D58E6DF" w14:textId="77777777" w:rsidR="00E01278" w:rsidRDefault="00E01278" w:rsidP="00E01278">
      <w:pPr>
        <w:numPr>
          <w:ilvl w:val="0"/>
          <w:numId w:val="2"/>
        </w:numPr>
        <w:spacing w:line="360" w:lineRule="auto"/>
        <w:jc w:val="both"/>
      </w:pPr>
      <w:r>
        <w:rPr>
          <w:rFonts w:hint="cs"/>
          <w:rtl/>
        </w:rPr>
        <w:t xml:space="preserve">בכרטיס אשראי – באתר המקוון של רשות האכיפה והגבייה, </w:t>
      </w:r>
      <w:hyperlink r:id="rId32" w:history="1">
        <w:r>
          <w:rPr>
            <w:rStyle w:val="Hyperlink"/>
          </w:rPr>
          <w:t>www.eca.gov.il</w:t>
        </w:r>
      </w:hyperlink>
      <w:r>
        <w:t xml:space="preserve"> </w:t>
      </w:r>
      <w:r>
        <w:rPr>
          <w:rFonts w:hint="cs"/>
          <w:rtl/>
        </w:rPr>
        <w:t>.</w:t>
      </w:r>
    </w:p>
    <w:p w14:paraId="169DD421" w14:textId="77777777" w:rsidR="00E01278" w:rsidRDefault="00E01278" w:rsidP="00E01278">
      <w:pPr>
        <w:numPr>
          <w:ilvl w:val="0"/>
          <w:numId w:val="2"/>
        </w:numPr>
        <w:spacing w:line="360" w:lineRule="auto"/>
        <w:jc w:val="both"/>
      </w:pPr>
      <w:r>
        <w:rPr>
          <w:rFonts w:hint="cs"/>
          <w:rtl/>
        </w:rPr>
        <w:t>מוקד שירות טלפוני בשרות עצמי (מרכז גבייה)</w:t>
      </w:r>
      <w:r w:rsidR="008611DB">
        <w:rPr>
          <w:rFonts w:hint="cs"/>
          <w:rtl/>
        </w:rPr>
        <w:t xml:space="preserve"> </w:t>
      </w:r>
      <w:r>
        <w:rPr>
          <w:rFonts w:hint="cs"/>
          <w:rtl/>
        </w:rPr>
        <w:t xml:space="preserve"> – בטלפון 35592* או בטלפון 073-2055000.</w:t>
      </w:r>
    </w:p>
    <w:p w14:paraId="3FDFA4AB" w14:textId="77777777" w:rsidR="00E01278" w:rsidRDefault="00E01278" w:rsidP="00E01278">
      <w:pPr>
        <w:numPr>
          <w:ilvl w:val="0"/>
          <w:numId w:val="2"/>
        </w:numPr>
        <w:spacing w:line="360" w:lineRule="auto"/>
        <w:jc w:val="both"/>
      </w:pPr>
      <w:r>
        <w:rPr>
          <w:rFonts w:hint="cs"/>
          <w:rtl/>
        </w:rPr>
        <w:t>במזומן בכל סניף של בנק הדואר – בהצגת תעודת זהות בלבד (אין צורך בהצגת בשוברי תשלום).</w:t>
      </w:r>
    </w:p>
    <w:p w14:paraId="01BD142F" w14:textId="77777777" w:rsidR="00E01278" w:rsidRDefault="00E01278" w:rsidP="00E01278">
      <w:pPr>
        <w:spacing w:line="360" w:lineRule="auto"/>
        <w:ind w:left="1080"/>
        <w:jc w:val="both"/>
        <w:rPr>
          <w:rtl/>
        </w:rPr>
      </w:pPr>
    </w:p>
    <w:p w14:paraId="4DBBFD4E" w14:textId="77777777" w:rsidR="00E01278" w:rsidRDefault="00E01278" w:rsidP="00E01278">
      <w:pPr>
        <w:pStyle w:val="aa"/>
        <w:numPr>
          <w:ilvl w:val="1"/>
          <w:numId w:val="1"/>
        </w:numPr>
        <w:tabs>
          <w:tab w:val="num" w:pos="1286"/>
        </w:tabs>
        <w:spacing w:after="120" w:line="360" w:lineRule="auto"/>
        <w:ind w:left="720" w:hanging="540"/>
        <w:jc w:val="both"/>
        <w:rPr>
          <w:rFonts w:ascii="David" w:hAnsi="David"/>
          <w:color w:val="000000"/>
          <w:lang w:eastAsia="he-IL"/>
        </w:rPr>
      </w:pPr>
      <w:r>
        <w:rPr>
          <w:rFonts w:ascii="David" w:hAnsi="David"/>
          <w:color w:val="000000"/>
          <w:rtl/>
          <w:lang w:eastAsia="he-IL"/>
        </w:rPr>
        <w:t xml:space="preserve">התחייבות על סך 5,000 ₪ למשך שנתיים מיום שחרורו שלא יעבר כל עבירה על </w:t>
      </w:r>
      <w:hyperlink r:id="rId33" w:history="1">
        <w:r w:rsidR="006F4531" w:rsidRPr="006F4531">
          <w:rPr>
            <w:rStyle w:val="Hyperlink"/>
            <w:rFonts w:ascii="David" w:hAnsi="David"/>
            <w:color w:val="0000FF"/>
            <w:rtl/>
            <w:lang w:eastAsia="he-IL"/>
          </w:rPr>
          <w:t>סעיף 144</w:t>
        </w:r>
      </w:hyperlink>
      <w:r>
        <w:rPr>
          <w:rFonts w:ascii="David" w:hAnsi="David"/>
          <w:color w:val="000000"/>
          <w:rtl/>
          <w:lang w:eastAsia="he-IL"/>
        </w:rPr>
        <w:t xml:space="preserve"> ל</w:t>
      </w:r>
      <w:hyperlink r:id="rId34" w:history="1">
        <w:r w:rsidR="008611DB" w:rsidRPr="008611DB">
          <w:rPr>
            <w:rFonts w:ascii="David" w:hAnsi="David"/>
            <w:color w:val="0000FF"/>
            <w:u w:val="single"/>
            <w:rtl/>
            <w:lang w:eastAsia="he-IL"/>
          </w:rPr>
          <w:t>חוק העונשין</w:t>
        </w:r>
      </w:hyperlink>
      <w:r>
        <w:rPr>
          <w:rFonts w:ascii="David" w:hAnsi="David"/>
          <w:color w:val="000000"/>
          <w:rtl/>
          <w:lang w:eastAsia="he-IL"/>
        </w:rPr>
        <w:t xml:space="preserve"> התשל"ז – 1977 </w:t>
      </w:r>
      <w:r>
        <w:rPr>
          <w:rFonts w:ascii="David" w:hAnsi="David" w:hint="cs"/>
          <w:color w:val="000000"/>
          <w:rtl/>
          <w:lang w:eastAsia="he-IL"/>
        </w:rPr>
        <w:t xml:space="preserve">. </w:t>
      </w:r>
      <w:r>
        <w:rPr>
          <w:rFonts w:ascii="David" w:hAnsi="David" w:hint="cs"/>
          <w:b/>
          <w:bCs/>
          <w:color w:val="000000"/>
          <w:rtl/>
          <w:lang w:eastAsia="he-IL"/>
        </w:rPr>
        <w:t>[ההתחייבות תוצהר לפרוטוקול]</w:t>
      </w:r>
      <w:r>
        <w:rPr>
          <w:rFonts w:ascii="David" w:hAnsi="David" w:hint="cs"/>
          <w:color w:val="000000"/>
          <w:rtl/>
          <w:lang w:eastAsia="he-IL"/>
        </w:rPr>
        <w:t>.</w:t>
      </w:r>
    </w:p>
    <w:p w14:paraId="3FF175F3" w14:textId="77777777" w:rsidR="00E01278" w:rsidRDefault="00E01278" w:rsidP="00E01278">
      <w:pPr>
        <w:spacing w:after="120" w:line="360" w:lineRule="auto"/>
        <w:ind w:left="180"/>
        <w:jc w:val="both"/>
        <w:rPr>
          <w:rFonts w:ascii="David" w:hAnsi="David"/>
          <w:color w:val="000000"/>
          <w:rtl/>
          <w:lang w:eastAsia="he-IL"/>
        </w:rPr>
      </w:pPr>
    </w:p>
    <w:p w14:paraId="2D46C93D" w14:textId="77777777" w:rsidR="00E01278" w:rsidRDefault="00E01278" w:rsidP="00E01278">
      <w:pPr>
        <w:spacing w:after="120" w:line="360" w:lineRule="auto"/>
        <w:jc w:val="both"/>
        <w:rPr>
          <w:rFonts w:ascii="David" w:hAnsi="David"/>
          <w:color w:val="000000"/>
          <w:rtl/>
          <w:lang w:eastAsia="he-IL"/>
        </w:rPr>
      </w:pPr>
    </w:p>
    <w:p w14:paraId="0FA2FA76" w14:textId="77777777" w:rsidR="00E01278" w:rsidRDefault="00E01278" w:rsidP="00E01278">
      <w:pPr>
        <w:spacing w:after="120" w:line="360" w:lineRule="auto"/>
        <w:jc w:val="both"/>
        <w:rPr>
          <w:rFonts w:ascii="David" w:hAnsi="David"/>
          <w:color w:val="000000"/>
          <w:rtl/>
          <w:lang w:eastAsia="he-IL"/>
        </w:rPr>
      </w:pPr>
    </w:p>
    <w:p w14:paraId="7A6F3769" w14:textId="77777777" w:rsidR="00E01278" w:rsidRDefault="00E01278" w:rsidP="00E01278">
      <w:pPr>
        <w:spacing w:after="120" w:line="360" w:lineRule="auto"/>
        <w:jc w:val="both"/>
        <w:rPr>
          <w:rFonts w:ascii="David" w:hAnsi="David"/>
          <w:color w:val="000000"/>
          <w:lang w:eastAsia="he-IL"/>
        </w:rPr>
      </w:pPr>
      <w:r>
        <w:rPr>
          <w:rFonts w:ascii="David" w:hAnsi="David"/>
          <w:color w:val="000000"/>
          <w:rtl/>
          <w:lang w:eastAsia="he-IL"/>
        </w:rPr>
        <w:t xml:space="preserve">לאחר היות גזר הדין חלוט – מורה כי הנשק והתחמושת שנתפסו, יושמדו או יחולטו לפי שיקול דעתו של קצין ממונה. </w:t>
      </w:r>
    </w:p>
    <w:p w14:paraId="17ADC057" w14:textId="77777777" w:rsidR="00E01278" w:rsidRDefault="00E01278" w:rsidP="00E01278">
      <w:pPr>
        <w:spacing w:after="120" w:line="360" w:lineRule="auto"/>
        <w:jc w:val="both"/>
        <w:rPr>
          <w:b/>
          <w:bCs/>
          <w:rtl/>
          <w:lang w:eastAsia="he-IL"/>
        </w:rPr>
      </w:pPr>
    </w:p>
    <w:p w14:paraId="7FB8938E" w14:textId="77777777" w:rsidR="00E01278" w:rsidRPr="00070C56" w:rsidRDefault="00E01278" w:rsidP="00E01278">
      <w:pPr>
        <w:spacing w:after="120" w:line="360" w:lineRule="auto"/>
        <w:jc w:val="both"/>
        <w:rPr>
          <w:b/>
          <w:bCs/>
          <w:rtl/>
          <w:lang w:eastAsia="he-IL"/>
        </w:rPr>
      </w:pPr>
      <w:r w:rsidRPr="00070C56">
        <w:rPr>
          <w:b/>
          <w:bCs/>
          <w:rtl/>
          <w:lang w:eastAsia="he-IL"/>
        </w:rPr>
        <w:t xml:space="preserve">זכות ערעור לבית-המשפט העליון תוך 45 ימים. </w:t>
      </w:r>
    </w:p>
    <w:p w14:paraId="6701B980" w14:textId="77777777" w:rsidR="00E01278" w:rsidRPr="008611DB" w:rsidRDefault="008611DB" w:rsidP="00E01278">
      <w:pPr>
        <w:rPr>
          <w:color w:val="FFFFFF"/>
          <w:sz w:val="2"/>
          <w:szCs w:val="2"/>
          <w:rtl/>
        </w:rPr>
      </w:pPr>
      <w:r w:rsidRPr="008611DB">
        <w:rPr>
          <w:color w:val="FFFFFF"/>
          <w:sz w:val="2"/>
          <w:szCs w:val="2"/>
          <w:rtl/>
        </w:rPr>
        <w:t>5129371</w:t>
      </w:r>
    </w:p>
    <w:p w14:paraId="48365AB6" w14:textId="77777777" w:rsidR="00E01278" w:rsidRPr="008611DB" w:rsidRDefault="008611DB" w:rsidP="00E01278">
      <w:pPr>
        <w:rPr>
          <w:rFonts w:ascii="Arial" w:hAnsi="Arial"/>
          <w:b/>
          <w:bCs/>
          <w:color w:val="FFFFFF"/>
          <w:sz w:val="2"/>
          <w:szCs w:val="2"/>
          <w:rtl/>
        </w:rPr>
      </w:pPr>
      <w:r w:rsidRPr="008611DB">
        <w:rPr>
          <w:rFonts w:ascii="Arial" w:hAnsi="Arial"/>
          <w:b/>
          <w:bCs/>
          <w:color w:val="FFFFFF"/>
          <w:sz w:val="2"/>
          <w:szCs w:val="2"/>
          <w:rtl/>
        </w:rPr>
        <w:t>54678313</w:t>
      </w:r>
    </w:p>
    <w:p w14:paraId="6842D194" w14:textId="77777777" w:rsidR="00E01278" w:rsidRPr="000F2247" w:rsidRDefault="00E01278" w:rsidP="00E01278">
      <w:pPr>
        <w:rPr>
          <w:rFonts w:ascii="Arial" w:hAnsi="Arial"/>
          <w:b/>
          <w:bCs/>
          <w:sz w:val="26"/>
          <w:szCs w:val="26"/>
          <w:rtl/>
        </w:rPr>
      </w:pPr>
    </w:p>
    <w:p w14:paraId="666F1652" w14:textId="77777777" w:rsidR="00E01278" w:rsidRPr="000F2247" w:rsidRDefault="008611DB" w:rsidP="00E0127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טבת תשפ"ה, 26 ינואר 2025, בהעדר הצדדים. </w:t>
      </w:r>
      <w:bookmarkEnd w:id="8"/>
      <w:r w:rsidR="00E01278">
        <w:rPr>
          <w:rFonts w:ascii="Arial" w:hAnsi="Arial"/>
          <w:b/>
          <w:bCs/>
          <w:sz w:val="26"/>
          <w:szCs w:val="26"/>
          <w:rtl/>
        </w:rPr>
        <w:tab/>
      </w:r>
      <w:r w:rsidR="00E01278">
        <w:rPr>
          <w:rFonts w:ascii="Arial" w:hAnsi="Arial"/>
          <w:b/>
          <w:bCs/>
          <w:sz w:val="26"/>
          <w:szCs w:val="26"/>
          <w:rtl/>
        </w:rPr>
        <w:tab/>
      </w:r>
      <w:r w:rsidR="00E01278">
        <w:rPr>
          <w:rFonts w:ascii="Arial" w:hAnsi="Arial"/>
          <w:b/>
          <w:bCs/>
          <w:sz w:val="26"/>
          <w:szCs w:val="26"/>
          <w:rtl/>
        </w:rPr>
        <w:tab/>
      </w:r>
      <w:r w:rsidR="00E01278">
        <w:rPr>
          <w:rFonts w:ascii="Arial" w:hAnsi="Arial"/>
          <w:b/>
          <w:bCs/>
          <w:sz w:val="26"/>
          <w:szCs w:val="26"/>
          <w:rtl/>
        </w:rPr>
        <w:tab/>
      </w:r>
      <w:r w:rsidR="00E01278">
        <w:rPr>
          <w:rFonts w:ascii="Arial" w:hAnsi="Arial"/>
          <w:b/>
          <w:bCs/>
          <w:sz w:val="26"/>
          <w:szCs w:val="26"/>
          <w:rtl/>
        </w:rPr>
        <w:tab/>
      </w:r>
      <w:r w:rsidR="00E01278">
        <w:rPr>
          <w:rFonts w:ascii="Arial" w:hAnsi="Arial"/>
          <w:b/>
          <w:bCs/>
          <w:sz w:val="26"/>
          <w:szCs w:val="26"/>
          <w:rtl/>
        </w:rPr>
        <w:tab/>
      </w:r>
      <w:r w:rsidR="00E01278">
        <w:rPr>
          <w:rFonts w:ascii="Arial" w:hAnsi="Arial"/>
          <w:b/>
          <w:bCs/>
          <w:sz w:val="26"/>
          <w:szCs w:val="26"/>
          <w:rtl/>
        </w:rPr>
        <w:tab/>
      </w:r>
      <w:r w:rsidR="00E01278">
        <w:rPr>
          <w:rFonts w:ascii="Arial" w:hAnsi="Arial" w:hint="cs"/>
          <w:b/>
          <w:bCs/>
          <w:sz w:val="26"/>
          <w:szCs w:val="26"/>
          <w:rtl/>
        </w:rPr>
        <w:t xml:space="preserve">         </w:t>
      </w:r>
    </w:p>
    <w:p w14:paraId="4EB835C9" w14:textId="77777777" w:rsidR="00E01278" w:rsidRPr="000F2247" w:rsidRDefault="00E01278" w:rsidP="008611D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BF42C60" w14:textId="77777777" w:rsidR="00E01278" w:rsidRPr="006F4531" w:rsidRDefault="006F4531" w:rsidP="00E01278">
      <w:pPr>
        <w:jc w:val="center"/>
        <w:rPr>
          <w:rFonts w:ascii="Arial" w:hAnsi="Arial"/>
          <w:b/>
          <w:bCs/>
          <w:color w:val="FFFFFF"/>
          <w:sz w:val="2"/>
          <w:szCs w:val="2"/>
          <w:rtl/>
        </w:rPr>
      </w:pPr>
      <w:r w:rsidRPr="006F4531">
        <w:rPr>
          <w:rFonts w:ascii="Arial" w:hAnsi="Arial"/>
          <w:b/>
          <w:bCs/>
          <w:color w:val="FFFFFF"/>
          <w:sz w:val="2"/>
          <w:szCs w:val="2"/>
          <w:rtl/>
        </w:rPr>
        <w:t>5129371</w:t>
      </w:r>
    </w:p>
    <w:p w14:paraId="315715E0" w14:textId="77777777" w:rsidR="002C1C1B" w:rsidRPr="006F4531" w:rsidRDefault="006F4531" w:rsidP="008611DB">
      <w:pPr>
        <w:keepNext/>
        <w:rPr>
          <w:rFonts w:ascii="David" w:hAnsi="David"/>
          <w:color w:val="FFFFFF"/>
          <w:sz w:val="2"/>
          <w:szCs w:val="2"/>
          <w:rtl/>
        </w:rPr>
      </w:pPr>
      <w:r w:rsidRPr="006F4531">
        <w:rPr>
          <w:rFonts w:ascii="David" w:hAnsi="David"/>
          <w:color w:val="FFFFFF"/>
          <w:sz w:val="2"/>
          <w:szCs w:val="2"/>
          <w:rtl/>
        </w:rPr>
        <w:t>54678313</w:t>
      </w:r>
    </w:p>
    <w:p w14:paraId="74EEF249" w14:textId="77777777" w:rsidR="008611DB" w:rsidRDefault="008611DB" w:rsidP="008611DB">
      <w:pPr>
        <w:rPr>
          <w:rtl/>
        </w:rPr>
      </w:pPr>
    </w:p>
    <w:p w14:paraId="0DD1D867" w14:textId="77777777" w:rsidR="008611DB" w:rsidRDefault="008611DB" w:rsidP="008611DB">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4667A0E3" w14:textId="77777777" w:rsidR="006F4531" w:rsidRPr="006F4531" w:rsidRDefault="006F4531" w:rsidP="006F4531">
      <w:pPr>
        <w:keepNext/>
        <w:rPr>
          <w:rFonts w:ascii="David" w:hAnsi="David"/>
          <w:color w:val="000000"/>
          <w:sz w:val="22"/>
          <w:szCs w:val="22"/>
          <w:rtl/>
        </w:rPr>
      </w:pPr>
    </w:p>
    <w:p w14:paraId="10940A85" w14:textId="77777777" w:rsidR="006F4531" w:rsidRPr="006F4531" w:rsidRDefault="006F4531" w:rsidP="006F4531">
      <w:pPr>
        <w:keepNext/>
        <w:rPr>
          <w:rFonts w:ascii="David" w:hAnsi="David"/>
          <w:color w:val="000000"/>
          <w:sz w:val="22"/>
          <w:szCs w:val="22"/>
          <w:rtl/>
        </w:rPr>
      </w:pPr>
      <w:r w:rsidRPr="006F4531">
        <w:rPr>
          <w:rFonts w:ascii="David" w:hAnsi="David"/>
          <w:color w:val="000000"/>
          <w:sz w:val="22"/>
          <w:szCs w:val="22"/>
          <w:rtl/>
        </w:rPr>
        <w:t>אבישי כהן 54678313-/</w:t>
      </w:r>
    </w:p>
    <w:p w14:paraId="1A6452EE" w14:textId="77777777" w:rsidR="008611DB" w:rsidRPr="008611DB" w:rsidRDefault="006F4531" w:rsidP="006F4531">
      <w:pPr>
        <w:rPr>
          <w:color w:val="0000FF"/>
          <w:u w:val="single"/>
        </w:rPr>
      </w:pPr>
      <w:r w:rsidRPr="006F4531">
        <w:rPr>
          <w:color w:val="000000"/>
          <w:u w:val="single"/>
          <w:rtl/>
        </w:rPr>
        <w:t>נוסח מסמך זה כפוף לשינויי ניסוח ועריכה</w:t>
      </w:r>
    </w:p>
    <w:sectPr w:rsidR="008611DB" w:rsidRPr="008611DB" w:rsidSect="006F4531">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93645" w14:textId="77777777" w:rsidR="007923B3" w:rsidRDefault="007923B3" w:rsidP="00193AB5">
      <w:r>
        <w:separator/>
      </w:r>
    </w:p>
  </w:endnote>
  <w:endnote w:type="continuationSeparator" w:id="0">
    <w:p w14:paraId="002D0242" w14:textId="77777777" w:rsidR="007923B3" w:rsidRDefault="007923B3" w:rsidP="0019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8E9A" w14:textId="77777777" w:rsidR="006F4531" w:rsidRDefault="006F4531" w:rsidP="006F4531">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7747E04" w14:textId="77777777" w:rsidR="00F47EEC" w:rsidRPr="006F4531" w:rsidRDefault="006F4531" w:rsidP="006F4531">
    <w:pPr>
      <w:pStyle w:val="a6"/>
      <w:pBdr>
        <w:top w:val="single" w:sz="4" w:space="1" w:color="auto"/>
        <w:between w:val="single" w:sz="4" w:space="0" w:color="auto"/>
      </w:pBdr>
      <w:spacing w:after="60"/>
      <w:jc w:val="center"/>
      <w:rPr>
        <w:rFonts w:ascii="FrankRuehl" w:hAnsi="FrankRuehl" w:cs="FrankRuehl"/>
        <w:color w:val="000000"/>
      </w:rPr>
    </w:pPr>
    <w:r w:rsidRPr="006F45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4911D" w14:textId="77777777" w:rsidR="006F4531" w:rsidRDefault="006F4531" w:rsidP="006F4531">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6CED">
      <w:rPr>
        <w:rFonts w:ascii="FrankRuehl" w:hAnsi="FrankRuehl" w:cs="FrankRuehl"/>
        <w:noProof/>
        <w:rtl/>
      </w:rPr>
      <w:t>1</w:t>
    </w:r>
    <w:r>
      <w:rPr>
        <w:rFonts w:ascii="FrankRuehl" w:hAnsi="FrankRuehl" w:cs="FrankRuehl"/>
        <w:rtl/>
      </w:rPr>
      <w:fldChar w:fldCharType="end"/>
    </w:r>
  </w:p>
  <w:p w14:paraId="1F1FB6EA" w14:textId="77777777" w:rsidR="00F47EEC" w:rsidRPr="006F4531" w:rsidRDefault="006F4531" w:rsidP="006F4531">
    <w:pPr>
      <w:pStyle w:val="a6"/>
      <w:pBdr>
        <w:top w:val="single" w:sz="4" w:space="1" w:color="auto"/>
        <w:between w:val="single" w:sz="4" w:space="0" w:color="auto"/>
      </w:pBdr>
      <w:spacing w:after="60"/>
      <w:jc w:val="center"/>
      <w:rPr>
        <w:rFonts w:ascii="FrankRuehl" w:hAnsi="FrankRuehl" w:cs="FrankRuehl"/>
        <w:color w:val="000000"/>
      </w:rPr>
    </w:pPr>
    <w:r w:rsidRPr="006F4531">
      <w:rPr>
        <w:rFonts w:ascii="FrankRuehl" w:hAnsi="FrankRuehl" w:cs="FrankRuehl"/>
        <w:color w:val="000000"/>
      </w:rPr>
      <w:pict w14:anchorId="7F766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F342D" w14:textId="77777777" w:rsidR="007923B3" w:rsidRDefault="007923B3" w:rsidP="00193AB5">
      <w:r>
        <w:separator/>
      </w:r>
    </w:p>
  </w:footnote>
  <w:footnote w:type="continuationSeparator" w:id="0">
    <w:p w14:paraId="254044F8" w14:textId="77777777" w:rsidR="007923B3" w:rsidRDefault="007923B3" w:rsidP="00193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90558" w14:textId="77777777" w:rsidR="008611DB" w:rsidRPr="006F4531" w:rsidRDefault="006F4531" w:rsidP="006F4531">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64378-07-24</w:t>
    </w:r>
    <w:r>
      <w:rPr>
        <w:rFonts w:ascii="David" w:hAnsi="David"/>
        <w:color w:val="000000"/>
        <w:sz w:val="22"/>
        <w:szCs w:val="22"/>
        <w:rtl/>
      </w:rPr>
      <w:tab/>
      <w:t xml:space="preserve"> מדינת ישראל נ' חמזה אבו מדיעם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262F0" w14:textId="77777777" w:rsidR="008611DB" w:rsidRPr="006F4531" w:rsidRDefault="006F4531" w:rsidP="006F4531">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64378-07-24</w:t>
    </w:r>
    <w:r>
      <w:rPr>
        <w:rFonts w:ascii="David" w:hAnsi="David"/>
        <w:color w:val="000000"/>
        <w:sz w:val="22"/>
        <w:szCs w:val="22"/>
        <w:rtl/>
      </w:rPr>
      <w:tab/>
      <w:t xml:space="preserve"> מדינת ישראל נ' חמזה אבו מדיעם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E6666D24"/>
    <w:lvl w:ilvl="0" w:tplc="6144C21C">
      <w:start w:val="1"/>
      <w:numFmt w:val="decimal"/>
      <w:pStyle w:val="a"/>
      <w:lvlText w:val="%1."/>
      <w:lvlJc w:val="left"/>
      <w:pPr>
        <w:tabs>
          <w:tab w:val="num" w:pos="720"/>
        </w:tabs>
        <w:ind w:left="720" w:hanging="720"/>
      </w:pPr>
      <w:rPr>
        <w:rFonts w:cs="Times New Roman"/>
        <w:b w:val="0"/>
        <w:bCs w:val="0"/>
        <w:i w:val="0"/>
        <w:iCs w:val="0"/>
      </w:rPr>
    </w:lvl>
    <w:lvl w:ilvl="1" w:tplc="912E2E9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6340249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99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1278"/>
    <w:rsid w:val="00193AB5"/>
    <w:rsid w:val="001B5A3B"/>
    <w:rsid w:val="002C1C1B"/>
    <w:rsid w:val="006F4531"/>
    <w:rsid w:val="007923B3"/>
    <w:rsid w:val="008611DB"/>
    <w:rsid w:val="00B47084"/>
    <w:rsid w:val="00DE6CED"/>
    <w:rsid w:val="00E01278"/>
    <w:rsid w:val="00F47E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731F7B"/>
  <w15:chartTrackingRefBased/>
  <w15:docId w15:val="{628B7367-6D25-4269-B02E-E3734745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01278"/>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01278"/>
    <w:pPr>
      <w:tabs>
        <w:tab w:val="center" w:pos="4153"/>
        <w:tab w:val="right" w:pos="8306"/>
      </w:tabs>
    </w:pPr>
  </w:style>
  <w:style w:type="character" w:customStyle="1" w:styleId="a5">
    <w:name w:val="כותרת עליונה תו"/>
    <w:link w:val="a4"/>
    <w:rsid w:val="00E01278"/>
    <w:rPr>
      <w:rFonts w:ascii="Times New Roman" w:eastAsia="Times New Roman" w:hAnsi="Times New Roman" w:cs="David"/>
      <w:sz w:val="24"/>
      <w:szCs w:val="24"/>
    </w:rPr>
  </w:style>
  <w:style w:type="paragraph" w:styleId="a6">
    <w:name w:val="footer"/>
    <w:basedOn w:val="a0"/>
    <w:link w:val="a7"/>
    <w:rsid w:val="00E01278"/>
    <w:pPr>
      <w:tabs>
        <w:tab w:val="center" w:pos="4153"/>
        <w:tab w:val="right" w:pos="8306"/>
      </w:tabs>
    </w:pPr>
  </w:style>
  <w:style w:type="character" w:customStyle="1" w:styleId="a7">
    <w:name w:val="כותרת תחתונה תו"/>
    <w:link w:val="a6"/>
    <w:rsid w:val="00E01278"/>
    <w:rPr>
      <w:rFonts w:ascii="Times New Roman" w:eastAsia="Times New Roman" w:hAnsi="Times New Roman" w:cs="David"/>
      <w:sz w:val="24"/>
      <w:szCs w:val="24"/>
    </w:rPr>
  </w:style>
  <w:style w:type="table" w:styleId="a8">
    <w:name w:val="Table Grid"/>
    <w:basedOn w:val="a2"/>
    <w:rsid w:val="00E0127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E01278"/>
  </w:style>
  <w:style w:type="paragraph" w:styleId="aa">
    <w:name w:val="List Paragraph"/>
    <w:basedOn w:val="a0"/>
    <w:qFormat/>
    <w:rsid w:val="00E01278"/>
    <w:pPr>
      <w:ind w:left="720"/>
      <w:contextualSpacing/>
    </w:pPr>
  </w:style>
  <w:style w:type="paragraph" w:customStyle="1" w:styleId="a">
    <w:name w:val="ממוספר"/>
    <w:basedOn w:val="a0"/>
    <w:rsid w:val="00E01278"/>
    <w:pPr>
      <w:numPr>
        <w:numId w:val="1"/>
      </w:numPr>
      <w:spacing w:after="120" w:line="360" w:lineRule="auto"/>
    </w:pPr>
    <w:rPr>
      <w:rFonts w:ascii="David" w:hAnsi="David"/>
      <w:color w:val="000000"/>
    </w:rPr>
  </w:style>
  <w:style w:type="character" w:styleId="Hyperlink">
    <w:name w:val="Hyperlink"/>
    <w:rsid w:val="00E0127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6745252" TargetMode="External"/><Relationship Id="rId39" Type="http://schemas.openxmlformats.org/officeDocument/2006/relationships/footer" Target="footer2.xml"/><Relationship Id="rId21" Type="http://schemas.openxmlformats.org/officeDocument/2006/relationships/hyperlink" Target="http://www.nevo.co.il/case/26913995"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940943" TargetMode="External"/><Relationship Id="rId20" Type="http://schemas.openxmlformats.org/officeDocument/2006/relationships/hyperlink" Target="http://www.nevo.co.il/case/28152132"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1567481" TargetMode="External"/><Relationship Id="rId32" Type="http://schemas.openxmlformats.org/officeDocument/2006/relationships/hyperlink" Target="http://www.eca.gov.il"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2006503" TargetMode="External"/><Relationship Id="rId23" Type="http://schemas.openxmlformats.org/officeDocument/2006/relationships/hyperlink" Target="http://www.nevo.co.il/case/28203020" TargetMode="External"/><Relationship Id="rId28" Type="http://schemas.openxmlformats.org/officeDocument/2006/relationships/hyperlink" Target="http://www.nevo.co.il/case/27115374" TargetMode="External"/><Relationship Id="rId36"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28513828"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424228" TargetMode="External"/><Relationship Id="rId27" Type="http://schemas.openxmlformats.org/officeDocument/2006/relationships/hyperlink" Target="http://www.nevo.co.il/case/30523152"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case/26484690" TargetMode="External"/><Relationship Id="rId33" Type="http://schemas.openxmlformats.org/officeDocument/2006/relationships/hyperlink" Target="http://www.nevo.co.il/law/70301/14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2724</Words>
  <Characters>13621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16313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7864368</vt:i4>
      </vt:variant>
      <vt:variant>
        <vt:i4>75</vt:i4>
      </vt:variant>
      <vt:variant>
        <vt:i4>0</vt:i4>
      </vt:variant>
      <vt:variant>
        <vt:i4>5</vt:i4>
      </vt:variant>
      <vt:variant>
        <vt:lpwstr>http://www.eca.gov.il/</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3211377</vt:i4>
      </vt:variant>
      <vt:variant>
        <vt:i4>63</vt:i4>
      </vt:variant>
      <vt:variant>
        <vt:i4>0</vt:i4>
      </vt:variant>
      <vt:variant>
        <vt:i4>5</vt:i4>
      </vt:variant>
      <vt:variant>
        <vt:lpwstr>http://www.nevo.co.il/case/27115374</vt:lpwstr>
      </vt:variant>
      <vt:variant>
        <vt:lpwstr/>
      </vt:variant>
      <vt:variant>
        <vt:i4>3145847</vt:i4>
      </vt:variant>
      <vt:variant>
        <vt:i4>60</vt:i4>
      </vt:variant>
      <vt:variant>
        <vt:i4>0</vt:i4>
      </vt:variant>
      <vt:variant>
        <vt:i4>5</vt:i4>
      </vt:variant>
      <vt:variant>
        <vt:lpwstr>http://www.nevo.co.il/case/30523152</vt:lpwstr>
      </vt:variant>
      <vt:variant>
        <vt:lpwstr/>
      </vt:variant>
      <vt:variant>
        <vt:i4>3473524</vt:i4>
      </vt:variant>
      <vt:variant>
        <vt:i4>57</vt:i4>
      </vt:variant>
      <vt:variant>
        <vt:i4>0</vt:i4>
      </vt:variant>
      <vt:variant>
        <vt:i4>5</vt:i4>
      </vt:variant>
      <vt:variant>
        <vt:lpwstr>http://www.nevo.co.il/case/26745252</vt:lpwstr>
      </vt:variant>
      <vt:variant>
        <vt:lpwstr/>
      </vt:variant>
      <vt:variant>
        <vt:i4>3866748</vt:i4>
      </vt:variant>
      <vt:variant>
        <vt:i4>54</vt:i4>
      </vt:variant>
      <vt:variant>
        <vt:i4>0</vt:i4>
      </vt:variant>
      <vt:variant>
        <vt:i4>5</vt:i4>
      </vt:variant>
      <vt:variant>
        <vt:lpwstr>http://www.nevo.co.il/case/26484690</vt:lpwstr>
      </vt:variant>
      <vt:variant>
        <vt:lpwstr/>
      </vt:variant>
      <vt:variant>
        <vt:i4>3670135</vt:i4>
      </vt:variant>
      <vt:variant>
        <vt:i4>51</vt:i4>
      </vt:variant>
      <vt:variant>
        <vt:i4>0</vt:i4>
      </vt:variant>
      <vt:variant>
        <vt:i4>5</vt:i4>
      </vt:variant>
      <vt:variant>
        <vt:lpwstr>http://www.nevo.co.il/case/21567481</vt:lpwstr>
      </vt:variant>
      <vt:variant>
        <vt:lpwstr/>
      </vt:variant>
      <vt:variant>
        <vt:i4>3211388</vt:i4>
      </vt:variant>
      <vt:variant>
        <vt:i4>48</vt:i4>
      </vt:variant>
      <vt:variant>
        <vt:i4>0</vt:i4>
      </vt:variant>
      <vt:variant>
        <vt:i4>5</vt:i4>
      </vt:variant>
      <vt:variant>
        <vt:lpwstr>http://www.nevo.co.il/case/28203020</vt:lpwstr>
      </vt:variant>
      <vt:variant>
        <vt:lpwstr/>
      </vt:variant>
      <vt:variant>
        <vt:i4>3145852</vt:i4>
      </vt:variant>
      <vt:variant>
        <vt:i4>45</vt:i4>
      </vt:variant>
      <vt:variant>
        <vt:i4>0</vt:i4>
      </vt:variant>
      <vt:variant>
        <vt:i4>5</vt:i4>
      </vt:variant>
      <vt:variant>
        <vt:lpwstr>http://www.nevo.co.il/case/28424228</vt:lpwstr>
      </vt:variant>
      <vt:variant>
        <vt:lpwstr/>
      </vt:variant>
      <vt:variant>
        <vt:i4>3211386</vt:i4>
      </vt:variant>
      <vt:variant>
        <vt:i4>42</vt:i4>
      </vt:variant>
      <vt:variant>
        <vt:i4>0</vt:i4>
      </vt:variant>
      <vt:variant>
        <vt:i4>5</vt:i4>
      </vt:variant>
      <vt:variant>
        <vt:lpwstr>http://www.nevo.co.il/case/26913995</vt:lpwstr>
      </vt:variant>
      <vt:variant>
        <vt:lpwstr/>
      </vt:variant>
      <vt:variant>
        <vt:i4>3276920</vt:i4>
      </vt:variant>
      <vt:variant>
        <vt:i4>39</vt:i4>
      </vt:variant>
      <vt:variant>
        <vt:i4>0</vt:i4>
      </vt:variant>
      <vt:variant>
        <vt:i4>5</vt:i4>
      </vt:variant>
      <vt:variant>
        <vt:lpwstr>http://www.nevo.co.il/case/28152132</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4128892</vt:i4>
      </vt:variant>
      <vt:variant>
        <vt:i4>27</vt:i4>
      </vt:variant>
      <vt:variant>
        <vt:i4>0</vt:i4>
      </vt:variant>
      <vt:variant>
        <vt:i4>5</vt:i4>
      </vt:variant>
      <vt:variant>
        <vt:lpwstr>http://www.nevo.co.il/case/25940943</vt:lpwstr>
      </vt:variant>
      <vt:variant>
        <vt:lpwstr/>
      </vt:variant>
      <vt:variant>
        <vt:i4>3407987</vt:i4>
      </vt:variant>
      <vt:variant>
        <vt:i4>24</vt:i4>
      </vt:variant>
      <vt:variant>
        <vt:i4>0</vt:i4>
      </vt:variant>
      <vt:variant>
        <vt:i4>5</vt:i4>
      </vt:variant>
      <vt:variant>
        <vt:lpwstr>http://www.nevo.co.il/case/22006503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2025-02-28T15:36:00Z</dcterms:created>
  <dcterms:modified xsi:type="dcterms:W3CDTF">2025-02-28T15:36:00Z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64378</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חמזה אבו מדיעם </vt:lpwstr>
  </property>
  <property fmtid="{D5CDD505-2E9C-101B-9397-08002B2CF9AE}" pid="10" name="LAWYER">
    <vt:lpwstr>כרמית כהן;סמיר אבו עאבד</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20250126</vt:lpwstr>
  </property>
  <property fmtid="{D5CDD505-2E9C-101B-9397-08002B2CF9AE}" pid="14" name="TYPE_N_DATE">
    <vt:lpwstr>38020250126</vt:lpwstr>
  </property>
  <property fmtid="{D5CDD505-2E9C-101B-9397-08002B2CF9AE}" pid="15" name="CASESLISTTMP1">
    <vt:lpwstr>22006503;25940943;28513828:2;28152132;26913995;28424228;28203020;21567481;26484690;26745252;30523152;27115374</vt:lpwstr>
  </property>
  <property fmtid="{D5CDD505-2E9C-101B-9397-08002B2CF9AE}" pid="16" name="ISABSTRACT">
    <vt:lpwstr>Y</vt:lpwstr>
  </property>
  <property fmtid="{D5CDD505-2E9C-101B-9397-08002B2CF9AE}" pid="17" name="WORDNUMPAGES">
    <vt:lpwstr>9</vt:lpwstr>
  </property>
  <property fmtid="{D5CDD505-2E9C-101B-9397-08002B2CF9AE}" pid="18" name="TYPE_ABS_DATE">
    <vt:lpwstr>380020250126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70301/144.a;040i;40jc;40ja;144</vt:lpwstr>
  </property>
</Properties>
</file>