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E320E5" w:rsidRPr="00DB1CB4" w14:paraId="12169A6A" w14:textId="77777777" w:rsidTr="00AE1955">
        <w:trPr>
          <w:gridAfter w:val="1"/>
          <w:wAfter w:w="99" w:type="dxa"/>
          <w:trHeight w:hRule="exact" w:val="418"/>
          <w:jc w:val="center"/>
        </w:trPr>
        <w:tc>
          <w:tcPr>
            <w:tcW w:w="8721" w:type="dxa"/>
            <w:gridSpan w:val="4"/>
          </w:tcPr>
          <w:p w14:paraId="3AE8DA97" w14:textId="77777777" w:rsidR="00E320E5" w:rsidRPr="00DB1CB4" w:rsidRDefault="00E320E5" w:rsidP="002A47D2">
            <w:pPr>
              <w:pStyle w:val="a3"/>
              <w:jc w:val="center"/>
              <w:rPr>
                <w:rFonts w:ascii="Tahoma" w:hAnsi="Tahoma" w:cs="Tahoma"/>
                <w:color w:val="000080"/>
                <w:rtl/>
              </w:rPr>
            </w:pPr>
            <w:bookmarkStart w:id="0" w:name="LastJudge"/>
            <w:r w:rsidRPr="00DB1CB4">
              <w:rPr>
                <w:rFonts w:ascii="Tahoma" w:hAnsi="Tahoma" w:cs="Tahoma"/>
                <w:b/>
                <w:bCs/>
                <w:color w:val="000080"/>
                <w:rtl/>
              </w:rPr>
              <w:t>בית משפט השלום בחדרה</w:t>
            </w:r>
          </w:p>
        </w:tc>
      </w:tr>
      <w:tr w:rsidR="00E320E5" w:rsidRPr="00DB1CB4" w14:paraId="5245A3FB" w14:textId="77777777" w:rsidTr="00AE1955">
        <w:trPr>
          <w:gridAfter w:val="1"/>
          <w:wAfter w:w="99" w:type="dxa"/>
          <w:trHeight w:val="337"/>
          <w:jc w:val="center"/>
        </w:trPr>
        <w:tc>
          <w:tcPr>
            <w:tcW w:w="5058" w:type="dxa"/>
            <w:gridSpan w:val="3"/>
          </w:tcPr>
          <w:p w14:paraId="082E99E5" w14:textId="77777777" w:rsidR="00E320E5" w:rsidRPr="00DB1CB4" w:rsidRDefault="00E320E5" w:rsidP="002A47D2">
            <w:pPr>
              <w:rPr>
                <w:rFonts w:cs="FrankRuehl"/>
                <w:sz w:val="28"/>
                <w:szCs w:val="28"/>
                <w:rtl/>
              </w:rPr>
            </w:pPr>
            <w:r w:rsidRPr="00DB1CB4">
              <w:rPr>
                <w:rFonts w:cs="FrankRuehl"/>
                <w:sz w:val="28"/>
                <w:szCs w:val="28"/>
                <w:rtl/>
              </w:rPr>
              <w:t>ת"פ</w:t>
            </w:r>
            <w:r w:rsidRPr="00DB1CB4">
              <w:rPr>
                <w:rFonts w:cs="FrankRuehl" w:hint="cs"/>
                <w:sz w:val="28"/>
                <w:szCs w:val="28"/>
                <w:rtl/>
              </w:rPr>
              <w:t xml:space="preserve"> </w:t>
            </w:r>
            <w:r w:rsidRPr="00DB1CB4">
              <w:rPr>
                <w:rFonts w:cs="FrankRuehl"/>
                <w:sz w:val="28"/>
                <w:szCs w:val="28"/>
                <w:rtl/>
              </w:rPr>
              <w:t>3106-09-24</w:t>
            </w:r>
            <w:r w:rsidRPr="00DB1CB4">
              <w:rPr>
                <w:rFonts w:cs="FrankRuehl" w:hint="cs"/>
                <w:sz w:val="28"/>
                <w:szCs w:val="28"/>
                <w:rtl/>
              </w:rPr>
              <w:t xml:space="preserve"> </w:t>
            </w:r>
            <w:r w:rsidRPr="00DB1CB4">
              <w:rPr>
                <w:rFonts w:cs="FrankRuehl"/>
                <w:sz w:val="28"/>
                <w:szCs w:val="28"/>
                <w:rtl/>
              </w:rPr>
              <w:t>מדינת ישראל נ' עמאש(עציר)</w:t>
            </w:r>
          </w:p>
          <w:p w14:paraId="7ED2A14E" w14:textId="77777777" w:rsidR="00E320E5" w:rsidRPr="00DB1CB4" w:rsidRDefault="00E320E5" w:rsidP="002A47D2">
            <w:pPr>
              <w:pStyle w:val="a3"/>
              <w:rPr>
                <w:rFonts w:cs="FrankRuehl"/>
                <w:sz w:val="28"/>
                <w:szCs w:val="28"/>
                <w:rtl/>
              </w:rPr>
            </w:pPr>
          </w:p>
        </w:tc>
        <w:tc>
          <w:tcPr>
            <w:tcW w:w="3663" w:type="dxa"/>
          </w:tcPr>
          <w:p w14:paraId="71833999" w14:textId="77777777" w:rsidR="00E320E5" w:rsidRPr="00DB1CB4" w:rsidRDefault="00E320E5" w:rsidP="002A47D2">
            <w:pPr>
              <w:pStyle w:val="a3"/>
              <w:jc w:val="right"/>
              <w:rPr>
                <w:rFonts w:cs="FrankRuehl"/>
                <w:sz w:val="28"/>
                <w:szCs w:val="28"/>
                <w:rtl/>
              </w:rPr>
            </w:pPr>
          </w:p>
        </w:tc>
      </w:tr>
      <w:tr w:rsidR="00E320E5" w:rsidRPr="00DB1CB4" w14:paraId="66024AF5" w14:textId="77777777" w:rsidTr="00AE19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4B0C8B2" w14:textId="77777777" w:rsidR="00E320E5" w:rsidRPr="00DB1CB4" w:rsidRDefault="00E320E5" w:rsidP="00E320E5">
            <w:pPr>
              <w:jc w:val="both"/>
              <w:rPr>
                <w:rFonts w:ascii="David" w:hAnsi="David"/>
                <w:sz w:val="26"/>
                <w:szCs w:val="26"/>
              </w:rPr>
            </w:pPr>
            <w:r w:rsidRPr="00DB1CB4">
              <w:rPr>
                <w:rFonts w:hint="cs"/>
                <w:rtl/>
              </w:rPr>
              <w:t xml:space="preserve"> </w:t>
            </w:r>
            <w:r w:rsidRPr="00DB1CB4">
              <w:rPr>
                <w:rFonts w:ascii="David" w:hAnsi="David" w:hint="cs"/>
                <w:sz w:val="26"/>
                <w:szCs w:val="26"/>
                <w:rtl/>
              </w:rPr>
              <w:t>ל</w:t>
            </w:r>
            <w:r w:rsidRPr="00DB1CB4">
              <w:rPr>
                <w:rFonts w:ascii="David" w:hAnsi="David"/>
                <w:sz w:val="26"/>
                <w:szCs w:val="26"/>
                <w:rtl/>
              </w:rPr>
              <w:t>פני</w:t>
            </w:r>
            <w:r w:rsidRPr="00DB1CB4">
              <w:rPr>
                <w:rFonts w:ascii="David" w:hAnsi="David" w:hint="cs"/>
                <w:sz w:val="26"/>
                <w:szCs w:val="26"/>
                <w:rtl/>
              </w:rPr>
              <w:t>:</w:t>
            </w:r>
            <w:r w:rsidRPr="00DB1CB4">
              <w:rPr>
                <w:rFonts w:ascii="David" w:hAnsi="David"/>
                <w:sz w:val="26"/>
                <w:szCs w:val="26"/>
                <w:rtl/>
              </w:rPr>
              <w:t xml:space="preserve"> </w:t>
            </w:r>
          </w:p>
        </w:tc>
        <w:tc>
          <w:tcPr>
            <w:tcW w:w="7897" w:type="dxa"/>
            <w:gridSpan w:val="4"/>
            <w:tcBorders>
              <w:top w:val="nil"/>
              <w:left w:val="nil"/>
              <w:bottom w:val="nil"/>
              <w:right w:val="nil"/>
            </w:tcBorders>
            <w:shd w:val="clear" w:color="auto" w:fill="auto"/>
          </w:tcPr>
          <w:p w14:paraId="1D103FD0" w14:textId="77777777" w:rsidR="00E320E5" w:rsidRPr="00DB1CB4" w:rsidRDefault="00E320E5" w:rsidP="002A47D2">
            <w:pPr>
              <w:rPr>
                <w:rFonts w:ascii="David" w:hAnsi="David"/>
                <w:b/>
                <w:bCs/>
                <w:sz w:val="26"/>
                <w:szCs w:val="26"/>
                <w:rtl/>
              </w:rPr>
            </w:pPr>
            <w:r w:rsidRPr="00DB1CB4">
              <w:rPr>
                <w:rFonts w:ascii="David" w:hAnsi="David"/>
                <w:b/>
                <w:bCs/>
                <w:sz w:val="26"/>
                <w:szCs w:val="26"/>
                <w:rtl/>
              </w:rPr>
              <w:t>כבוד השופט  ערן זלר</w:t>
            </w:r>
          </w:p>
          <w:p w14:paraId="136CDEAA" w14:textId="77777777" w:rsidR="00E320E5" w:rsidRPr="00DB1CB4" w:rsidRDefault="00E320E5" w:rsidP="002A47D2">
            <w:pPr>
              <w:rPr>
                <w:rFonts w:ascii="David" w:hAnsi="David"/>
                <w:sz w:val="26"/>
                <w:szCs w:val="26"/>
                <w:rtl/>
              </w:rPr>
            </w:pPr>
          </w:p>
          <w:p w14:paraId="52A6D9E7" w14:textId="77777777" w:rsidR="00E320E5" w:rsidRPr="00DB1CB4" w:rsidRDefault="00E320E5" w:rsidP="00E320E5">
            <w:pPr>
              <w:jc w:val="both"/>
              <w:rPr>
                <w:rFonts w:ascii="David" w:hAnsi="David"/>
                <w:sz w:val="26"/>
                <w:szCs w:val="26"/>
              </w:rPr>
            </w:pPr>
          </w:p>
        </w:tc>
      </w:tr>
      <w:tr w:rsidR="00E320E5" w:rsidRPr="00DB1CB4" w14:paraId="611DE6BD" w14:textId="77777777" w:rsidTr="00AE19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1028342" w14:textId="77777777" w:rsidR="00E320E5" w:rsidRPr="00DB1CB4" w:rsidRDefault="00E320E5" w:rsidP="00E320E5">
            <w:pPr>
              <w:spacing w:line="360" w:lineRule="auto"/>
              <w:jc w:val="both"/>
              <w:rPr>
                <w:rFonts w:ascii="David" w:hAnsi="David"/>
                <w:sz w:val="26"/>
                <w:szCs w:val="26"/>
              </w:rPr>
            </w:pPr>
            <w:bookmarkStart w:id="1" w:name="FirstAppellant"/>
          </w:p>
        </w:tc>
        <w:tc>
          <w:tcPr>
            <w:tcW w:w="3219" w:type="dxa"/>
            <w:tcBorders>
              <w:top w:val="nil"/>
              <w:left w:val="nil"/>
              <w:bottom w:val="nil"/>
              <w:right w:val="nil"/>
            </w:tcBorders>
            <w:shd w:val="clear" w:color="auto" w:fill="auto"/>
          </w:tcPr>
          <w:p w14:paraId="58721DD1" w14:textId="77777777" w:rsidR="00E320E5" w:rsidRPr="00DB1CB4" w:rsidRDefault="00E320E5" w:rsidP="00E320E5">
            <w:pPr>
              <w:suppressLineNumbers/>
              <w:spacing w:line="360" w:lineRule="auto"/>
            </w:pPr>
            <w:r w:rsidRPr="00DB1CB4">
              <w:rPr>
                <w:rFonts w:ascii="Arial" w:hAnsi="Arial" w:hint="cs"/>
                <w:b/>
                <w:bCs/>
                <w:sz w:val="26"/>
                <w:szCs w:val="26"/>
                <w:rtl/>
              </w:rPr>
              <w:t>ה</w:t>
            </w:r>
            <w:r w:rsidRPr="00DB1CB4">
              <w:rPr>
                <w:rFonts w:ascii="Arial" w:hAnsi="Arial"/>
                <w:b/>
                <w:bCs/>
                <w:sz w:val="26"/>
                <w:szCs w:val="26"/>
                <w:rtl/>
              </w:rPr>
              <w:t>מאשימה</w:t>
            </w:r>
            <w:r w:rsidRPr="00DB1CB4">
              <w:rPr>
                <w:rFonts w:ascii="Arial" w:hAnsi="Arial" w:hint="cs"/>
                <w:b/>
                <w:bCs/>
                <w:sz w:val="26"/>
                <w:szCs w:val="26"/>
                <w:rtl/>
              </w:rPr>
              <w:t>:</w:t>
            </w:r>
          </w:p>
          <w:p w14:paraId="2CEEC687" w14:textId="77777777" w:rsidR="00E320E5" w:rsidRPr="00DB1CB4" w:rsidRDefault="00E320E5" w:rsidP="00E320E5">
            <w:pPr>
              <w:spacing w:line="360" w:lineRule="auto"/>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F42E1B0" w14:textId="77777777" w:rsidR="00E320E5" w:rsidRPr="00DB1CB4" w:rsidRDefault="00E320E5" w:rsidP="00E320E5">
            <w:pPr>
              <w:suppressLineNumbers/>
              <w:spacing w:line="360" w:lineRule="auto"/>
              <w:rPr>
                <w:rFonts w:ascii="Arial" w:hAnsi="Arial"/>
                <w:b/>
                <w:bCs/>
                <w:sz w:val="26"/>
                <w:szCs w:val="26"/>
                <w:rtl/>
              </w:rPr>
            </w:pPr>
            <w:r w:rsidRPr="00DB1CB4">
              <w:rPr>
                <w:rFonts w:ascii="Arial" w:hAnsi="Arial"/>
                <w:b/>
                <w:bCs/>
                <w:sz w:val="26"/>
                <w:szCs w:val="26"/>
                <w:rtl/>
              </w:rPr>
              <w:t>מדינת ישראל</w:t>
            </w:r>
            <w:r w:rsidRPr="00DB1CB4">
              <w:rPr>
                <w:rFonts w:ascii="Arial" w:hAnsi="Arial" w:hint="cs"/>
                <w:b/>
                <w:bCs/>
                <w:sz w:val="26"/>
                <w:szCs w:val="26"/>
                <w:rtl/>
              </w:rPr>
              <w:t xml:space="preserve"> </w:t>
            </w:r>
          </w:p>
          <w:p w14:paraId="23D90311" w14:textId="77777777" w:rsidR="00E320E5" w:rsidRPr="00DB1CB4" w:rsidRDefault="00E320E5" w:rsidP="00E320E5">
            <w:pPr>
              <w:suppressLineNumbers/>
              <w:spacing w:line="360" w:lineRule="auto"/>
              <w:rPr>
                <w:rFonts w:ascii="Arial" w:hAnsi="Arial"/>
                <w:b/>
                <w:bCs/>
                <w:sz w:val="26"/>
                <w:szCs w:val="26"/>
                <w:rtl/>
              </w:rPr>
            </w:pPr>
            <w:r w:rsidRPr="00DB1CB4">
              <w:rPr>
                <w:rFonts w:ascii="Arial" w:hAnsi="Arial" w:hint="cs"/>
                <w:b/>
                <w:bCs/>
                <w:sz w:val="26"/>
                <w:szCs w:val="26"/>
                <w:rtl/>
              </w:rPr>
              <w:t xml:space="preserve">תביעות חוף </w:t>
            </w:r>
            <w:r w:rsidRPr="00DB1CB4">
              <w:rPr>
                <w:rFonts w:ascii="Arial" w:hAnsi="Arial"/>
                <w:b/>
                <w:bCs/>
                <w:sz w:val="26"/>
                <w:szCs w:val="26"/>
                <w:rtl/>
              </w:rPr>
              <w:t>–</w:t>
            </w:r>
            <w:r w:rsidRPr="00DB1CB4">
              <w:rPr>
                <w:rFonts w:ascii="Arial" w:hAnsi="Arial" w:hint="cs"/>
                <w:b/>
                <w:bCs/>
                <w:sz w:val="26"/>
                <w:szCs w:val="26"/>
                <w:rtl/>
              </w:rPr>
              <w:t xml:space="preserve"> שלוחת חדרה</w:t>
            </w:r>
          </w:p>
          <w:p w14:paraId="57576CC1" w14:textId="77777777" w:rsidR="00E320E5" w:rsidRPr="00DB1CB4" w:rsidRDefault="00E320E5" w:rsidP="00E320E5">
            <w:pPr>
              <w:suppressLineNumbers/>
              <w:spacing w:line="360" w:lineRule="auto"/>
            </w:pPr>
            <w:r w:rsidRPr="00DB1CB4">
              <w:rPr>
                <w:rFonts w:ascii="Arial" w:hAnsi="Arial"/>
                <w:b/>
                <w:bCs/>
                <w:sz w:val="26"/>
                <w:szCs w:val="26"/>
                <w:rtl/>
              </w:rPr>
              <w:t>ע"י עוה"ד</w:t>
            </w:r>
            <w:r w:rsidRPr="00DB1CB4">
              <w:rPr>
                <w:rFonts w:hint="cs"/>
                <w:rtl/>
              </w:rPr>
              <w:t xml:space="preserve"> </w:t>
            </w:r>
            <w:r w:rsidRPr="00DB1CB4">
              <w:rPr>
                <w:rFonts w:ascii="Arial" w:hAnsi="Arial" w:hint="cs"/>
                <w:b/>
                <w:bCs/>
                <w:sz w:val="26"/>
                <w:szCs w:val="26"/>
                <w:rtl/>
              </w:rPr>
              <w:t>עדי נשר</w:t>
            </w:r>
          </w:p>
          <w:p w14:paraId="4FF41030" w14:textId="77777777" w:rsidR="00E320E5" w:rsidRPr="00DB1CB4" w:rsidRDefault="00E320E5" w:rsidP="00E320E5">
            <w:pPr>
              <w:spacing w:line="360" w:lineRule="auto"/>
              <w:rPr>
                <w:rFonts w:ascii="David" w:hAnsi="David"/>
                <w:sz w:val="26"/>
                <w:szCs w:val="26"/>
              </w:rPr>
            </w:pPr>
          </w:p>
        </w:tc>
      </w:tr>
      <w:bookmarkEnd w:id="1"/>
      <w:tr w:rsidR="00E320E5" w:rsidRPr="00DB1CB4" w14:paraId="0968166D" w14:textId="77777777" w:rsidTr="00AE19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329D0AD" w14:textId="77777777" w:rsidR="00E320E5" w:rsidRPr="00DB1CB4" w:rsidRDefault="00E320E5" w:rsidP="00E320E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6376BE5" w14:textId="77777777" w:rsidR="00E320E5" w:rsidRPr="00DB1CB4" w:rsidRDefault="00E320E5" w:rsidP="00E320E5">
            <w:pPr>
              <w:jc w:val="center"/>
              <w:rPr>
                <w:rFonts w:ascii="David" w:hAnsi="David"/>
                <w:b/>
                <w:bCs/>
                <w:sz w:val="26"/>
                <w:szCs w:val="26"/>
                <w:rtl/>
              </w:rPr>
            </w:pPr>
          </w:p>
          <w:p w14:paraId="1732EB03" w14:textId="77777777" w:rsidR="00E320E5" w:rsidRPr="00DB1CB4" w:rsidRDefault="00E320E5" w:rsidP="00E320E5">
            <w:pPr>
              <w:jc w:val="center"/>
              <w:rPr>
                <w:rFonts w:ascii="David" w:hAnsi="David"/>
                <w:b/>
                <w:bCs/>
                <w:sz w:val="26"/>
                <w:szCs w:val="26"/>
                <w:rtl/>
              </w:rPr>
            </w:pPr>
            <w:r w:rsidRPr="00DB1CB4">
              <w:rPr>
                <w:rFonts w:ascii="David" w:hAnsi="David"/>
                <w:b/>
                <w:bCs/>
                <w:sz w:val="26"/>
                <w:szCs w:val="26"/>
                <w:rtl/>
              </w:rPr>
              <w:t>נגד</w:t>
            </w:r>
          </w:p>
          <w:p w14:paraId="176E9C1F" w14:textId="77777777" w:rsidR="00E320E5" w:rsidRPr="00DB1CB4" w:rsidRDefault="00E320E5" w:rsidP="00E320E5">
            <w:pPr>
              <w:jc w:val="both"/>
              <w:rPr>
                <w:rFonts w:ascii="David" w:hAnsi="David"/>
                <w:sz w:val="26"/>
                <w:szCs w:val="26"/>
              </w:rPr>
            </w:pPr>
          </w:p>
        </w:tc>
      </w:tr>
      <w:tr w:rsidR="00E320E5" w:rsidRPr="00DB1CB4" w14:paraId="2773836F" w14:textId="77777777" w:rsidTr="00AE19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930F9CF" w14:textId="77777777" w:rsidR="00E320E5" w:rsidRPr="00DB1CB4" w:rsidRDefault="00E320E5" w:rsidP="00E320E5">
            <w:pPr>
              <w:spacing w:line="360" w:lineRule="auto"/>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66EC6C76" w14:textId="77777777" w:rsidR="00E320E5" w:rsidRPr="00DB1CB4" w:rsidRDefault="00E320E5" w:rsidP="00E320E5">
            <w:pPr>
              <w:spacing w:line="360" w:lineRule="auto"/>
              <w:rPr>
                <w:rFonts w:ascii="Arial" w:hAnsi="Arial"/>
                <w:b/>
                <w:bCs/>
                <w:sz w:val="26"/>
                <w:szCs w:val="26"/>
                <w:rtl/>
              </w:rPr>
            </w:pPr>
            <w:r w:rsidRPr="00DB1CB4">
              <w:rPr>
                <w:rFonts w:ascii="Arial" w:hAnsi="Arial"/>
                <w:b/>
                <w:bCs/>
                <w:sz w:val="26"/>
                <w:szCs w:val="26"/>
                <w:rtl/>
              </w:rPr>
              <w:t>הנאש</w:t>
            </w:r>
            <w:r w:rsidRPr="00DB1CB4">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1709EB39" w14:textId="77777777" w:rsidR="00E320E5" w:rsidRPr="00DB1CB4" w:rsidRDefault="00E320E5" w:rsidP="00E320E5">
            <w:pPr>
              <w:suppressLineNumbers/>
              <w:spacing w:line="360" w:lineRule="auto"/>
              <w:rPr>
                <w:rFonts w:ascii="Arial" w:hAnsi="Arial"/>
                <w:b/>
                <w:bCs/>
                <w:sz w:val="26"/>
                <w:szCs w:val="26"/>
                <w:rtl/>
              </w:rPr>
            </w:pPr>
            <w:r w:rsidRPr="00DB1CB4">
              <w:rPr>
                <w:rFonts w:ascii="Arial" w:hAnsi="Arial"/>
                <w:b/>
                <w:bCs/>
                <w:sz w:val="26"/>
                <w:szCs w:val="26"/>
                <w:rtl/>
              </w:rPr>
              <w:t>ג'מיל עמאש (עציר)</w:t>
            </w:r>
            <w:r w:rsidRPr="00DB1CB4">
              <w:rPr>
                <w:rFonts w:ascii="Arial" w:hAnsi="Arial" w:hint="cs"/>
                <w:b/>
                <w:bCs/>
                <w:sz w:val="26"/>
                <w:szCs w:val="26"/>
                <w:rtl/>
              </w:rPr>
              <w:t xml:space="preserve"> </w:t>
            </w:r>
          </w:p>
          <w:p w14:paraId="7291A2F3" w14:textId="77777777" w:rsidR="00E320E5" w:rsidRPr="00DB1CB4" w:rsidRDefault="00E320E5" w:rsidP="00E320E5">
            <w:pPr>
              <w:suppressLineNumbers/>
              <w:spacing w:line="360" w:lineRule="auto"/>
            </w:pPr>
            <w:r w:rsidRPr="00DB1CB4">
              <w:rPr>
                <w:rFonts w:ascii="Arial" w:hAnsi="Arial"/>
                <w:b/>
                <w:bCs/>
                <w:sz w:val="26"/>
                <w:szCs w:val="26"/>
                <w:rtl/>
              </w:rPr>
              <w:t>ע"י ב"כ עוה"ד</w:t>
            </w:r>
            <w:r w:rsidRPr="00DB1CB4">
              <w:rPr>
                <w:rFonts w:hint="cs"/>
                <w:rtl/>
              </w:rPr>
              <w:t xml:space="preserve"> </w:t>
            </w:r>
            <w:r w:rsidRPr="00DB1CB4">
              <w:rPr>
                <w:rFonts w:ascii="Arial" w:hAnsi="Arial" w:hint="cs"/>
                <w:b/>
                <w:bCs/>
                <w:sz w:val="26"/>
                <w:szCs w:val="26"/>
                <w:rtl/>
              </w:rPr>
              <w:t>עאדל בויראת</w:t>
            </w:r>
          </w:p>
          <w:p w14:paraId="58253BC9" w14:textId="77777777" w:rsidR="00E320E5" w:rsidRPr="00DB1CB4" w:rsidRDefault="00E320E5" w:rsidP="00E320E5">
            <w:pPr>
              <w:spacing w:line="360" w:lineRule="auto"/>
              <w:rPr>
                <w:rFonts w:ascii="David" w:hAnsi="David"/>
                <w:sz w:val="26"/>
                <w:szCs w:val="26"/>
              </w:rPr>
            </w:pPr>
          </w:p>
        </w:tc>
      </w:tr>
    </w:tbl>
    <w:p w14:paraId="15860501" w14:textId="77777777" w:rsidR="00AE1955" w:rsidRPr="00AE1955" w:rsidRDefault="00AE1955" w:rsidP="00AE1955">
      <w:pPr>
        <w:spacing w:before="120" w:after="120" w:line="240" w:lineRule="exact"/>
        <w:ind w:left="283" w:hanging="283"/>
        <w:jc w:val="both"/>
        <w:rPr>
          <w:rFonts w:ascii="FrankRuehl" w:hAnsi="FrankRuehl" w:cs="FrankRuehl"/>
          <w:rtl/>
        </w:rPr>
      </w:pPr>
      <w:bookmarkStart w:id="3" w:name="LawTable"/>
      <w:bookmarkEnd w:id="2"/>
      <w:bookmarkEnd w:id="3"/>
    </w:p>
    <w:p w14:paraId="517ABC5F" w14:textId="77777777" w:rsidR="00AE1955" w:rsidRPr="00AE1955" w:rsidRDefault="00AE1955" w:rsidP="00AE1955">
      <w:pPr>
        <w:spacing w:before="120" w:after="120" w:line="240" w:lineRule="exact"/>
        <w:ind w:left="283" w:hanging="283"/>
        <w:jc w:val="both"/>
        <w:rPr>
          <w:rFonts w:ascii="FrankRuehl" w:hAnsi="FrankRuehl" w:cs="FrankRuehl"/>
          <w:rtl/>
        </w:rPr>
      </w:pPr>
      <w:r w:rsidRPr="00AE1955">
        <w:rPr>
          <w:rFonts w:ascii="FrankRuehl" w:hAnsi="FrankRuehl" w:cs="FrankRuehl"/>
          <w:rtl/>
        </w:rPr>
        <w:t xml:space="preserve">חקיקה שאוזכרה: </w:t>
      </w:r>
    </w:p>
    <w:p w14:paraId="6C996D83" w14:textId="77777777" w:rsidR="00AE1955" w:rsidRPr="00AE1955" w:rsidRDefault="00AE1955" w:rsidP="00AE1955">
      <w:pPr>
        <w:spacing w:before="120" w:after="120" w:line="240" w:lineRule="exact"/>
        <w:ind w:left="283" w:hanging="283"/>
        <w:jc w:val="both"/>
        <w:rPr>
          <w:rFonts w:ascii="FrankRuehl" w:hAnsi="FrankRuehl" w:cs="FrankRuehl"/>
          <w:color w:val="0000FF"/>
          <w:rtl/>
        </w:rPr>
      </w:pPr>
      <w:hyperlink r:id="rId7" w:history="1">
        <w:r w:rsidRPr="00AE1955">
          <w:rPr>
            <w:rStyle w:val="Hyperlink"/>
            <w:rFonts w:ascii="FrankRuehl" w:hAnsi="FrankRuehl" w:cs="FrankRuehl"/>
            <w:u w:val="none"/>
            <w:rtl/>
          </w:rPr>
          <w:t>חוק העונשין, תשל"ז-1977</w:t>
        </w:r>
      </w:hyperlink>
      <w:r w:rsidRPr="00AE1955">
        <w:rPr>
          <w:rFonts w:ascii="FrankRuehl" w:hAnsi="FrankRuehl" w:cs="FrankRuehl"/>
          <w:color w:val="0000FF"/>
          <w:rtl/>
        </w:rPr>
        <w:t xml:space="preserve">: סע'  </w:t>
      </w:r>
      <w:hyperlink r:id="rId8" w:history="1">
        <w:r w:rsidRPr="00AE1955">
          <w:rPr>
            <w:rStyle w:val="Hyperlink"/>
            <w:rFonts w:ascii="FrankRuehl" w:hAnsi="FrankRuehl" w:cs="FrankRuehl"/>
            <w:u w:val="none"/>
          </w:rPr>
          <w:t>31</w:t>
        </w:r>
      </w:hyperlink>
      <w:r w:rsidRPr="00AE1955">
        <w:rPr>
          <w:rFonts w:ascii="FrankRuehl" w:hAnsi="FrankRuehl" w:cs="FrankRuehl"/>
          <w:color w:val="0000FF"/>
          <w:rtl/>
        </w:rPr>
        <w:t xml:space="preserve">, </w:t>
      </w:r>
      <w:hyperlink r:id="rId9" w:history="1">
        <w:r w:rsidRPr="00AE1955">
          <w:rPr>
            <w:rStyle w:val="Hyperlink"/>
            <w:rFonts w:ascii="FrankRuehl" w:hAnsi="FrankRuehl" w:cs="FrankRuehl"/>
            <w:u w:val="none"/>
          </w:rPr>
          <w:t>144</w:t>
        </w:r>
      </w:hyperlink>
      <w:r w:rsidRPr="00AE1955">
        <w:rPr>
          <w:rFonts w:ascii="FrankRuehl" w:hAnsi="FrankRuehl" w:cs="FrankRuehl"/>
          <w:color w:val="0000FF"/>
          <w:rtl/>
        </w:rPr>
        <w:t xml:space="preserve">, </w:t>
      </w:r>
      <w:hyperlink r:id="rId10" w:history="1">
        <w:r w:rsidRPr="00AE1955">
          <w:rPr>
            <w:rStyle w:val="Hyperlink"/>
            <w:rFonts w:ascii="FrankRuehl" w:hAnsi="FrankRuehl" w:cs="FrankRuehl"/>
            <w:u w:val="none"/>
          </w:rPr>
          <w:t>144</w:t>
        </w:r>
      </w:hyperlink>
      <w:r w:rsidRPr="00AE1955">
        <w:rPr>
          <w:rFonts w:ascii="FrankRuehl" w:hAnsi="FrankRuehl" w:cs="FrankRuehl"/>
          <w:color w:val="0000FF"/>
          <w:rtl/>
        </w:rPr>
        <w:t>(א)</w:t>
      </w:r>
    </w:p>
    <w:p w14:paraId="550B3519" w14:textId="77777777" w:rsidR="00E320E5" w:rsidRPr="00AE1955" w:rsidRDefault="00E320E5" w:rsidP="00AE1955">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20E5" w14:paraId="3243940C" w14:textId="77777777" w:rsidTr="00E320E5">
        <w:trPr>
          <w:trHeight w:val="355"/>
          <w:jc w:val="center"/>
        </w:trPr>
        <w:tc>
          <w:tcPr>
            <w:tcW w:w="8820" w:type="dxa"/>
            <w:tcBorders>
              <w:top w:val="nil"/>
              <w:left w:val="nil"/>
              <w:bottom w:val="nil"/>
              <w:right w:val="nil"/>
            </w:tcBorders>
            <w:shd w:val="clear" w:color="auto" w:fill="auto"/>
          </w:tcPr>
          <w:p w14:paraId="2A00D953" w14:textId="77777777" w:rsidR="00DB1CB4" w:rsidRPr="00DB1CB4" w:rsidRDefault="00DB1CB4" w:rsidP="00DB1CB4">
            <w:pPr>
              <w:jc w:val="center"/>
              <w:rPr>
                <w:rFonts w:ascii="David" w:hAnsi="David"/>
                <w:b/>
                <w:bCs/>
                <w:sz w:val="44"/>
                <w:szCs w:val="44"/>
                <w:u w:val="single"/>
                <w:rtl/>
              </w:rPr>
            </w:pPr>
            <w:bookmarkStart w:id="5" w:name="PsakDin" w:colFirst="0" w:colLast="0"/>
            <w:bookmarkEnd w:id="0"/>
            <w:r w:rsidRPr="00DB1CB4">
              <w:rPr>
                <w:rFonts w:ascii="David" w:hAnsi="David"/>
                <w:b/>
                <w:bCs/>
                <w:sz w:val="44"/>
                <w:szCs w:val="44"/>
                <w:u w:val="single"/>
                <w:rtl/>
              </w:rPr>
              <w:t>גזר דין</w:t>
            </w:r>
          </w:p>
          <w:p w14:paraId="7D9E0570" w14:textId="77777777" w:rsidR="00E320E5" w:rsidRPr="00DB1CB4" w:rsidRDefault="00E320E5" w:rsidP="00DB1CB4">
            <w:pPr>
              <w:jc w:val="center"/>
              <w:rPr>
                <w:rFonts w:ascii="David" w:hAnsi="David"/>
                <w:bCs/>
                <w:sz w:val="44"/>
                <w:szCs w:val="44"/>
                <w:u w:val="single"/>
                <w:rtl/>
              </w:rPr>
            </w:pPr>
          </w:p>
        </w:tc>
      </w:tr>
      <w:bookmarkEnd w:id="5"/>
    </w:tbl>
    <w:p w14:paraId="65935BA9" w14:textId="77777777" w:rsidR="00E320E5" w:rsidRPr="000F2247" w:rsidRDefault="00E320E5" w:rsidP="00E320E5">
      <w:pPr>
        <w:rPr>
          <w:rFonts w:ascii="Arial" w:hAnsi="Arial"/>
          <w:b/>
          <w:bCs/>
          <w:sz w:val="26"/>
          <w:szCs w:val="26"/>
          <w:rtl/>
        </w:rPr>
      </w:pPr>
    </w:p>
    <w:p w14:paraId="61305149" w14:textId="77777777" w:rsidR="00E320E5" w:rsidRPr="000F2247" w:rsidRDefault="00E320E5" w:rsidP="00E320E5">
      <w:pPr>
        <w:rPr>
          <w:rFonts w:ascii="Arial" w:hAnsi="Arial"/>
          <w:b/>
          <w:bCs/>
          <w:sz w:val="26"/>
          <w:szCs w:val="26"/>
          <w:rtl/>
        </w:rPr>
      </w:pPr>
    </w:p>
    <w:p w14:paraId="15AB5722" w14:textId="77777777" w:rsidR="00E320E5" w:rsidRDefault="00E320E5" w:rsidP="00E320E5">
      <w:pPr>
        <w:spacing w:line="480" w:lineRule="auto"/>
        <w:jc w:val="both"/>
        <w:rPr>
          <w:rFonts w:ascii="Arial" w:hAnsi="Arial"/>
          <w:b/>
          <w:bCs/>
          <w:sz w:val="32"/>
          <w:szCs w:val="32"/>
          <w:u w:val="single"/>
        </w:rPr>
      </w:pPr>
      <w:r>
        <w:rPr>
          <w:rFonts w:ascii="Arial" w:hAnsi="Arial" w:hint="cs"/>
          <w:b/>
          <w:bCs/>
          <w:sz w:val="32"/>
          <w:szCs w:val="32"/>
          <w:u w:val="single"/>
          <w:rtl/>
        </w:rPr>
        <w:t>רקע</w:t>
      </w:r>
    </w:p>
    <w:p w14:paraId="693A5F42" w14:textId="77777777" w:rsidR="00E320E5" w:rsidRDefault="00E320E5" w:rsidP="00E320E5">
      <w:pPr>
        <w:pStyle w:val="a9"/>
        <w:numPr>
          <w:ilvl w:val="0"/>
          <w:numId w:val="1"/>
        </w:numPr>
        <w:spacing w:line="360" w:lineRule="auto"/>
        <w:ind w:left="360"/>
        <w:jc w:val="both"/>
        <w:rPr>
          <w:rFonts w:ascii="Arial" w:hAnsi="Arial"/>
          <w:rtl/>
        </w:rPr>
      </w:pPr>
      <w:bookmarkStart w:id="6" w:name="ABSTRACT_START"/>
      <w:bookmarkEnd w:id="6"/>
      <w:r>
        <w:rPr>
          <w:rFonts w:ascii="Arial" w:hAnsi="Arial"/>
          <w:rtl/>
        </w:rPr>
        <w:t xml:space="preserve">הנאשם, יליד שנת </w:t>
      </w:r>
      <w:r>
        <w:rPr>
          <w:rFonts w:ascii="Arial" w:hAnsi="Arial" w:hint="cs"/>
          <w:rtl/>
        </w:rPr>
        <w:t>1994</w:t>
      </w:r>
      <w:r>
        <w:rPr>
          <w:rFonts w:ascii="Arial" w:hAnsi="Arial"/>
          <w:rtl/>
        </w:rPr>
        <w:t xml:space="preserve">, הורשע </w:t>
      </w:r>
      <w:r>
        <w:rPr>
          <w:rFonts w:ascii="Arial" w:hAnsi="Arial" w:hint="cs"/>
          <w:rtl/>
        </w:rPr>
        <w:t xml:space="preserve">על יסוד הודייתו בכתב אישום מתוקן בעבירה של </w:t>
      </w:r>
      <w:r w:rsidRPr="00AA178B">
        <w:rPr>
          <w:rFonts w:ascii="Arial" w:hAnsi="Arial" w:hint="cs"/>
          <w:b/>
          <w:bCs/>
          <w:rtl/>
        </w:rPr>
        <w:t xml:space="preserve">סיוע להחזקת נשק בלא רשות על פי דין </w:t>
      </w:r>
      <w:r w:rsidRPr="00AA178B">
        <w:rPr>
          <w:rFonts w:ascii="Arial" w:hAnsi="Arial"/>
          <w:b/>
          <w:bCs/>
          <w:rtl/>
        </w:rPr>
        <w:t>לפי</w:t>
      </w:r>
      <w:r>
        <w:rPr>
          <w:rFonts w:ascii="Arial" w:hAnsi="Arial"/>
          <w:rtl/>
        </w:rPr>
        <w:t xml:space="preserve"> </w:t>
      </w:r>
      <w:hyperlink r:id="rId11" w:history="1">
        <w:r w:rsidR="00AE1955" w:rsidRPr="00AE1955">
          <w:rPr>
            <w:rStyle w:val="Hyperlink"/>
            <w:rFonts w:ascii="Arial" w:hAnsi="Arial" w:hint="eastAsia"/>
            <w:b/>
            <w:bCs/>
            <w:color w:val="0000FF"/>
            <w:rtl/>
          </w:rPr>
          <w:t>סעיפים</w:t>
        </w:r>
        <w:r w:rsidR="00AE1955" w:rsidRPr="00AE1955">
          <w:rPr>
            <w:rStyle w:val="Hyperlink"/>
            <w:rFonts w:ascii="Arial" w:hAnsi="Arial"/>
            <w:b/>
            <w:bCs/>
            <w:color w:val="0000FF"/>
            <w:rtl/>
          </w:rPr>
          <w:t xml:space="preserve"> 31</w:t>
        </w:r>
      </w:hyperlink>
      <w:r w:rsidRPr="00AA178B">
        <w:rPr>
          <w:rFonts w:ascii="Arial" w:hAnsi="Arial" w:hint="cs"/>
          <w:b/>
          <w:bCs/>
          <w:rtl/>
        </w:rPr>
        <w:t xml:space="preserve"> ו- </w:t>
      </w:r>
      <w:hyperlink r:id="rId12" w:history="1">
        <w:r w:rsidR="00AE1955" w:rsidRPr="00AE1955">
          <w:rPr>
            <w:rStyle w:val="Hyperlink"/>
            <w:rFonts w:ascii="Arial" w:hAnsi="Arial"/>
            <w:b/>
            <w:bCs/>
            <w:color w:val="0000FF"/>
            <w:rtl/>
          </w:rPr>
          <w:t>144(א)</w:t>
        </w:r>
      </w:hyperlink>
      <w:r w:rsidRPr="00AA178B">
        <w:rPr>
          <w:rFonts w:ascii="Arial" w:hAnsi="Arial"/>
          <w:b/>
          <w:bCs/>
          <w:rtl/>
        </w:rPr>
        <w:t xml:space="preserve"> </w:t>
      </w:r>
      <w:r>
        <w:rPr>
          <w:rFonts w:ascii="Arial" w:hAnsi="Arial" w:hint="cs"/>
          <w:b/>
          <w:bCs/>
          <w:rtl/>
        </w:rPr>
        <w:t xml:space="preserve">רישא </w:t>
      </w:r>
      <w:r w:rsidRPr="00AA178B">
        <w:rPr>
          <w:rFonts w:ascii="Arial" w:hAnsi="Arial"/>
          <w:b/>
          <w:bCs/>
          <w:rtl/>
        </w:rPr>
        <w:t>ל</w:t>
      </w:r>
      <w:hyperlink r:id="rId13" w:history="1">
        <w:r w:rsidR="00DB1CB4" w:rsidRPr="00DB1CB4">
          <w:rPr>
            <w:rFonts w:ascii="Arial" w:hAnsi="Arial"/>
            <w:b/>
            <w:bCs/>
            <w:color w:val="0000FF"/>
            <w:u w:val="single"/>
            <w:rtl/>
          </w:rPr>
          <w:t>חוק העונשין</w:t>
        </w:r>
      </w:hyperlink>
      <w:r w:rsidRPr="00AA178B">
        <w:rPr>
          <w:rFonts w:ascii="Arial" w:hAnsi="Arial"/>
          <w:b/>
          <w:bCs/>
          <w:rtl/>
        </w:rPr>
        <w:t>, תשל"ז – 1977</w:t>
      </w:r>
      <w:r>
        <w:rPr>
          <w:rFonts w:ascii="Arial" w:hAnsi="Arial"/>
          <w:rtl/>
        </w:rPr>
        <w:t xml:space="preserve">, </w:t>
      </w:r>
      <w:r>
        <w:rPr>
          <w:rFonts w:ascii="Arial" w:hAnsi="Arial" w:hint="cs"/>
          <w:rtl/>
        </w:rPr>
        <w:t xml:space="preserve">ובעבירה של </w:t>
      </w:r>
      <w:r w:rsidRPr="00AA178B">
        <w:rPr>
          <w:rFonts w:ascii="Arial" w:hAnsi="Arial" w:hint="cs"/>
          <w:b/>
          <w:bCs/>
          <w:rtl/>
        </w:rPr>
        <w:t xml:space="preserve">סיוע להחזקת אביזר או תחמושת שהם אינם חלק מהנשק </w:t>
      </w:r>
      <w:r>
        <w:rPr>
          <w:rFonts w:ascii="Arial" w:hAnsi="Arial" w:hint="cs"/>
          <w:b/>
          <w:bCs/>
          <w:rtl/>
        </w:rPr>
        <w:t xml:space="preserve"> - </w:t>
      </w:r>
      <w:r w:rsidRPr="00AA178B">
        <w:rPr>
          <w:rFonts w:ascii="Arial" w:hAnsi="Arial" w:hint="cs"/>
          <w:b/>
          <w:bCs/>
          <w:rtl/>
        </w:rPr>
        <w:t xml:space="preserve">לפי </w:t>
      </w:r>
      <w:hyperlink r:id="rId14" w:history="1">
        <w:r w:rsidR="00AE1955" w:rsidRPr="00AE1955">
          <w:rPr>
            <w:rStyle w:val="Hyperlink"/>
            <w:rFonts w:ascii="Arial" w:hAnsi="Arial" w:hint="eastAsia"/>
            <w:b/>
            <w:bCs/>
            <w:color w:val="0000FF"/>
            <w:rtl/>
          </w:rPr>
          <w:t>סעיפים</w:t>
        </w:r>
        <w:r w:rsidR="00AE1955" w:rsidRPr="00AE1955">
          <w:rPr>
            <w:rStyle w:val="Hyperlink"/>
            <w:rFonts w:ascii="Arial" w:hAnsi="Arial"/>
            <w:b/>
            <w:bCs/>
            <w:color w:val="0000FF"/>
            <w:rtl/>
          </w:rPr>
          <w:t xml:space="preserve"> 31</w:t>
        </w:r>
      </w:hyperlink>
      <w:r w:rsidRPr="00AA178B">
        <w:rPr>
          <w:rFonts w:ascii="Arial" w:hAnsi="Arial" w:hint="cs"/>
          <w:b/>
          <w:bCs/>
          <w:rtl/>
        </w:rPr>
        <w:t xml:space="preserve"> ו- </w:t>
      </w:r>
      <w:hyperlink r:id="rId15" w:history="1">
        <w:r w:rsidR="00AE1955" w:rsidRPr="00AE1955">
          <w:rPr>
            <w:rStyle w:val="Hyperlink"/>
            <w:rFonts w:ascii="Arial" w:hAnsi="Arial"/>
            <w:b/>
            <w:bCs/>
            <w:color w:val="0000FF"/>
            <w:rtl/>
          </w:rPr>
          <w:t>144(א)</w:t>
        </w:r>
      </w:hyperlink>
      <w:r w:rsidRPr="00AA178B">
        <w:rPr>
          <w:rFonts w:ascii="Arial" w:hAnsi="Arial" w:hint="cs"/>
          <w:b/>
          <w:bCs/>
          <w:rtl/>
        </w:rPr>
        <w:t xml:space="preserve"> סיפא לחוק העונשין</w:t>
      </w:r>
      <w:r>
        <w:rPr>
          <w:rFonts w:ascii="Arial" w:hAnsi="Arial"/>
          <w:rtl/>
        </w:rPr>
        <w:t xml:space="preserve">. </w:t>
      </w:r>
    </w:p>
    <w:p w14:paraId="7F6551BF" w14:textId="77777777" w:rsidR="00E320E5" w:rsidRDefault="00E320E5" w:rsidP="00E320E5">
      <w:pPr>
        <w:pStyle w:val="a9"/>
        <w:ind w:left="360"/>
        <w:jc w:val="both"/>
        <w:rPr>
          <w:rFonts w:ascii="Arial" w:hAnsi="Arial"/>
        </w:rPr>
      </w:pPr>
    </w:p>
    <w:p w14:paraId="6CFE065E" w14:textId="77777777" w:rsidR="00E320E5" w:rsidRDefault="00E320E5" w:rsidP="00E320E5">
      <w:pPr>
        <w:pStyle w:val="a9"/>
        <w:numPr>
          <w:ilvl w:val="0"/>
          <w:numId w:val="1"/>
        </w:numPr>
        <w:spacing w:line="360" w:lineRule="auto"/>
        <w:ind w:left="360"/>
        <w:jc w:val="both"/>
        <w:rPr>
          <w:rFonts w:ascii="Arial" w:hAnsi="Arial"/>
        </w:rPr>
      </w:pPr>
      <w:bookmarkStart w:id="7" w:name="ABSTRACT_END"/>
      <w:bookmarkEnd w:id="7"/>
      <w:r>
        <w:rPr>
          <w:rFonts w:ascii="Arial" w:hAnsi="Arial"/>
          <w:rtl/>
        </w:rPr>
        <w:t>על פי עובדות כתב האישום</w:t>
      </w:r>
      <w:r>
        <w:rPr>
          <w:rFonts w:ascii="Arial" w:hAnsi="Arial" w:hint="cs"/>
          <w:rtl/>
        </w:rPr>
        <w:t xml:space="preserve"> המתוקן</w:t>
      </w:r>
      <w:r>
        <w:rPr>
          <w:rFonts w:ascii="Arial" w:hAnsi="Arial"/>
          <w:rtl/>
        </w:rPr>
        <w:t xml:space="preserve">, </w:t>
      </w:r>
      <w:r>
        <w:rPr>
          <w:rFonts w:ascii="Arial" w:hAnsi="Arial" w:hint="cs"/>
          <w:rtl/>
        </w:rPr>
        <w:t xml:space="preserve">ביום 21.5.24 בסמוך לשעה 14:00 נערך חיפוש כדין בביתו של הנאשם בג'סר א-זרקא. בחיפוש התגלה כי הנאשם סייע לאדם אחר שזהותו אינה ידועה להחזיק על מדף ברזל שנמצא בכניסה לחדר השינה של הנאשם, </w:t>
      </w:r>
      <w:r w:rsidRPr="00C25677">
        <w:rPr>
          <w:rFonts w:ascii="Arial" w:hAnsi="Arial" w:hint="cs"/>
          <w:b/>
          <w:bCs/>
          <w:rtl/>
        </w:rPr>
        <w:t xml:space="preserve">באקדח חצי אוטומטי מסוג </w:t>
      </w:r>
      <w:r w:rsidRPr="00C25677">
        <w:rPr>
          <w:rFonts w:ascii="Arial" w:hAnsi="Arial"/>
          <w:b/>
          <w:bCs/>
        </w:rPr>
        <w:t>D.G.G</w:t>
      </w:r>
      <w:r w:rsidRPr="00C25677">
        <w:rPr>
          <w:rFonts w:ascii="Arial" w:hAnsi="Arial" w:hint="cs"/>
          <w:b/>
          <w:bCs/>
          <w:rtl/>
        </w:rPr>
        <w:t xml:space="preserve"> מודל 19 שבו מחסנית טעונה ב- 10 כדורי תחמושת בקוטר 9 מ"מ</w:t>
      </w:r>
      <w:r>
        <w:rPr>
          <w:rFonts w:ascii="Arial" w:hAnsi="Arial" w:hint="cs"/>
          <w:rtl/>
        </w:rPr>
        <w:t>.</w:t>
      </w:r>
    </w:p>
    <w:p w14:paraId="68473942" w14:textId="77777777" w:rsidR="00E320E5" w:rsidRPr="00AA178B" w:rsidRDefault="00E320E5" w:rsidP="00E320E5">
      <w:pPr>
        <w:pStyle w:val="a9"/>
        <w:rPr>
          <w:rFonts w:ascii="Arial" w:hAnsi="Arial"/>
          <w:rtl/>
        </w:rPr>
      </w:pPr>
    </w:p>
    <w:p w14:paraId="0F6C9596" w14:textId="77777777" w:rsidR="00E320E5" w:rsidRDefault="00E320E5" w:rsidP="00E320E5">
      <w:pPr>
        <w:pStyle w:val="a9"/>
        <w:numPr>
          <w:ilvl w:val="0"/>
          <w:numId w:val="1"/>
        </w:numPr>
        <w:spacing w:line="360" w:lineRule="auto"/>
        <w:ind w:left="360"/>
        <w:jc w:val="both"/>
        <w:rPr>
          <w:rFonts w:ascii="Arial" w:hAnsi="Arial"/>
        </w:rPr>
      </w:pPr>
      <w:r>
        <w:rPr>
          <w:rFonts w:ascii="Arial" w:hAnsi="Arial" w:hint="cs"/>
          <w:rtl/>
        </w:rPr>
        <w:lastRenderedPageBreak/>
        <w:t xml:space="preserve">הסדר הטיעון בגדרו הודה והורשע הנאשם כלל הסכמה על תיקון כתב האישום והודיית הנאשם בו, אך לא כלל הסכמות עונשיות כלשהן, והצדדים הודיעו כי כל צד יהיה חופשי בטיעוניו לעונש. </w:t>
      </w:r>
    </w:p>
    <w:p w14:paraId="53B35197" w14:textId="77777777" w:rsidR="00E320E5" w:rsidRPr="00A453AA" w:rsidRDefault="00E320E5" w:rsidP="00E320E5">
      <w:pPr>
        <w:pStyle w:val="a9"/>
        <w:rPr>
          <w:rFonts w:ascii="Arial" w:hAnsi="Arial"/>
          <w:rtl/>
        </w:rPr>
      </w:pPr>
    </w:p>
    <w:p w14:paraId="214DED3E" w14:textId="77777777" w:rsidR="00E320E5" w:rsidRDefault="00E320E5" w:rsidP="00E320E5">
      <w:pPr>
        <w:pStyle w:val="a9"/>
        <w:numPr>
          <w:ilvl w:val="0"/>
          <w:numId w:val="1"/>
        </w:numPr>
        <w:spacing w:line="360" w:lineRule="auto"/>
        <w:ind w:left="360"/>
        <w:jc w:val="both"/>
        <w:rPr>
          <w:rFonts w:ascii="Arial" w:hAnsi="Arial"/>
        </w:rPr>
      </w:pPr>
      <w:r>
        <w:rPr>
          <w:rFonts w:ascii="Arial" w:hAnsi="Arial" w:hint="cs"/>
          <w:rtl/>
        </w:rPr>
        <w:t>הנאשם נמצא במעצר במסגרת התיק החל מיום 21.8.24.</w:t>
      </w:r>
    </w:p>
    <w:p w14:paraId="45931FC4" w14:textId="77777777" w:rsidR="00E320E5" w:rsidRPr="009F603C" w:rsidRDefault="00E320E5" w:rsidP="00E320E5">
      <w:pPr>
        <w:pStyle w:val="a9"/>
        <w:rPr>
          <w:rFonts w:ascii="Arial" w:hAnsi="Arial"/>
          <w:rtl/>
        </w:rPr>
      </w:pPr>
    </w:p>
    <w:p w14:paraId="38367D8B" w14:textId="77777777" w:rsidR="00E320E5" w:rsidRPr="009F603C" w:rsidRDefault="00E320E5" w:rsidP="00E320E5">
      <w:pPr>
        <w:spacing w:line="480" w:lineRule="auto"/>
        <w:jc w:val="both"/>
        <w:rPr>
          <w:rFonts w:ascii="Arial" w:hAnsi="Arial"/>
          <w:b/>
          <w:bCs/>
          <w:sz w:val="32"/>
          <w:szCs w:val="32"/>
          <w:u w:val="single"/>
        </w:rPr>
      </w:pPr>
      <w:r w:rsidRPr="009F603C">
        <w:rPr>
          <w:rFonts w:ascii="Arial" w:hAnsi="Arial" w:hint="cs"/>
          <w:b/>
          <w:bCs/>
          <w:sz w:val="32"/>
          <w:szCs w:val="32"/>
          <w:u w:val="single"/>
          <w:rtl/>
        </w:rPr>
        <w:t>הטיעונים לעונש</w:t>
      </w:r>
    </w:p>
    <w:p w14:paraId="1D7B0115" w14:textId="77777777" w:rsidR="00E320E5" w:rsidRDefault="00E320E5" w:rsidP="00E320E5">
      <w:pPr>
        <w:rPr>
          <w:rFonts w:ascii="Arial" w:hAnsi="Arial"/>
          <w:sz w:val="28"/>
          <w:szCs w:val="28"/>
          <w:u w:val="single"/>
          <w:rtl/>
        </w:rPr>
      </w:pPr>
      <w:r>
        <w:rPr>
          <w:rFonts w:ascii="Arial" w:hAnsi="Arial" w:hint="cs"/>
          <w:sz w:val="28"/>
          <w:szCs w:val="28"/>
          <w:u w:val="single"/>
          <w:rtl/>
        </w:rPr>
        <w:t xml:space="preserve">טיעוני </w:t>
      </w:r>
      <w:r w:rsidRPr="009F603C">
        <w:rPr>
          <w:rFonts w:ascii="Arial" w:hAnsi="Arial" w:hint="cs"/>
          <w:sz w:val="28"/>
          <w:szCs w:val="28"/>
          <w:u w:val="single"/>
          <w:rtl/>
        </w:rPr>
        <w:t>המאשימה</w:t>
      </w:r>
    </w:p>
    <w:p w14:paraId="12E55654" w14:textId="77777777" w:rsidR="00E320E5" w:rsidRPr="009F603C" w:rsidRDefault="00E320E5" w:rsidP="00E320E5">
      <w:pPr>
        <w:rPr>
          <w:rFonts w:ascii="Arial" w:hAnsi="Arial"/>
          <w:sz w:val="28"/>
          <w:szCs w:val="28"/>
          <w:u w:val="single"/>
          <w:rtl/>
        </w:rPr>
      </w:pPr>
    </w:p>
    <w:p w14:paraId="032D83E0" w14:textId="77777777" w:rsidR="00E320E5" w:rsidRDefault="00E320E5" w:rsidP="00E320E5">
      <w:pPr>
        <w:pStyle w:val="a9"/>
        <w:numPr>
          <w:ilvl w:val="0"/>
          <w:numId w:val="1"/>
        </w:numPr>
        <w:spacing w:line="360" w:lineRule="auto"/>
        <w:ind w:left="360"/>
        <w:jc w:val="both"/>
        <w:rPr>
          <w:rFonts w:ascii="Arial" w:hAnsi="Arial"/>
        </w:rPr>
      </w:pPr>
      <w:r>
        <w:rPr>
          <w:rFonts w:ascii="Arial" w:hAnsi="Arial" w:hint="cs"/>
          <w:rtl/>
        </w:rPr>
        <w:t>בפתח טיעוניה הגישה התובעת תמונות של האקדח והמחסנית הטעונה שנתפסו (</w:t>
      </w:r>
      <w:r w:rsidRPr="001350DD">
        <w:rPr>
          <w:rFonts w:ascii="Arial" w:hAnsi="Arial" w:hint="cs"/>
          <w:b/>
          <w:bCs/>
          <w:rtl/>
        </w:rPr>
        <w:t>ת/1</w:t>
      </w:r>
      <w:r>
        <w:rPr>
          <w:rFonts w:ascii="Arial" w:hAnsi="Arial" w:hint="cs"/>
          <w:rtl/>
        </w:rPr>
        <w:t>).</w:t>
      </w:r>
    </w:p>
    <w:p w14:paraId="0428D410" w14:textId="77777777" w:rsidR="00E320E5" w:rsidRDefault="00E320E5" w:rsidP="00E320E5">
      <w:pPr>
        <w:pStyle w:val="a9"/>
        <w:spacing w:line="360" w:lineRule="auto"/>
        <w:ind w:left="360"/>
        <w:jc w:val="both"/>
        <w:rPr>
          <w:rFonts w:ascii="Arial" w:hAnsi="Arial"/>
          <w:rtl/>
        </w:rPr>
      </w:pPr>
      <w:r w:rsidRPr="00E735F5">
        <w:rPr>
          <w:rFonts w:ascii="Arial" w:hAnsi="Arial" w:hint="cs"/>
          <w:rtl/>
        </w:rPr>
        <w:t xml:space="preserve">ב"כ המאשימה טענה </w:t>
      </w:r>
      <w:r>
        <w:rPr>
          <w:rFonts w:hint="cs"/>
          <w:rtl/>
        </w:rPr>
        <w:t>כי במעשיו פגע הנאשם בערכים מוגנים שהם</w:t>
      </w:r>
      <w:r>
        <w:rPr>
          <w:rtl/>
        </w:rPr>
        <w:t xml:space="preserve"> הגנה על חיי אדם</w:t>
      </w:r>
      <w:r>
        <w:rPr>
          <w:rFonts w:hint="cs"/>
          <w:rtl/>
        </w:rPr>
        <w:t xml:space="preserve">, שלמות גופו </w:t>
      </w:r>
      <w:r>
        <w:rPr>
          <w:rtl/>
        </w:rPr>
        <w:t xml:space="preserve">ובטחונו של הציבור כולו. </w:t>
      </w:r>
      <w:r>
        <w:rPr>
          <w:rFonts w:ascii="Arial" w:hAnsi="Arial" w:hint="cs"/>
          <w:rtl/>
        </w:rPr>
        <w:t xml:space="preserve">היא טענה כי חומרת העבירות נובעת גם מפוטנציאל הנזק הטמון בהן, והטעימה כי בעבירות שעניינן החזקת נשק יוצרות </w:t>
      </w:r>
      <w:r w:rsidRPr="00833423">
        <w:rPr>
          <w:rFonts w:ascii="Arial" w:hAnsi="Arial"/>
          <w:rtl/>
        </w:rPr>
        <w:t>פוטנציאל של ממש לפגיעה קשה בחפים מפשע תוך ערעור בטחון הציבור והסדר החברתי</w:t>
      </w:r>
      <w:r>
        <w:rPr>
          <w:rFonts w:ascii="Arial" w:hAnsi="Arial" w:hint="cs"/>
          <w:rtl/>
        </w:rPr>
        <w:t>, והוסיפה כי מדובר בעבירות נפוצות שעשויות להביא לקיפוח חיי אדם ולפיכך נדרשת החמרה בענישה בסוג זה של עבירות, הן בהקשר של קביעת מתחם העונש ההולם והן בקביעת העונש בתוכו</w:t>
      </w:r>
      <w:r>
        <w:rPr>
          <w:rFonts w:ascii="Arial" w:hAnsi="Arial"/>
          <w:rtl/>
        </w:rPr>
        <w:t xml:space="preserve">. </w:t>
      </w:r>
      <w:r>
        <w:rPr>
          <w:rFonts w:ascii="Arial" w:hAnsi="Arial" w:hint="cs"/>
          <w:rtl/>
        </w:rPr>
        <w:t xml:space="preserve">לשיטתה, </w:t>
      </w:r>
      <w:r w:rsidRPr="00833423">
        <w:rPr>
          <w:rFonts w:ascii="Arial" w:hAnsi="Arial"/>
          <w:rtl/>
        </w:rPr>
        <w:t xml:space="preserve">מידת הפגיעה בערכים </w:t>
      </w:r>
      <w:r>
        <w:rPr>
          <w:rFonts w:ascii="Arial" w:hAnsi="Arial" w:hint="cs"/>
          <w:rtl/>
        </w:rPr>
        <w:t xml:space="preserve">המוגנים </w:t>
      </w:r>
      <w:r w:rsidRPr="00833423">
        <w:rPr>
          <w:rFonts w:ascii="Arial" w:hAnsi="Arial"/>
          <w:rtl/>
        </w:rPr>
        <w:t>היא גבוהה שכן האקדח היה טעון במחסנית עם כדורים</w:t>
      </w:r>
      <w:r>
        <w:rPr>
          <w:rFonts w:ascii="Arial" w:hAnsi="Arial" w:hint="cs"/>
          <w:rtl/>
        </w:rPr>
        <w:t xml:space="preserve"> והיה מונח בסמוך לחדר השינה של הנאשם.</w:t>
      </w:r>
      <w:r w:rsidRPr="00833423">
        <w:rPr>
          <w:rFonts w:ascii="Arial" w:hAnsi="Arial"/>
          <w:rtl/>
        </w:rPr>
        <w:t xml:space="preserve"> </w:t>
      </w:r>
      <w:r>
        <w:rPr>
          <w:rFonts w:ascii="Arial" w:hAnsi="Arial" w:hint="cs"/>
          <w:rtl/>
        </w:rPr>
        <w:t>ב"כ המאשימה סברה כי</w:t>
      </w:r>
      <w:r w:rsidRPr="00E735F5">
        <w:rPr>
          <w:rFonts w:ascii="Arial" w:hAnsi="Arial"/>
          <w:rtl/>
        </w:rPr>
        <w:t xml:space="preserve"> ראוי לקבוע מתחם</w:t>
      </w:r>
      <w:r>
        <w:rPr>
          <w:rFonts w:ascii="Arial" w:hAnsi="Arial" w:hint="cs"/>
          <w:rtl/>
        </w:rPr>
        <w:t xml:space="preserve"> עונש הולם</w:t>
      </w:r>
      <w:r w:rsidRPr="00E735F5">
        <w:rPr>
          <w:rFonts w:ascii="Arial" w:hAnsi="Arial"/>
          <w:rtl/>
        </w:rPr>
        <w:t xml:space="preserve"> </w:t>
      </w:r>
      <w:r>
        <w:rPr>
          <w:rFonts w:ascii="Arial" w:hAnsi="Arial" w:hint="cs"/>
          <w:rtl/>
        </w:rPr>
        <w:t xml:space="preserve">של 12 </w:t>
      </w:r>
      <w:r>
        <w:rPr>
          <w:rFonts w:ascii="Arial" w:hAnsi="Arial"/>
          <w:rtl/>
        </w:rPr>
        <w:t>–</w:t>
      </w:r>
      <w:r>
        <w:rPr>
          <w:rFonts w:ascii="Arial" w:hAnsi="Arial" w:hint="cs"/>
          <w:rtl/>
        </w:rPr>
        <w:t xml:space="preserve"> 20 חודשי מאסר בפועל, היא הפנתה בהקשר זה לתיקון 140 לחוק הקובע עונש מינימום לעבירות החזקת נשק, ועמדה על הטעמים שהביאו לתיקון החוק - בהם הנזק מן העבירות, העובדה כי מדובר בסוג עבירות נפוץ והפגיעה באמון הציבור ובביטחונו, והוסיפה כי בעת האחרונה נטיית בתי המשפט היא להחמיר בעבירות שעניינן החזקת נשק.</w:t>
      </w:r>
      <w:r w:rsidRPr="00E735F5">
        <w:rPr>
          <w:rFonts w:ascii="Arial" w:hAnsi="Arial"/>
          <w:rtl/>
        </w:rPr>
        <w:t xml:space="preserve"> </w:t>
      </w:r>
      <w:r>
        <w:rPr>
          <w:rFonts w:ascii="Arial" w:hAnsi="Arial" w:hint="cs"/>
          <w:rtl/>
        </w:rPr>
        <w:t xml:space="preserve">בעניין זה הטעימה כי מתחם העונש לו היא עותרת נמוך ממתחמי הענישה הנקבעים לרוב לעבירות של החזקת נשק טעון, זאת נוכח כך שהנאשם הורשע בשתי עבירות שהן סיוע לאחר ולא בעבירות המושלמות. </w:t>
      </w:r>
    </w:p>
    <w:p w14:paraId="2D5C1952" w14:textId="77777777" w:rsidR="00E320E5" w:rsidRDefault="00E320E5" w:rsidP="00E320E5">
      <w:pPr>
        <w:pStyle w:val="a9"/>
        <w:ind w:left="360"/>
        <w:jc w:val="both"/>
        <w:rPr>
          <w:rFonts w:ascii="Arial" w:hAnsi="Arial"/>
          <w:rtl/>
        </w:rPr>
      </w:pPr>
    </w:p>
    <w:p w14:paraId="41442F67" w14:textId="77777777" w:rsidR="00E320E5" w:rsidRDefault="00E320E5" w:rsidP="00E320E5">
      <w:pPr>
        <w:pStyle w:val="a9"/>
        <w:spacing w:line="360" w:lineRule="auto"/>
        <w:ind w:left="360"/>
        <w:jc w:val="both"/>
        <w:rPr>
          <w:rtl/>
        </w:rPr>
      </w:pPr>
      <w:r>
        <w:rPr>
          <w:rtl/>
        </w:rPr>
        <w:t>באשר לנסיבות שאינן קשורות בביצוע העביר</w:t>
      </w:r>
      <w:r>
        <w:rPr>
          <w:rFonts w:hint="cs"/>
          <w:rtl/>
        </w:rPr>
        <w:t>ות הפנתה התובעת לגילו של הנאשם ולכך שהוא נעדר עבר פלילי, והוסיפה כי הוא לא נשלח לשירות המבחן ולא עבר כל הליך טיפולי. עוד טענה, כי על פי פסיקת בית המשפט העליון</w:t>
      </w:r>
      <w:r>
        <w:rPr>
          <w:rtl/>
        </w:rPr>
        <w:t>,</w:t>
      </w:r>
      <w:r>
        <w:rPr>
          <w:rFonts w:hint="cs"/>
          <w:rtl/>
        </w:rPr>
        <w:t xml:space="preserve"> בעבירות מסוג זה </w:t>
      </w:r>
      <w:r>
        <w:rPr>
          <w:rtl/>
        </w:rPr>
        <w:t>יש לתת משקל גדול יותר לאינטרס הציבורי על פני נסיבות אישיות של נאשם</w:t>
      </w:r>
      <w:r>
        <w:rPr>
          <w:rFonts w:hint="cs"/>
          <w:rtl/>
        </w:rPr>
        <w:t>.</w:t>
      </w:r>
      <w:r>
        <w:rPr>
          <w:rtl/>
        </w:rPr>
        <w:t xml:space="preserve"> </w:t>
      </w:r>
      <w:r>
        <w:rPr>
          <w:rFonts w:hint="cs"/>
          <w:rtl/>
        </w:rPr>
        <w:t>בתמיכה לכלל טיעוניה הפנתה התובעת לשורה של פסקי דין, ובסוף דבריה ביקשה להעמיד את עונשו של הנאשם בתחתית המתחם לו עתרה, ולהטיל עליו מאסר בפועל שלא יפחת מ- 12 חודשי מאסר, לצד מאסר על תנאי וקנס.</w:t>
      </w:r>
    </w:p>
    <w:p w14:paraId="6FDB5E17" w14:textId="77777777" w:rsidR="00E320E5" w:rsidRDefault="00E320E5" w:rsidP="00E320E5">
      <w:pPr>
        <w:pStyle w:val="a9"/>
        <w:spacing w:line="360" w:lineRule="auto"/>
        <w:ind w:left="360"/>
        <w:jc w:val="both"/>
        <w:rPr>
          <w:rtl/>
        </w:rPr>
      </w:pPr>
    </w:p>
    <w:p w14:paraId="4DB58E71" w14:textId="77777777" w:rsidR="00E320E5" w:rsidRDefault="00E320E5" w:rsidP="00E320E5">
      <w:pPr>
        <w:rPr>
          <w:rFonts w:ascii="Arial" w:hAnsi="Arial"/>
          <w:b/>
          <w:bCs/>
          <w:sz w:val="26"/>
          <w:szCs w:val="26"/>
          <w:rtl/>
        </w:rPr>
      </w:pPr>
    </w:p>
    <w:p w14:paraId="49266914" w14:textId="77777777" w:rsidR="00E320E5" w:rsidRPr="00884757" w:rsidRDefault="00E320E5" w:rsidP="00E320E5">
      <w:pPr>
        <w:rPr>
          <w:rFonts w:ascii="Arial" w:hAnsi="Arial"/>
          <w:b/>
          <w:bCs/>
          <w:sz w:val="28"/>
          <w:szCs w:val="28"/>
          <w:u w:val="single"/>
          <w:rtl/>
        </w:rPr>
      </w:pPr>
      <w:r w:rsidRPr="00884757">
        <w:rPr>
          <w:rFonts w:ascii="Arial" w:hAnsi="Arial" w:hint="cs"/>
          <w:b/>
          <w:bCs/>
          <w:sz w:val="28"/>
          <w:szCs w:val="28"/>
          <w:u w:val="single"/>
          <w:rtl/>
        </w:rPr>
        <w:t>טיעוני הסנגור</w:t>
      </w:r>
    </w:p>
    <w:p w14:paraId="619A10E9" w14:textId="77777777" w:rsidR="00E320E5" w:rsidRDefault="00E320E5" w:rsidP="00E320E5">
      <w:pPr>
        <w:rPr>
          <w:rFonts w:ascii="Arial" w:hAnsi="Arial"/>
          <w:b/>
          <w:bCs/>
          <w:sz w:val="26"/>
          <w:szCs w:val="26"/>
          <w:rtl/>
        </w:rPr>
      </w:pPr>
    </w:p>
    <w:p w14:paraId="6E87A304" w14:textId="77777777" w:rsidR="00E320E5" w:rsidRPr="00C42C57" w:rsidRDefault="00E320E5" w:rsidP="00E320E5">
      <w:pPr>
        <w:pStyle w:val="a9"/>
        <w:numPr>
          <w:ilvl w:val="0"/>
          <w:numId w:val="1"/>
        </w:numPr>
        <w:spacing w:line="360" w:lineRule="auto"/>
        <w:ind w:left="360"/>
        <w:jc w:val="both"/>
        <w:rPr>
          <w:rFonts w:ascii="Arial" w:hAnsi="Arial"/>
        </w:rPr>
      </w:pPr>
      <w:r>
        <w:rPr>
          <w:rFonts w:hint="cs"/>
          <w:rtl/>
        </w:rPr>
        <w:t xml:space="preserve">ב"כ הנאשם סקר בתחילת דבריו את נסיבותיו האישיות של הנאשם. הוא הפנה לגילו הצעיר, וטען כי הנאשם סיים 12 שנות לימוד, לאחר מכן עבד בעבודות מזדמנות, ואט אט התקדם עד </w:t>
      </w:r>
      <w:r>
        <w:rPr>
          <w:rFonts w:hint="cs"/>
          <w:rtl/>
        </w:rPr>
        <w:lastRenderedPageBreak/>
        <w:t xml:space="preserve">שבסופו של יום הפך להיות הטבח הראשי של המסעדה במדיקל סנטר, בה עבד כשנה וחצי עד למעצרו. ציין כי הנאשם בן למשפחה ברוכת ילדים בת 8 נפשות; אביו עובד נקיון ואמו נמצאת במעקב פסיכיאטרי ומעת לעת אף מתאשפזת לצורך ייצוב מצבה. הוא הדגיש כי לנאשם אין כל עבר פלילי ואף לא תיקים פתוחים, והטעים כי הנאשם הודה בהזדמנות ראשונה, מנע בכך את הבאת העדים וחסך זמן שיפוטי. </w:t>
      </w:r>
    </w:p>
    <w:p w14:paraId="6485D1A1" w14:textId="77777777" w:rsidR="00E320E5" w:rsidRDefault="00E320E5" w:rsidP="00E320E5">
      <w:pPr>
        <w:pStyle w:val="a9"/>
        <w:spacing w:line="360" w:lineRule="auto"/>
        <w:ind w:left="360"/>
        <w:jc w:val="both"/>
        <w:rPr>
          <w:rtl/>
        </w:rPr>
      </w:pPr>
      <w:r>
        <w:rPr>
          <w:rFonts w:hint="cs"/>
          <w:rtl/>
        </w:rPr>
        <w:t>הסנגור הדגיש כי הנאשם הורשע בעבירות סיוע שעונשן מחצית מהעונש בגין העבירות המושלמות. הוא הפנה לשורה ארוכה למדי של גזרי דין שהוטלו על מי שעברו עבירות דומות או אף חמורות יותר, ונדונו לעונשי מאסר לריצוי בעבודות שירות. הוא הפנה גם למקרים בהם הוטלו 12 חודשי מאסר בפועל על מי שביצעו את העבירות המלאות בעצמם, וטען כי ביישום לשונו הפשוטה של  החוק עונשו של הנאשם צריך להיות מחצית מהעונש שהוטל במקרים אלה. ב"כ הנאשם ציין כי מצבם הכלכלי הקשה של הנאשם ושל הוריו ואת שהותוהלא קצרה של הנאשם במעצר, וביקש נוכח כך להימנע מהטלת קנס.</w:t>
      </w:r>
    </w:p>
    <w:p w14:paraId="7CC7ED05" w14:textId="77777777" w:rsidR="00E320E5" w:rsidRDefault="00E320E5" w:rsidP="00E320E5">
      <w:pPr>
        <w:pStyle w:val="a9"/>
        <w:spacing w:line="360" w:lineRule="auto"/>
        <w:ind w:left="360"/>
        <w:jc w:val="both"/>
        <w:rPr>
          <w:rtl/>
        </w:rPr>
      </w:pPr>
    </w:p>
    <w:p w14:paraId="1CDCC95C" w14:textId="77777777" w:rsidR="00E320E5" w:rsidRPr="00884757" w:rsidRDefault="00E320E5" w:rsidP="00E320E5">
      <w:pPr>
        <w:rPr>
          <w:rFonts w:ascii="Arial" w:hAnsi="Arial"/>
          <w:b/>
          <w:bCs/>
          <w:sz w:val="28"/>
          <w:szCs w:val="28"/>
          <w:u w:val="single"/>
          <w:rtl/>
        </w:rPr>
      </w:pPr>
      <w:r w:rsidRPr="00884757">
        <w:rPr>
          <w:rFonts w:ascii="Arial" w:hAnsi="Arial" w:hint="cs"/>
          <w:b/>
          <w:bCs/>
          <w:sz w:val="28"/>
          <w:szCs w:val="28"/>
          <w:u w:val="single"/>
          <w:rtl/>
        </w:rPr>
        <w:t>דברי הנאשם</w:t>
      </w:r>
    </w:p>
    <w:p w14:paraId="5D25A1AA" w14:textId="77777777" w:rsidR="00E320E5" w:rsidRPr="001634B6" w:rsidRDefault="00E320E5" w:rsidP="00E320E5">
      <w:pPr>
        <w:rPr>
          <w:rFonts w:ascii="Arial" w:hAnsi="Arial"/>
          <w:sz w:val="28"/>
          <w:szCs w:val="28"/>
          <w:u w:val="single"/>
          <w:rtl/>
        </w:rPr>
      </w:pPr>
    </w:p>
    <w:p w14:paraId="07B7EF65" w14:textId="77777777" w:rsidR="00E320E5" w:rsidRDefault="00E320E5" w:rsidP="00E320E5">
      <w:pPr>
        <w:pStyle w:val="a9"/>
        <w:numPr>
          <w:ilvl w:val="0"/>
          <w:numId w:val="1"/>
        </w:numPr>
        <w:spacing w:line="360" w:lineRule="auto"/>
        <w:ind w:left="360"/>
        <w:jc w:val="both"/>
      </w:pPr>
      <w:r>
        <w:rPr>
          <w:rFonts w:hint="cs"/>
          <w:rtl/>
        </w:rPr>
        <w:t>הנאשם בדברו האחרון אמר כי הוא מצטער על מעשיו והוא רוצה לחזור לעבודתו. הוא הוסיף כי זו הפעם הראשונה שהוא עצור ולכן קשה לו מאוד במעצר; ציין כי אמו חולה, המצב הכלכלי בבית לא טוב והוא מתגעגע מאוד למשפחתו. הוא הוסיף כי לא יחזור שוב על הטעות שעשה.</w:t>
      </w:r>
    </w:p>
    <w:p w14:paraId="3667BA1A" w14:textId="77777777" w:rsidR="00E320E5" w:rsidRDefault="00E320E5" w:rsidP="00E320E5">
      <w:pPr>
        <w:pStyle w:val="a9"/>
        <w:spacing w:line="360" w:lineRule="auto"/>
        <w:jc w:val="both"/>
        <w:rPr>
          <w:rtl/>
        </w:rPr>
      </w:pPr>
    </w:p>
    <w:p w14:paraId="445B4B11" w14:textId="77777777" w:rsidR="00E320E5" w:rsidRPr="00961650" w:rsidRDefault="00E320E5" w:rsidP="00E320E5">
      <w:pPr>
        <w:pStyle w:val="a9"/>
        <w:jc w:val="both"/>
        <w:rPr>
          <w:rtl/>
        </w:rPr>
      </w:pPr>
    </w:p>
    <w:p w14:paraId="7D5B99EC" w14:textId="77777777" w:rsidR="00E320E5" w:rsidRDefault="00E320E5" w:rsidP="00E320E5">
      <w:pPr>
        <w:spacing w:line="480" w:lineRule="auto"/>
        <w:jc w:val="both"/>
        <w:rPr>
          <w:rFonts w:ascii="Arial" w:hAnsi="Arial"/>
          <w:b/>
          <w:bCs/>
          <w:sz w:val="32"/>
          <w:szCs w:val="32"/>
          <w:u w:val="single"/>
        </w:rPr>
      </w:pPr>
      <w:r>
        <w:rPr>
          <w:rFonts w:ascii="Arial" w:hAnsi="Arial"/>
          <w:b/>
          <w:bCs/>
          <w:sz w:val="32"/>
          <w:szCs w:val="32"/>
          <w:u w:val="single"/>
          <w:rtl/>
        </w:rPr>
        <w:t>דיון והכרעה</w:t>
      </w:r>
    </w:p>
    <w:p w14:paraId="3E2CEF44" w14:textId="77777777" w:rsidR="00E320E5" w:rsidRDefault="00E320E5" w:rsidP="00E320E5">
      <w:pPr>
        <w:spacing w:line="480" w:lineRule="auto"/>
        <w:jc w:val="both"/>
        <w:rPr>
          <w:rFonts w:ascii="Arial" w:hAnsi="Arial"/>
          <w:b/>
          <w:bCs/>
          <w:u w:val="single"/>
          <w:rtl/>
        </w:rPr>
      </w:pPr>
      <w:r>
        <w:rPr>
          <w:rFonts w:ascii="Arial" w:hAnsi="Arial"/>
          <w:b/>
          <w:bCs/>
          <w:u w:val="single"/>
          <w:rtl/>
        </w:rPr>
        <w:t>קביעת מתחם העונש ההולם</w:t>
      </w:r>
    </w:p>
    <w:p w14:paraId="5CE3D958" w14:textId="77777777" w:rsidR="00E320E5" w:rsidRDefault="00E320E5" w:rsidP="00E320E5">
      <w:pPr>
        <w:pStyle w:val="a9"/>
        <w:numPr>
          <w:ilvl w:val="0"/>
          <w:numId w:val="1"/>
        </w:numPr>
        <w:spacing w:line="360" w:lineRule="auto"/>
        <w:ind w:left="360"/>
        <w:jc w:val="both"/>
        <w:rPr>
          <w:rFonts w:ascii="David" w:hAnsi="David"/>
          <w:rtl/>
        </w:rPr>
      </w:pPr>
      <w:r>
        <w:rPr>
          <w:rFonts w:ascii="David" w:hAnsi="David"/>
          <w:rtl/>
        </w:rPr>
        <w:t>קביעת מתחם העונש לעבירות שביצע הנאשם היא בהתאם לעיקרון המנחה בענישה – שהוא עקרון ההלימה - קיומו של יחס הולם בין חומרת העבירה בנסיבותיו ומידת אשמו של הנאשם, לבין סוג העונש ומידת העונש שיוטל עליו. על מנת לקבוע את מתחם העונש ההולם, על בית המשפט להתחשב בערכים החברתיים שנפגעו, במידת הפגיעה בהם, במדיניות הענישה הנוהגת ובנסיבות הקשורות בביצוע העבירה.</w:t>
      </w:r>
    </w:p>
    <w:p w14:paraId="2C15F669" w14:textId="77777777" w:rsidR="00E320E5" w:rsidRDefault="00E320E5" w:rsidP="00E320E5">
      <w:pPr>
        <w:pStyle w:val="a9"/>
        <w:jc w:val="both"/>
        <w:rPr>
          <w:rFonts w:ascii="David" w:hAnsi="David"/>
        </w:rPr>
      </w:pPr>
    </w:p>
    <w:p w14:paraId="619AF422" w14:textId="77777777" w:rsidR="00E320E5" w:rsidRDefault="00E320E5" w:rsidP="00E320E5">
      <w:pPr>
        <w:pStyle w:val="a9"/>
        <w:numPr>
          <w:ilvl w:val="0"/>
          <w:numId w:val="1"/>
        </w:numPr>
        <w:spacing w:line="360" w:lineRule="auto"/>
        <w:ind w:left="360"/>
        <w:jc w:val="both"/>
        <w:rPr>
          <w:rFonts w:ascii="David" w:hAnsi="David"/>
        </w:rPr>
      </w:pPr>
      <w:r>
        <w:rPr>
          <w:rFonts w:ascii="David" w:hAnsi="David"/>
          <w:rtl/>
        </w:rPr>
        <w:t xml:space="preserve">הערכים </w:t>
      </w:r>
      <w:r>
        <w:rPr>
          <w:rFonts w:hint="cs"/>
          <w:rtl/>
        </w:rPr>
        <w:t xml:space="preserve">החברתיים </w:t>
      </w:r>
      <w:r>
        <w:rPr>
          <w:rtl/>
        </w:rPr>
        <w:t>המוגנים</w:t>
      </w:r>
      <w:r>
        <w:rPr>
          <w:rFonts w:ascii="David" w:hAnsi="David"/>
          <w:rtl/>
        </w:rPr>
        <w:t xml:space="preserve"> העומדים ביסוד </w:t>
      </w:r>
      <w:r>
        <w:rPr>
          <w:rFonts w:ascii="David" w:hAnsi="David" w:hint="cs"/>
          <w:rtl/>
        </w:rPr>
        <w:t>העבירות שעניינן החזקה בלתי חוקית בנשק הם שמירה על בטחון הציבור ושלומו ועל הסדר הציבורי.</w:t>
      </w:r>
    </w:p>
    <w:p w14:paraId="10949BF7" w14:textId="77777777" w:rsidR="00E320E5" w:rsidRPr="00350C35" w:rsidRDefault="00E320E5" w:rsidP="00E320E5">
      <w:pPr>
        <w:pStyle w:val="a9"/>
        <w:rPr>
          <w:rFonts w:ascii="David" w:hAnsi="David"/>
          <w:rtl/>
        </w:rPr>
      </w:pPr>
    </w:p>
    <w:p w14:paraId="302FFD84" w14:textId="77777777" w:rsidR="00E320E5" w:rsidRDefault="00E320E5" w:rsidP="00E320E5">
      <w:pPr>
        <w:pStyle w:val="a9"/>
        <w:numPr>
          <w:ilvl w:val="0"/>
          <w:numId w:val="1"/>
        </w:numPr>
        <w:spacing w:line="360" w:lineRule="auto"/>
        <w:ind w:left="360"/>
        <w:jc w:val="both"/>
        <w:rPr>
          <w:rFonts w:ascii="David" w:hAnsi="David"/>
        </w:rPr>
      </w:pPr>
      <w:r>
        <w:rPr>
          <w:rFonts w:ascii="David" w:hAnsi="David" w:hint="cs"/>
          <w:rtl/>
        </w:rPr>
        <w:t xml:space="preserve">בתי המשפט חזרו והתריעו כי עבירות הנשק הן קשות והרסניות תוך שהדגישו את פוטנציאל הסיכון החמור הטמון בהן לפגיעה בשלום הציבור ובטחונו (למשל: </w:t>
      </w:r>
      <w:hyperlink r:id="rId16" w:history="1">
        <w:r w:rsidR="00DB1CB4" w:rsidRPr="00DB1CB4">
          <w:rPr>
            <w:rFonts w:ascii="David" w:hAnsi="David"/>
            <w:b/>
            <w:bCs/>
            <w:color w:val="0000FF"/>
            <w:u w:val="single"/>
            <w:rtl/>
          </w:rPr>
          <w:t>ע"פ 2733/20</w:t>
        </w:r>
      </w:hyperlink>
      <w:r w:rsidRPr="009E0D4B">
        <w:rPr>
          <w:rFonts w:ascii="David" w:hAnsi="David" w:hint="cs"/>
          <w:b/>
          <w:bCs/>
          <w:rtl/>
        </w:rPr>
        <w:t xml:space="preserve"> אבו זיאד נ' מדינת ישראל</w:t>
      </w:r>
      <w:r>
        <w:rPr>
          <w:rFonts w:ascii="David" w:hAnsi="David" w:hint="cs"/>
          <w:rtl/>
        </w:rPr>
        <w:t xml:space="preserve"> [נבו] (24.10.21). הוטעם בפסיקה כי עבירות הנשק לסוגיהן הפכו למכת מדינה (</w:t>
      </w:r>
      <w:hyperlink r:id="rId17" w:history="1">
        <w:r w:rsidR="00DB1CB4" w:rsidRPr="00DB1CB4">
          <w:rPr>
            <w:rFonts w:ascii="David" w:hAnsi="David"/>
            <w:b/>
            <w:bCs/>
            <w:color w:val="0000FF"/>
            <w:u w:val="single"/>
            <w:rtl/>
          </w:rPr>
          <w:t>ע"פ 5807/20</w:t>
        </w:r>
      </w:hyperlink>
      <w:r w:rsidRPr="00530A56">
        <w:rPr>
          <w:rFonts w:ascii="David" w:hAnsi="David" w:hint="cs"/>
          <w:b/>
          <w:bCs/>
          <w:rtl/>
        </w:rPr>
        <w:t xml:space="preserve"> שיבלי נ' מדינת ישראל</w:t>
      </w:r>
      <w:r>
        <w:rPr>
          <w:rFonts w:ascii="David" w:hAnsi="David" w:hint="cs"/>
          <w:rtl/>
        </w:rPr>
        <w:t xml:space="preserve"> [נבו] (30.12.20)), וכי החזקת נשק שלא כדין מהווה תשתית לביצוע עבירות אלימות קשות, זמינותו מעודדת את השימוש בו אשר בתורו יביא להחרפת התוצאות (</w:t>
      </w:r>
      <w:hyperlink r:id="rId18" w:history="1">
        <w:r w:rsidR="00DB1CB4" w:rsidRPr="00DB1CB4">
          <w:rPr>
            <w:rFonts w:ascii="David" w:hAnsi="David"/>
            <w:b/>
            <w:bCs/>
            <w:color w:val="0000FF"/>
            <w:u w:val="single"/>
            <w:rtl/>
          </w:rPr>
          <w:t>ע"פ 4406/19</w:t>
        </w:r>
      </w:hyperlink>
      <w:r w:rsidRPr="00481697">
        <w:rPr>
          <w:rFonts w:ascii="David" w:hAnsi="David" w:hint="cs"/>
          <w:b/>
          <w:bCs/>
          <w:rtl/>
        </w:rPr>
        <w:t xml:space="preserve"> מדינת ישראל נ' יונס סובח</w:t>
      </w:r>
      <w:r>
        <w:rPr>
          <w:rFonts w:ascii="David" w:hAnsi="David" w:hint="cs"/>
          <w:rtl/>
        </w:rPr>
        <w:t xml:space="preserve"> [נבו] (5.11.19</w:t>
      </w:r>
      <w:r>
        <w:rPr>
          <w:rFonts w:ascii="David" w:hAnsi="David" w:hint="cs"/>
          <w:b/>
          <w:bCs/>
          <w:rtl/>
        </w:rPr>
        <w:t>)</w:t>
      </w:r>
      <w:r w:rsidRPr="00FC2939">
        <w:rPr>
          <w:rFonts w:ascii="David" w:hAnsi="David" w:hint="cs"/>
          <w:rtl/>
        </w:rPr>
        <w:t>;</w:t>
      </w:r>
      <w:r>
        <w:rPr>
          <w:rFonts w:ascii="David" w:hAnsi="David" w:hint="cs"/>
          <w:b/>
          <w:bCs/>
          <w:rtl/>
        </w:rPr>
        <w:t xml:space="preserve"> </w:t>
      </w:r>
      <w:hyperlink r:id="rId19" w:history="1">
        <w:r w:rsidR="00DB1CB4" w:rsidRPr="00DB1CB4">
          <w:rPr>
            <w:rFonts w:ascii="David" w:hAnsi="David"/>
            <w:b/>
            <w:bCs/>
            <w:color w:val="0000FF"/>
            <w:u w:val="single"/>
            <w:rtl/>
          </w:rPr>
          <w:t>ע"פ 2482/22</w:t>
        </w:r>
      </w:hyperlink>
      <w:r w:rsidRPr="00FB6FAF">
        <w:rPr>
          <w:rFonts w:ascii="David" w:hAnsi="David" w:hint="cs"/>
          <w:b/>
          <w:bCs/>
          <w:rtl/>
        </w:rPr>
        <w:t xml:space="preserve"> מדינת ישראל נ' קדורה</w:t>
      </w:r>
      <w:r>
        <w:rPr>
          <w:rFonts w:ascii="David" w:hAnsi="David" w:hint="cs"/>
          <w:rtl/>
        </w:rPr>
        <w:t xml:space="preserve"> [נבו] (14.4.22)). על כן נפסק לא אחת, כי הצורך לבער מקרבנו את תופעת החזקת כלי הנשק הבלתי חוקיים הוא אינטרס ציבורי מן המעלה הראשונה המצדיק הרתמות של בתי המשפט על דרך של הטלת ענישה מחמירה ומרתיעה, לרבות על עבירות שעניינן הוא החזקה או רכישת נשק שלא כדין (</w:t>
      </w:r>
      <w:r w:rsidRPr="00481697">
        <w:rPr>
          <w:rFonts w:ascii="David" w:hAnsi="David" w:hint="cs"/>
          <w:b/>
          <w:bCs/>
          <w:rtl/>
        </w:rPr>
        <w:t>ע"פ יונס סובח</w:t>
      </w:r>
      <w:r>
        <w:rPr>
          <w:rFonts w:ascii="David" w:hAnsi="David" w:hint="cs"/>
          <w:rtl/>
        </w:rPr>
        <w:t xml:space="preserve"> </w:t>
      </w:r>
      <w:r w:rsidRPr="00FC2939">
        <w:rPr>
          <w:rFonts w:ascii="David" w:hAnsi="David" w:hint="cs"/>
          <w:b/>
          <w:bCs/>
          <w:rtl/>
        </w:rPr>
        <w:t>שלעיל</w:t>
      </w:r>
      <w:r>
        <w:rPr>
          <w:rFonts w:ascii="David" w:hAnsi="David" w:hint="cs"/>
          <w:rtl/>
        </w:rPr>
        <w:t>); הודגש המשקל המרכזי שיש לתת לשיקולי ההרתעה (</w:t>
      </w:r>
      <w:hyperlink r:id="rId20" w:history="1">
        <w:r w:rsidR="00DB1CB4" w:rsidRPr="00DB1CB4">
          <w:rPr>
            <w:rFonts w:ascii="David" w:hAnsi="David"/>
            <w:b/>
            <w:bCs/>
            <w:color w:val="0000FF"/>
            <w:u w:val="single"/>
            <w:rtl/>
          </w:rPr>
          <w:t>ע"פ 1695/22</w:t>
        </w:r>
      </w:hyperlink>
      <w:r w:rsidRPr="00E8109C">
        <w:rPr>
          <w:rFonts w:ascii="David" w:hAnsi="David" w:hint="cs"/>
          <w:b/>
          <w:bCs/>
          <w:rtl/>
        </w:rPr>
        <w:t xml:space="preserve"> מדינת ישראל נ' ביאדסה</w:t>
      </w:r>
      <w:r>
        <w:rPr>
          <w:rFonts w:ascii="David" w:hAnsi="David" w:hint="cs"/>
          <w:rtl/>
        </w:rPr>
        <w:t xml:space="preserve"> [נבו] (10.5.22) והובהר כי מדיניות הענישה נמצאת במגמת החמרה (</w:t>
      </w:r>
      <w:hyperlink r:id="rId21" w:history="1">
        <w:r w:rsidR="00DB1CB4" w:rsidRPr="00DB1CB4">
          <w:rPr>
            <w:rFonts w:ascii="David" w:hAnsi="David"/>
            <w:b/>
            <w:bCs/>
            <w:color w:val="0000FF"/>
            <w:u w:val="single"/>
            <w:rtl/>
          </w:rPr>
          <w:t>ע"פ 7595/19</w:t>
        </w:r>
      </w:hyperlink>
      <w:r w:rsidRPr="00530A56">
        <w:rPr>
          <w:rFonts w:ascii="David" w:hAnsi="David" w:hint="cs"/>
          <w:b/>
          <w:bCs/>
          <w:rtl/>
        </w:rPr>
        <w:t xml:space="preserve"> רביע סגים נ' מדינת ישראל </w:t>
      </w:r>
      <w:r>
        <w:rPr>
          <w:rFonts w:ascii="David" w:hAnsi="David" w:hint="cs"/>
          <w:rtl/>
        </w:rPr>
        <w:t xml:space="preserve">[נבו] (22.11.20)).  </w:t>
      </w:r>
    </w:p>
    <w:p w14:paraId="3C1D7FEE" w14:textId="77777777" w:rsidR="00E320E5" w:rsidRDefault="00E320E5" w:rsidP="00E320E5">
      <w:pPr>
        <w:jc w:val="both"/>
        <w:rPr>
          <w:rFonts w:ascii="David" w:hAnsi="David"/>
        </w:rPr>
      </w:pPr>
    </w:p>
    <w:p w14:paraId="52C1922B" w14:textId="77777777" w:rsidR="00E320E5" w:rsidRDefault="00E320E5" w:rsidP="00E320E5">
      <w:pPr>
        <w:pStyle w:val="a9"/>
        <w:numPr>
          <w:ilvl w:val="0"/>
          <w:numId w:val="1"/>
        </w:numPr>
        <w:spacing w:line="360" w:lineRule="auto"/>
        <w:ind w:left="360"/>
        <w:jc w:val="both"/>
        <w:rPr>
          <w:rFonts w:ascii="David" w:hAnsi="David"/>
        </w:rPr>
      </w:pPr>
      <w:r>
        <w:rPr>
          <w:rFonts w:ascii="David" w:hAnsi="David"/>
          <w:b/>
          <w:bCs/>
          <w:rtl/>
        </w:rPr>
        <w:t>באשר לנסיבות ביצוע העבירות</w:t>
      </w:r>
      <w:r>
        <w:rPr>
          <w:rFonts w:ascii="David" w:hAnsi="David"/>
          <w:rtl/>
        </w:rPr>
        <w:t>.</w:t>
      </w:r>
      <w:r>
        <w:rPr>
          <w:rFonts w:ascii="David" w:hAnsi="David" w:hint="cs"/>
          <w:rtl/>
        </w:rPr>
        <w:t xml:space="preserve"> האקדח והמחסנית שהנאשם סייע בהחזקתם הוחזקו על מדף בסמוך לחדש השינה שלו, כך שהתקיים פוטנציאל של הגעה מהירה אל הנשק לשם שימוש אסור בו בטווח הזמן המיידי; בנוסף, הנשק היה טעון במחסנית עם כדורים, מה שמעצים אף יותר את פוטנציאל השימוש המהיר בו. דומני כי מבחינת פוטנציאל הנזק הגלום בעבירות שביצע הנאשם, לא ניתן לייחס משמעות רבה לכך שהנאשם אך סייע להחזקת הנשק. שכן, מאחר והנשק הוחזק בצמוד לחדרו הרי שהייתה לו שליטה מלאה עליו שאפשרה לו עקרונית לעשות בו שימוש.</w:t>
      </w:r>
    </w:p>
    <w:p w14:paraId="67116B1D" w14:textId="77777777" w:rsidR="00E320E5" w:rsidRPr="00350C35" w:rsidRDefault="00E320E5" w:rsidP="00E320E5">
      <w:pPr>
        <w:pStyle w:val="a9"/>
        <w:rPr>
          <w:rFonts w:ascii="David" w:hAnsi="David"/>
          <w:rtl/>
        </w:rPr>
      </w:pPr>
    </w:p>
    <w:p w14:paraId="22471C2A" w14:textId="77777777" w:rsidR="00E320E5" w:rsidRDefault="00E320E5" w:rsidP="00E320E5">
      <w:pPr>
        <w:pStyle w:val="a9"/>
        <w:spacing w:line="360" w:lineRule="auto"/>
        <w:ind w:left="360"/>
        <w:jc w:val="both"/>
        <w:rPr>
          <w:rFonts w:ascii="David" w:hAnsi="David"/>
          <w:rtl/>
        </w:rPr>
      </w:pPr>
      <w:r>
        <w:rPr>
          <w:rFonts w:ascii="David" w:hAnsi="David" w:hint="cs"/>
          <w:rtl/>
        </w:rPr>
        <w:t xml:space="preserve">כתב האישום אינו מציין את זהות האדם שלו סייע הנאשם להחזיק את הנשק; גם לא ברור ממנו במשך כמה זמן סייע הנאשם בהחזקתו; על אלה אוסיף כי לא צוינה תכנית קונקרטית לשימוש בנשק, בוודאי לא כזו הידועה לנאשם. דברים אלה צריכים להיזקף במידת מה לטובת הנאשם בעת קביעת מתחם העונש ההולם, אם כי אין להתעלם מכך שעבירות שעניינן סיוע להחזקת נשק מחייבות מידה מסוימת של תכנון ועשיה. מכל מקום, אני סבור כי ההתחשבות באלה כדי להקל עם הנאשם בקביעת מתחם העונש ההולם צריכה להיות מינימלית; שכן הצורך עליו עמדו בתי המשפט - להילחם ללא פשרות בעבירות אלה - אינו עומד בהלימה עם תפישה סלחנית יתר על המידה כלפי התופעה כולה </w:t>
      </w:r>
      <w:r>
        <w:rPr>
          <w:rFonts w:ascii="David" w:hAnsi="David"/>
          <w:rtl/>
        </w:rPr>
        <w:t>–</w:t>
      </w:r>
      <w:r>
        <w:rPr>
          <w:rFonts w:ascii="David" w:hAnsi="David" w:hint="cs"/>
          <w:rtl/>
        </w:rPr>
        <w:t xml:space="preserve"> גם כאשר מדובר במי שסייעו בהחזקת נשק ועשו זאת לזמן קצר.</w:t>
      </w:r>
    </w:p>
    <w:p w14:paraId="1D104EED" w14:textId="77777777" w:rsidR="00E320E5" w:rsidRDefault="00E320E5" w:rsidP="00E320E5">
      <w:pPr>
        <w:ind w:left="360"/>
        <w:jc w:val="both"/>
        <w:rPr>
          <w:rFonts w:ascii="David" w:hAnsi="David"/>
        </w:rPr>
      </w:pPr>
    </w:p>
    <w:p w14:paraId="15B0A182" w14:textId="77777777" w:rsidR="00E320E5" w:rsidRDefault="00E320E5" w:rsidP="00E320E5">
      <w:pPr>
        <w:pStyle w:val="a9"/>
        <w:numPr>
          <w:ilvl w:val="0"/>
          <w:numId w:val="1"/>
        </w:numPr>
        <w:spacing w:line="360" w:lineRule="auto"/>
        <w:ind w:left="360"/>
        <w:jc w:val="both"/>
        <w:rPr>
          <w:rFonts w:ascii="David" w:hAnsi="David"/>
        </w:rPr>
      </w:pPr>
      <w:r>
        <w:rPr>
          <w:rFonts w:ascii="David" w:hAnsi="David"/>
          <w:rtl/>
        </w:rPr>
        <w:t xml:space="preserve">בהתחשב בכל אלה אני סבור כי מידת הפגיעה בערכים המוגנים היא </w:t>
      </w:r>
      <w:r>
        <w:rPr>
          <w:rFonts w:ascii="David" w:hAnsi="David" w:hint="cs"/>
          <w:rtl/>
        </w:rPr>
        <w:t>ממשית</w:t>
      </w:r>
      <w:r>
        <w:rPr>
          <w:rFonts w:ascii="David" w:hAnsi="David"/>
          <w:rtl/>
        </w:rPr>
        <w:t>.</w:t>
      </w:r>
    </w:p>
    <w:p w14:paraId="3430AFAD" w14:textId="77777777" w:rsidR="00E320E5" w:rsidRDefault="00E320E5" w:rsidP="00E320E5">
      <w:pPr>
        <w:pStyle w:val="a9"/>
        <w:ind w:left="360"/>
        <w:jc w:val="both"/>
        <w:rPr>
          <w:rFonts w:ascii="David" w:hAnsi="David"/>
        </w:rPr>
      </w:pPr>
    </w:p>
    <w:p w14:paraId="4AD04335" w14:textId="77777777" w:rsidR="00E320E5" w:rsidRDefault="00E320E5" w:rsidP="00E320E5">
      <w:pPr>
        <w:pStyle w:val="a9"/>
        <w:numPr>
          <w:ilvl w:val="0"/>
          <w:numId w:val="1"/>
        </w:numPr>
        <w:spacing w:line="360" w:lineRule="auto"/>
        <w:ind w:left="360"/>
        <w:jc w:val="both"/>
        <w:rPr>
          <w:rFonts w:ascii="Arial" w:hAnsi="Arial"/>
        </w:rPr>
      </w:pPr>
      <w:r>
        <w:rPr>
          <w:rFonts w:ascii="Arial" w:hAnsi="Arial" w:hint="cs"/>
          <w:rtl/>
        </w:rPr>
        <w:t xml:space="preserve">בקביעת </w:t>
      </w:r>
      <w:r w:rsidRPr="00C76A45">
        <w:rPr>
          <w:rFonts w:ascii="David" w:hAnsi="David" w:hint="cs"/>
          <w:rtl/>
        </w:rPr>
        <w:t>מתחם</w:t>
      </w:r>
      <w:r>
        <w:rPr>
          <w:rFonts w:ascii="Arial" w:hAnsi="Arial" w:hint="cs"/>
          <w:rtl/>
        </w:rPr>
        <w:t xml:space="preserve"> העונש ההולם יש גם לתת את הדעת לכך כי מגמת ההחמרה הקיימת בעבירות נשק באה גם לידי ביטוי בתיקון 140 ל</w:t>
      </w:r>
      <w:hyperlink r:id="rId22" w:history="1">
        <w:r w:rsidR="00DB1CB4" w:rsidRPr="00DB1CB4">
          <w:rPr>
            <w:rFonts w:ascii="Arial" w:hAnsi="Arial"/>
            <w:color w:val="0000FF"/>
            <w:u w:val="single"/>
            <w:rtl/>
          </w:rPr>
          <w:t>חוק העונשין</w:t>
        </w:r>
      </w:hyperlink>
      <w:r>
        <w:rPr>
          <w:rFonts w:ascii="Arial" w:hAnsi="Arial" w:hint="cs"/>
          <w:rtl/>
        </w:rPr>
        <w:t xml:space="preserve"> (הוראת שעה) מדצמבר 2021, אשר עיגן בחוק עונשי מינימום לעבירות אלה וקבע כי העונש שיש להטיל על עברייני נשק לא יפחת מרבע העונש המרבי שנקבע לאותה עבירה, אלא במקרים מיוחדים בהם ימצא בית המשפט להקל; תיקון החוק הוא חלק מהתהליך ההדרגתי של ההחמרה בענישה בסוג העבירות (למשל: </w:t>
      </w:r>
      <w:hyperlink r:id="rId23" w:history="1">
        <w:r w:rsidR="00DB1CB4" w:rsidRPr="00DB1CB4">
          <w:rPr>
            <w:rFonts w:ascii="Arial" w:hAnsi="Arial"/>
            <w:b/>
            <w:bCs/>
            <w:color w:val="0000FF"/>
            <w:u w:val="single"/>
            <w:rtl/>
          </w:rPr>
          <w:t>ע"פ 1693/23</w:t>
        </w:r>
      </w:hyperlink>
      <w:r w:rsidRPr="004D46C1">
        <w:rPr>
          <w:rFonts w:ascii="Arial" w:hAnsi="Arial" w:hint="cs"/>
          <w:b/>
          <w:bCs/>
          <w:rtl/>
        </w:rPr>
        <w:t xml:space="preserve"> אבו אחמד נ' מדינת ישראל</w:t>
      </w:r>
      <w:r>
        <w:rPr>
          <w:rFonts w:ascii="Arial" w:hAnsi="Arial" w:hint="cs"/>
          <w:rtl/>
        </w:rPr>
        <w:t xml:space="preserve"> [נבו] (3.12.23). נקבע כי תוקפו של החוק הוא למשך 3 שנים מיום פרסומו, כך שדומה כי בימים אלה ממש תוקפו מסתיים אלא אם יוארך. כך או כך, תיקון 140 משקף את רצון המחוקק ולמעשה מבטא גם את ההחמרה בענישה שננקטת בפסיקה בשנים האחרונות.</w:t>
      </w:r>
    </w:p>
    <w:p w14:paraId="32AF2D69" w14:textId="77777777" w:rsidR="00E320E5" w:rsidRPr="00C76A45" w:rsidRDefault="00E320E5" w:rsidP="00E320E5">
      <w:pPr>
        <w:pStyle w:val="a9"/>
        <w:rPr>
          <w:rFonts w:ascii="David" w:hAnsi="David"/>
          <w:rtl/>
        </w:rPr>
      </w:pPr>
    </w:p>
    <w:p w14:paraId="056DD0DE" w14:textId="77777777" w:rsidR="00E320E5" w:rsidRDefault="00E320E5" w:rsidP="00E320E5">
      <w:pPr>
        <w:pStyle w:val="a9"/>
        <w:numPr>
          <w:ilvl w:val="0"/>
          <w:numId w:val="1"/>
        </w:numPr>
        <w:spacing w:line="360" w:lineRule="auto"/>
        <w:ind w:left="360"/>
        <w:jc w:val="both"/>
        <w:rPr>
          <w:rFonts w:ascii="David" w:hAnsi="David"/>
        </w:rPr>
      </w:pPr>
      <w:r w:rsidRPr="00F07D5B">
        <w:rPr>
          <w:rFonts w:ascii="David" w:hAnsi="David"/>
          <w:rtl/>
        </w:rPr>
        <w:t xml:space="preserve">עיון בפסיקת בתי המשפט מלמדת כי מדיניות הענישה הנוהגת </w:t>
      </w:r>
      <w:r w:rsidRPr="00F07D5B">
        <w:rPr>
          <w:rFonts w:ascii="David" w:hAnsi="David" w:hint="cs"/>
          <w:rtl/>
        </w:rPr>
        <w:t xml:space="preserve">בעבירות של סיוע להחזקת נשק נעה בין </w:t>
      </w:r>
      <w:r w:rsidRPr="00B2206E">
        <w:rPr>
          <w:rFonts w:ascii="David" w:hAnsi="David" w:hint="cs"/>
          <w:b/>
          <w:bCs/>
          <w:rtl/>
        </w:rPr>
        <w:t>רף תחתון של 6 חודשי מאסר שניתן לרצותם בעבודות שירות ועד כדי מאסרים בפועל של כשנה ולעתים אף למעלה מכך</w:t>
      </w:r>
      <w:r w:rsidRPr="00F07D5B">
        <w:rPr>
          <w:rFonts w:ascii="David" w:hAnsi="David" w:hint="cs"/>
          <w:rtl/>
        </w:rPr>
        <w:t xml:space="preserve">, </w:t>
      </w:r>
      <w:r>
        <w:rPr>
          <w:rFonts w:ascii="David" w:hAnsi="David" w:hint="cs"/>
          <w:rtl/>
        </w:rPr>
        <w:t>הכל כתלות הן בנסיבות הפרטניות המאפיינות כל מעשה והן בנסיבותיהם האישיות של הנאשמים.</w:t>
      </w:r>
      <w:r w:rsidRPr="00F07D5B">
        <w:rPr>
          <w:rFonts w:ascii="David" w:hAnsi="David" w:hint="cs"/>
          <w:rtl/>
        </w:rPr>
        <w:t xml:space="preserve"> </w:t>
      </w:r>
      <w:r>
        <w:rPr>
          <w:rFonts w:ascii="David" w:hAnsi="David" w:hint="cs"/>
          <w:rtl/>
        </w:rPr>
        <w:t>אעמוד להלן על מספר דוגמאות.</w:t>
      </w:r>
    </w:p>
    <w:p w14:paraId="60F27F35" w14:textId="77777777" w:rsidR="00E320E5" w:rsidRPr="007B088B" w:rsidRDefault="00E320E5" w:rsidP="00E320E5">
      <w:pPr>
        <w:pStyle w:val="a9"/>
        <w:rPr>
          <w:rFonts w:ascii="David" w:hAnsi="David"/>
          <w:rtl/>
        </w:rPr>
      </w:pPr>
    </w:p>
    <w:p w14:paraId="5206F4B0" w14:textId="77777777" w:rsidR="00E320E5" w:rsidRDefault="00DB1CB4" w:rsidP="00E320E5">
      <w:pPr>
        <w:pStyle w:val="a9"/>
        <w:numPr>
          <w:ilvl w:val="0"/>
          <w:numId w:val="4"/>
        </w:numPr>
        <w:spacing w:line="360" w:lineRule="auto"/>
        <w:jc w:val="both"/>
        <w:rPr>
          <w:rFonts w:ascii="David" w:hAnsi="David"/>
        </w:rPr>
      </w:pPr>
      <w:hyperlink r:id="rId24" w:history="1">
        <w:r w:rsidRPr="00DB1CB4">
          <w:rPr>
            <w:rFonts w:ascii="David" w:hAnsi="David"/>
            <w:b/>
            <w:bCs/>
            <w:color w:val="0000FF"/>
            <w:u w:val="single"/>
            <w:rtl/>
          </w:rPr>
          <w:t>עפ"ג (על') 24844-08-24</w:t>
        </w:r>
      </w:hyperlink>
      <w:r w:rsidR="00E320E5" w:rsidRPr="00E6191A">
        <w:rPr>
          <w:rFonts w:ascii="David" w:hAnsi="David" w:hint="cs"/>
          <w:b/>
          <w:bCs/>
          <w:rtl/>
        </w:rPr>
        <w:t xml:space="preserve"> שלאעטה נ' מדינת ישראל</w:t>
      </w:r>
      <w:r w:rsidR="00E320E5">
        <w:rPr>
          <w:rFonts w:ascii="David" w:hAnsi="David" w:hint="cs"/>
          <w:rtl/>
        </w:rPr>
        <w:t xml:space="preserve"> [נבו] (15.10.24). בית המשפט המחוזי בחיפה הרשיע את המערער על פי הודאתו בסיוע להחזקת אקדח שהונח על גלגל רכב </w:t>
      </w:r>
      <w:r w:rsidR="00E320E5">
        <w:rPr>
          <w:rFonts w:ascii="David" w:hAnsi="David"/>
          <w:rtl/>
        </w:rPr>
        <w:t xml:space="preserve">שחנה </w:t>
      </w:r>
      <w:r w:rsidR="00E320E5">
        <w:rPr>
          <w:rFonts w:ascii="David" w:hAnsi="David" w:hint="cs"/>
          <w:rtl/>
        </w:rPr>
        <w:t>בסמוך לבית הנאשם</w:t>
      </w:r>
      <w:r w:rsidR="00E320E5" w:rsidRPr="000C7D11">
        <w:rPr>
          <w:rFonts w:ascii="David" w:hAnsi="David"/>
          <w:rtl/>
        </w:rPr>
        <w:t xml:space="preserve">. </w:t>
      </w:r>
      <w:r w:rsidR="00E320E5" w:rsidRPr="00232C92">
        <w:rPr>
          <w:rFonts w:ascii="David" w:hAnsi="David"/>
          <w:rtl/>
        </w:rPr>
        <w:t xml:space="preserve">בית המשפט קבע </w:t>
      </w:r>
      <w:r w:rsidR="00E320E5" w:rsidRPr="00232C92">
        <w:rPr>
          <w:rFonts w:ascii="David" w:hAnsi="David" w:hint="cs"/>
          <w:rtl/>
        </w:rPr>
        <w:t xml:space="preserve">מתחם עונש הולם של 10 </w:t>
      </w:r>
      <w:r w:rsidR="00E320E5" w:rsidRPr="00232C92">
        <w:rPr>
          <w:rFonts w:ascii="David" w:hAnsi="David"/>
          <w:rtl/>
        </w:rPr>
        <w:t>–</w:t>
      </w:r>
      <w:r w:rsidR="00E320E5" w:rsidRPr="00232C92">
        <w:rPr>
          <w:rFonts w:ascii="David" w:hAnsi="David" w:hint="cs"/>
          <w:rtl/>
        </w:rPr>
        <w:t xml:space="preserve"> 20 חודשי מאסר בפועל וגזר על </w:t>
      </w:r>
      <w:r w:rsidR="00E320E5">
        <w:rPr>
          <w:rFonts w:ascii="David" w:hAnsi="David" w:hint="cs"/>
          <w:rtl/>
        </w:rPr>
        <w:t>המערער, שהיה בעל הרשעות קודמות ואף ריצה מאסר לא קצר,</w:t>
      </w:r>
      <w:r w:rsidR="00E320E5" w:rsidRPr="00232C92">
        <w:rPr>
          <w:rFonts w:ascii="David" w:hAnsi="David" w:hint="cs"/>
          <w:rtl/>
        </w:rPr>
        <w:t xml:space="preserve"> </w:t>
      </w:r>
      <w:r w:rsidR="00E320E5" w:rsidRPr="00232C92">
        <w:rPr>
          <w:rFonts w:ascii="David" w:hAnsi="David"/>
          <w:rtl/>
        </w:rPr>
        <w:t xml:space="preserve"> 16 חודשי מאסר </w:t>
      </w:r>
      <w:r w:rsidR="00E320E5" w:rsidRPr="00232C92">
        <w:rPr>
          <w:rFonts w:ascii="David" w:hAnsi="David" w:hint="cs"/>
          <w:rtl/>
        </w:rPr>
        <w:t>וכן</w:t>
      </w:r>
      <w:r w:rsidR="00E320E5" w:rsidRPr="00232C92">
        <w:rPr>
          <w:rFonts w:ascii="David" w:hAnsi="David"/>
          <w:rtl/>
        </w:rPr>
        <w:t xml:space="preserve"> מאסר מותנה וקנס. </w:t>
      </w:r>
      <w:r w:rsidR="00E320E5" w:rsidRPr="00232C92">
        <w:rPr>
          <w:rFonts w:ascii="David" w:hAnsi="David" w:hint="cs"/>
          <w:rtl/>
        </w:rPr>
        <w:t>ערעורו לבית המשפט העליון</w:t>
      </w:r>
      <w:r w:rsidR="00E320E5" w:rsidRPr="00232C92">
        <w:rPr>
          <w:rFonts w:ascii="David" w:hAnsi="David"/>
          <w:rtl/>
        </w:rPr>
        <w:t xml:space="preserve"> </w:t>
      </w:r>
      <w:r w:rsidR="00E320E5">
        <w:rPr>
          <w:rFonts w:ascii="David" w:hAnsi="David" w:hint="cs"/>
          <w:rtl/>
        </w:rPr>
        <w:t xml:space="preserve">התקבל </w:t>
      </w:r>
      <w:r w:rsidR="00E320E5" w:rsidRPr="00232C92">
        <w:rPr>
          <w:rFonts w:ascii="David" w:hAnsi="David" w:hint="cs"/>
          <w:rtl/>
        </w:rPr>
        <w:t xml:space="preserve">כך שתקופת המאסר הופחתה ל- </w:t>
      </w:r>
      <w:r w:rsidR="00E320E5" w:rsidRPr="00350C35">
        <w:rPr>
          <w:rFonts w:ascii="David" w:hAnsi="David" w:hint="cs"/>
          <w:b/>
          <w:bCs/>
          <w:rtl/>
        </w:rPr>
        <w:t>13 חודשי</w:t>
      </w:r>
      <w:r w:rsidR="00E320E5">
        <w:rPr>
          <w:rFonts w:ascii="David" w:hAnsi="David" w:hint="cs"/>
          <w:b/>
          <w:bCs/>
          <w:rtl/>
        </w:rPr>
        <w:t xml:space="preserve"> מאסר בפועל</w:t>
      </w:r>
      <w:r w:rsidR="00E320E5" w:rsidRPr="00232C92">
        <w:rPr>
          <w:rFonts w:ascii="David" w:hAnsi="David" w:hint="cs"/>
          <w:rtl/>
        </w:rPr>
        <w:t>.</w:t>
      </w:r>
    </w:p>
    <w:p w14:paraId="6FE5D502" w14:textId="77777777" w:rsidR="00E320E5" w:rsidRPr="00AD7975" w:rsidRDefault="00E320E5" w:rsidP="00E320E5">
      <w:pPr>
        <w:pStyle w:val="a9"/>
        <w:rPr>
          <w:rFonts w:ascii="David" w:hAnsi="David"/>
          <w:rtl/>
        </w:rPr>
      </w:pPr>
    </w:p>
    <w:p w14:paraId="5F299C18" w14:textId="77777777" w:rsidR="00E320E5" w:rsidRPr="00C87C5B" w:rsidRDefault="00DB1CB4" w:rsidP="00E320E5">
      <w:pPr>
        <w:pStyle w:val="a9"/>
        <w:numPr>
          <w:ilvl w:val="0"/>
          <w:numId w:val="4"/>
        </w:numPr>
        <w:spacing w:line="360" w:lineRule="auto"/>
        <w:jc w:val="both"/>
        <w:rPr>
          <w:rFonts w:ascii="Arial" w:hAnsi="Arial"/>
        </w:rPr>
      </w:pPr>
      <w:hyperlink r:id="rId25" w:history="1">
        <w:r w:rsidRPr="00DB1CB4">
          <w:rPr>
            <w:rFonts w:ascii="David" w:hAnsi="David"/>
            <w:b/>
            <w:bCs/>
            <w:color w:val="0000FF"/>
            <w:u w:val="single"/>
            <w:rtl/>
          </w:rPr>
          <w:t>ת"פ (מחוזי חי') 15135-09-21</w:t>
        </w:r>
      </w:hyperlink>
      <w:r w:rsidR="00E320E5" w:rsidRPr="00C87C5B">
        <w:rPr>
          <w:rFonts w:ascii="David" w:hAnsi="David" w:hint="cs"/>
          <w:b/>
          <w:bCs/>
          <w:rtl/>
        </w:rPr>
        <w:t xml:space="preserve"> מדינת ישראל נ' שהאב</w:t>
      </w:r>
      <w:r w:rsidR="00E320E5" w:rsidRPr="00C87C5B">
        <w:rPr>
          <w:rFonts w:ascii="David" w:hAnsi="David" w:hint="cs"/>
          <w:rtl/>
        </w:rPr>
        <w:t xml:space="preserve"> [נבו] (29.10.24). </w:t>
      </w:r>
      <w:r w:rsidR="00E320E5" w:rsidRPr="00C87C5B">
        <w:rPr>
          <w:rFonts w:ascii="David" w:hAnsi="David"/>
          <w:rtl/>
        </w:rPr>
        <w:t xml:space="preserve">נאשם </w:t>
      </w:r>
      <w:r w:rsidR="00E320E5" w:rsidRPr="00C87C5B">
        <w:rPr>
          <w:rFonts w:ascii="David" w:hAnsi="David" w:hint="cs"/>
          <w:rtl/>
        </w:rPr>
        <w:t>הודה ו</w:t>
      </w:r>
      <w:r w:rsidR="00E320E5" w:rsidRPr="00C87C5B">
        <w:rPr>
          <w:rFonts w:ascii="David" w:hAnsi="David"/>
          <w:rtl/>
        </w:rPr>
        <w:t>הורשע בעביר</w:t>
      </w:r>
      <w:r w:rsidR="00E320E5" w:rsidRPr="00C87C5B">
        <w:rPr>
          <w:rFonts w:ascii="David" w:hAnsi="David" w:hint="cs"/>
          <w:rtl/>
        </w:rPr>
        <w:t>ות של סיוע להחזקת נשק ומחסנית,</w:t>
      </w:r>
      <w:r w:rsidR="00E320E5" w:rsidRPr="00C87C5B">
        <w:rPr>
          <w:rFonts w:ascii="David" w:hAnsi="David"/>
          <w:rtl/>
        </w:rPr>
        <w:t xml:space="preserve"> בגין כך </w:t>
      </w:r>
      <w:r w:rsidR="00E320E5" w:rsidRPr="00C87C5B">
        <w:rPr>
          <w:rFonts w:ascii="David" w:hAnsi="David" w:hint="cs"/>
          <w:rtl/>
        </w:rPr>
        <w:t xml:space="preserve">שבעת שנסע עם אדם אחר ברכב הסתיר נשק דמוי תת מקלע עם מחסנית תואמת מתחת למושבו כשהם עטופים בניילון. לנאשם לא היו הרשעות קודמות ושירות המבחן ציין כי הוא לא לוקח אחריות על העבירות. </w:t>
      </w:r>
      <w:r w:rsidR="00E320E5" w:rsidRPr="00C87C5B">
        <w:rPr>
          <w:rFonts w:ascii="David" w:hAnsi="David"/>
          <w:rtl/>
        </w:rPr>
        <w:t xml:space="preserve">בית המשפט </w:t>
      </w:r>
      <w:r w:rsidR="00E320E5" w:rsidRPr="00C87C5B">
        <w:rPr>
          <w:rFonts w:ascii="David" w:hAnsi="David" w:hint="cs"/>
          <w:rtl/>
        </w:rPr>
        <w:t xml:space="preserve">הביא בחשבון כי ברכב לא היו כדורים המאפשרים שימוש בנשק בטווח המיידי, קבע </w:t>
      </w:r>
      <w:r w:rsidR="00E320E5" w:rsidRPr="00CD7425">
        <w:rPr>
          <w:rFonts w:ascii="David" w:hAnsi="David" w:hint="cs"/>
          <w:b/>
          <w:bCs/>
          <w:rtl/>
        </w:rPr>
        <w:t xml:space="preserve">מתחם ענישה הולם של 8 </w:t>
      </w:r>
      <w:r w:rsidR="00E320E5" w:rsidRPr="00CD7425">
        <w:rPr>
          <w:rFonts w:ascii="David" w:hAnsi="David"/>
          <w:b/>
          <w:bCs/>
          <w:rtl/>
        </w:rPr>
        <w:t>–</w:t>
      </w:r>
      <w:r w:rsidR="00E320E5" w:rsidRPr="00CD7425">
        <w:rPr>
          <w:rFonts w:ascii="David" w:hAnsi="David" w:hint="cs"/>
          <w:b/>
          <w:bCs/>
          <w:rtl/>
        </w:rPr>
        <w:t xml:space="preserve"> 18 חודשי מאסר בפועל</w:t>
      </w:r>
      <w:r w:rsidR="00E320E5" w:rsidRPr="00C87C5B">
        <w:rPr>
          <w:rFonts w:ascii="David" w:hAnsi="David" w:hint="cs"/>
          <w:rtl/>
        </w:rPr>
        <w:t xml:space="preserve">, והטיל על הנאשם </w:t>
      </w:r>
      <w:r w:rsidR="00E320E5" w:rsidRPr="00CD7425">
        <w:rPr>
          <w:rFonts w:ascii="David" w:hAnsi="David" w:hint="cs"/>
          <w:b/>
          <w:bCs/>
          <w:rtl/>
        </w:rPr>
        <w:t>8 חודשי מאסר לריצוי בעבודות שירות יחד עם מאסר על תנאי וקנס</w:t>
      </w:r>
      <w:r w:rsidR="00E320E5" w:rsidRPr="00C87C5B">
        <w:rPr>
          <w:rFonts w:ascii="David" w:hAnsi="David" w:hint="cs"/>
          <w:rtl/>
        </w:rPr>
        <w:t xml:space="preserve">. </w:t>
      </w:r>
    </w:p>
    <w:p w14:paraId="5A5633FC" w14:textId="77777777" w:rsidR="00E320E5" w:rsidRPr="00C87C5B" w:rsidRDefault="00E320E5" w:rsidP="00E320E5">
      <w:pPr>
        <w:pStyle w:val="a9"/>
        <w:rPr>
          <w:rFonts w:ascii="Arial" w:hAnsi="Arial"/>
          <w:rtl/>
        </w:rPr>
      </w:pPr>
    </w:p>
    <w:p w14:paraId="381540A2" w14:textId="77777777" w:rsidR="00E320E5" w:rsidRPr="00392346" w:rsidRDefault="00E320E5" w:rsidP="00E320E5">
      <w:pPr>
        <w:pStyle w:val="a9"/>
        <w:numPr>
          <w:ilvl w:val="0"/>
          <w:numId w:val="4"/>
        </w:numPr>
        <w:spacing w:line="360" w:lineRule="auto"/>
        <w:jc w:val="both"/>
        <w:rPr>
          <w:rFonts w:ascii="Arial" w:hAnsi="Arial"/>
          <w:rtl/>
        </w:rPr>
      </w:pPr>
      <w:r w:rsidRPr="00C87C5B">
        <w:rPr>
          <w:rFonts w:ascii="Arial" w:hAnsi="Arial" w:hint="cs"/>
          <w:b/>
          <w:bCs/>
          <w:rtl/>
        </w:rPr>
        <w:t>ת"פ (מחוזי מרכז) 10875-12-21 מדינת ישראל נ' אבו צאפי</w:t>
      </w:r>
      <w:r>
        <w:rPr>
          <w:rFonts w:ascii="Arial" w:hAnsi="Arial" w:hint="cs"/>
          <w:rtl/>
        </w:rPr>
        <w:t xml:space="preserve"> [נבו] (8.8.23). </w:t>
      </w:r>
      <w:r w:rsidRPr="00392346">
        <w:rPr>
          <w:rFonts w:ascii="David" w:hAnsi="David" w:hint="cs"/>
          <w:color w:val="000000"/>
          <w:rtl/>
        </w:rPr>
        <w:t>נאשם הודה והורשע</w:t>
      </w:r>
      <w:r w:rsidRPr="00392346">
        <w:rPr>
          <w:rFonts w:ascii="David" w:hAnsi="David"/>
          <w:color w:val="000000"/>
          <w:rtl/>
        </w:rPr>
        <w:t xml:space="preserve"> </w:t>
      </w:r>
      <w:r w:rsidRPr="00392346">
        <w:rPr>
          <w:rFonts w:ascii="David" w:hAnsi="David" w:hint="cs"/>
          <w:color w:val="000000"/>
          <w:rtl/>
        </w:rPr>
        <w:t xml:space="preserve">בסיוע להחזקת נשק ותחמושת, בכך שסייע לאחיו להחזיק מאחורי מבנה באקדח עם שלוש מחסניות, וכן במחסנית של </w:t>
      </w:r>
      <w:r w:rsidRPr="00392346">
        <w:rPr>
          <w:rFonts w:ascii="David" w:hAnsi="David" w:hint="cs"/>
          <w:color w:val="000000"/>
        </w:rPr>
        <w:t>M</w:t>
      </w:r>
      <w:r w:rsidRPr="00392346">
        <w:rPr>
          <w:rFonts w:ascii="David" w:hAnsi="David" w:hint="cs"/>
          <w:color w:val="000000"/>
          <w:rtl/>
        </w:rPr>
        <w:t>16 שהוחזקה על גג מחסן.</w:t>
      </w:r>
      <w:r w:rsidRPr="00392346">
        <w:rPr>
          <w:rFonts w:ascii="David" w:hAnsi="David"/>
          <w:color w:val="000000"/>
          <w:rtl/>
        </w:rPr>
        <w:t xml:space="preserve"> </w:t>
      </w:r>
      <w:r w:rsidRPr="00392346">
        <w:rPr>
          <w:rFonts w:ascii="David" w:hAnsi="David" w:hint="cs"/>
          <w:color w:val="000000"/>
          <w:rtl/>
        </w:rPr>
        <w:t xml:space="preserve">הנאשם היה נעדר עבר פלילי ושירות המבחן המליץ שלא להטיל עליו מאסר בפועל. בית המשפט קבע מתחם עונש שנע בין </w:t>
      </w:r>
      <w:r w:rsidRPr="00392346">
        <w:rPr>
          <w:rFonts w:ascii="David" w:hAnsi="David"/>
          <w:b/>
          <w:bCs/>
          <w:color w:val="000000"/>
          <w:rtl/>
        </w:rPr>
        <w:t xml:space="preserve">7 חודשי מאסר </w:t>
      </w:r>
      <w:r w:rsidRPr="00392346">
        <w:rPr>
          <w:rFonts w:ascii="David" w:hAnsi="David" w:hint="cs"/>
          <w:b/>
          <w:bCs/>
          <w:color w:val="000000"/>
          <w:rtl/>
        </w:rPr>
        <w:t>שניתן לרצות בעבודות שירות</w:t>
      </w:r>
      <w:r w:rsidRPr="00392346">
        <w:rPr>
          <w:rFonts w:ascii="David" w:hAnsi="David"/>
          <w:b/>
          <w:bCs/>
          <w:color w:val="000000"/>
          <w:rtl/>
        </w:rPr>
        <w:t xml:space="preserve"> ועד 15 חודשי מאסר</w:t>
      </w:r>
      <w:r w:rsidRPr="00392346">
        <w:rPr>
          <w:rFonts w:ascii="David" w:hAnsi="David" w:hint="cs"/>
          <w:b/>
          <w:bCs/>
          <w:color w:val="000000"/>
          <w:rtl/>
        </w:rPr>
        <w:t xml:space="preserve"> בפועל</w:t>
      </w:r>
      <w:r w:rsidRPr="00392346">
        <w:rPr>
          <w:rFonts w:ascii="David" w:hAnsi="David" w:hint="cs"/>
          <w:color w:val="000000"/>
          <w:rtl/>
        </w:rPr>
        <w:t xml:space="preserve">, וגזר על הנאשם </w:t>
      </w:r>
      <w:r w:rsidRPr="00392346">
        <w:rPr>
          <w:rFonts w:ascii="David" w:hAnsi="David" w:hint="cs"/>
          <w:b/>
          <w:bCs/>
          <w:color w:val="000000"/>
          <w:rtl/>
        </w:rPr>
        <w:t>7 חודשי מאסר בעבודות שירות וכן מאסר על תנאי וקנס</w:t>
      </w:r>
      <w:r w:rsidRPr="00392346">
        <w:rPr>
          <w:rFonts w:ascii="David" w:hAnsi="David" w:hint="cs"/>
          <w:color w:val="000000"/>
          <w:rtl/>
        </w:rPr>
        <w:t>.</w:t>
      </w:r>
    </w:p>
    <w:p w14:paraId="225D6AE2" w14:textId="77777777" w:rsidR="00E320E5" w:rsidRDefault="00E320E5" w:rsidP="00E320E5">
      <w:pPr>
        <w:ind w:left="360"/>
        <w:jc w:val="both"/>
        <w:rPr>
          <w:rFonts w:ascii="David" w:hAnsi="David"/>
          <w:color w:val="000000"/>
          <w:rtl/>
        </w:rPr>
      </w:pPr>
      <w:r>
        <w:rPr>
          <w:rFonts w:ascii="David" w:hAnsi="David" w:hint="cs"/>
          <w:color w:val="000000"/>
          <w:rtl/>
        </w:rPr>
        <w:t xml:space="preserve"> </w:t>
      </w:r>
    </w:p>
    <w:p w14:paraId="74DA2662" w14:textId="77777777" w:rsidR="00E320E5" w:rsidRDefault="00DB1CB4" w:rsidP="00E320E5">
      <w:pPr>
        <w:pStyle w:val="a9"/>
        <w:numPr>
          <w:ilvl w:val="0"/>
          <w:numId w:val="4"/>
        </w:numPr>
        <w:spacing w:line="360" w:lineRule="auto"/>
        <w:jc w:val="both"/>
        <w:rPr>
          <w:rFonts w:ascii="Arial" w:hAnsi="Arial"/>
        </w:rPr>
      </w:pPr>
      <w:hyperlink r:id="rId26" w:history="1">
        <w:r w:rsidRPr="00DB1CB4">
          <w:rPr>
            <w:rFonts w:ascii="Arial" w:hAnsi="Arial"/>
            <w:b/>
            <w:bCs/>
            <w:color w:val="0000FF"/>
            <w:u w:val="single"/>
            <w:rtl/>
          </w:rPr>
          <w:t>ת"פ (מחוזי חי') 38624-05-24</w:t>
        </w:r>
      </w:hyperlink>
      <w:r w:rsidR="00E320E5" w:rsidRPr="006109C8">
        <w:rPr>
          <w:rFonts w:ascii="Arial" w:hAnsi="Arial" w:hint="cs"/>
          <w:b/>
          <w:bCs/>
          <w:rtl/>
        </w:rPr>
        <w:t xml:space="preserve"> מדינת ישראל נ' שאהין</w:t>
      </w:r>
      <w:r w:rsidR="00E320E5">
        <w:rPr>
          <w:rFonts w:ascii="Arial" w:hAnsi="Arial" w:hint="cs"/>
          <w:rtl/>
        </w:rPr>
        <w:t xml:space="preserve"> [נבו] (8.9.24). נאשם צעיר בגיל ונעדר עבר פלילי הורשע על יסוד הודייתו בסיוע לשניים אחרים להחזיק בחממה נשק דמוי רובה סער שבתוכו מחסנית ריקה, בכך שאבטח אותם בעת החזקת הרובה. בית המשפט קבע כי </w:t>
      </w:r>
      <w:r w:rsidR="00E320E5" w:rsidRPr="00CD7425">
        <w:rPr>
          <w:rFonts w:ascii="Arial" w:hAnsi="Arial" w:hint="cs"/>
          <w:b/>
          <w:bCs/>
          <w:rtl/>
        </w:rPr>
        <w:t xml:space="preserve">מתחם העונש ההולם הוא 9 </w:t>
      </w:r>
      <w:r w:rsidR="00E320E5" w:rsidRPr="00CD7425">
        <w:rPr>
          <w:rFonts w:ascii="Arial" w:hAnsi="Arial"/>
          <w:b/>
          <w:bCs/>
          <w:rtl/>
        </w:rPr>
        <w:t>–</w:t>
      </w:r>
      <w:r w:rsidR="00E320E5" w:rsidRPr="00CD7425">
        <w:rPr>
          <w:rFonts w:ascii="Arial" w:hAnsi="Arial" w:hint="cs"/>
          <w:b/>
          <w:bCs/>
          <w:rtl/>
        </w:rPr>
        <w:t xml:space="preserve"> 18 חודשי מאסר בפועל</w:t>
      </w:r>
      <w:r w:rsidR="00E320E5">
        <w:rPr>
          <w:rFonts w:ascii="Arial" w:hAnsi="Arial" w:hint="cs"/>
          <w:rtl/>
        </w:rPr>
        <w:t xml:space="preserve">, וגזר על </w:t>
      </w:r>
      <w:r w:rsidR="00E320E5" w:rsidRPr="00CD7425">
        <w:rPr>
          <w:rFonts w:ascii="Arial" w:hAnsi="Arial" w:hint="cs"/>
          <w:b/>
          <w:bCs/>
          <w:rtl/>
        </w:rPr>
        <w:t>הנאשם 10 חודשי מאסר בפועל ומאסר על תנאי</w:t>
      </w:r>
      <w:r w:rsidR="00E320E5">
        <w:rPr>
          <w:rFonts w:ascii="Arial" w:hAnsi="Arial" w:hint="cs"/>
          <w:rtl/>
        </w:rPr>
        <w:t>.</w:t>
      </w:r>
    </w:p>
    <w:p w14:paraId="6FFF65F9" w14:textId="77777777" w:rsidR="00E320E5" w:rsidRDefault="00E320E5" w:rsidP="00E320E5">
      <w:pPr>
        <w:pStyle w:val="a9"/>
        <w:ind w:left="360"/>
        <w:jc w:val="both"/>
        <w:rPr>
          <w:rFonts w:ascii="Arial" w:hAnsi="Arial"/>
        </w:rPr>
      </w:pPr>
      <w:r>
        <w:rPr>
          <w:rFonts w:ascii="Arial" w:hAnsi="Arial" w:hint="cs"/>
          <w:rtl/>
        </w:rPr>
        <w:t xml:space="preserve">  </w:t>
      </w:r>
    </w:p>
    <w:p w14:paraId="33F802B6" w14:textId="77777777" w:rsidR="00E320E5" w:rsidRDefault="00DB1CB4" w:rsidP="00E320E5">
      <w:pPr>
        <w:pStyle w:val="a9"/>
        <w:numPr>
          <w:ilvl w:val="0"/>
          <w:numId w:val="4"/>
        </w:numPr>
        <w:spacing w:line="360" w:lineRule="auto"/>
        <w:jc w:val="both"/>
        <w:rPr>
          <w:rFonts w:ascii="Arial" w:hAnsi="Arial"/>
        </w:rPr>
      </w:pPr>
      <w:hyperlink r:id="rId27" w:history="1">
        <w:r w:rsidRPr="00DB1CB4">
          <w:rPr>
            <w:rFonts w:ascii="Arial" w:hAnsi="Arial"/>
            <w:b/>
            <w:bCs/>
            <w:color w:val="0000FF"/>
            <w:u w:val="single"/>
            <w:rtl/>
          </w:rPr>
          <w:t>ת"פ (מחוזי מרכז) 26478-04-22</w:t>
        </w:r>
      </w:hyperlink>
      <w:r w:rsidR="00E320E5" w:rsidRPr="0076573C">
        <w:rPr>
          <w:rFonts w:ascii="Arial" w:hAnsi="Arial" w:hint="cs"/>
          <w:b/>
          <w:bCs/>
          <w:rtl/>
        </w:rPr>
        <w:t xml:space="preserve"> מדינת ישראל נ' חרבוש</w:t>
      </w:r>
      <w:r w:rsidR="00E320E5">
        <w:rPr>
          <w:rFonts w:ascii="Arial" w:hAnsi="Arial" w:hint="cs"/>
          <w:rtl/>
        </w:rPr>
        <w:t xml:space="preserve"> [נבו] (3.7.23). נאשם הודה והורשע בסיוע לאביו להחזיק אקדח עם מחסנית יחד עם כ- 100 כדורי תחמושת ושכפ"צ משטרתי במחסן שבמוסך ביתם. בית המשפט קבע כי מתחם העונש ההולם </w:t>
      </w:r>
      <w:r w:rsidR="00E320E5" w:rsidRPr="00CD7425">
        <w:rPr>
          <w:rFonts w:ascii="Arial" w:hAnsi="Arial" w:hint="cs"/>
          <w:b/>
          <w:bCs/>
          <w:rtl/>
        </w:rPr>
        <w:t xml:space="preserve">הוא 6 </w:t>
      </w:r>
      <w:r w:rsidR="00E320E5" w:rsidRPr="00CD7425">
        <w:rPr>
          <w:rFonts w:ascii="Arial" w:hAnsi="Arial"/>
          <w:b/>
          <w:bCs/>
          <w:rtl/>
        </w:rPr>
        <w:t>–</w:t>
      </w:r>
      <w:r w:rsidR="00E320E5" w:rsidRPr="00CD7425">
        <w:rPr>
          <w:rFonts w:ascii="Arial" w:hAnsi="Arial" w:hint="cs"/>
          <w:b/>
          <w:bCs/>
          <w:rtl/>
        </w:rPr>
        <w:t xml:space="preserve"> 15 חודשי מאסר</w:t>
      </w:r>
      <w:r w:rsidR="00E320E5">
        <w:rPr>
          <w:rFonts w:ascii="Arial" w:hAnsi="Arial" w:hint="cs"/>
          <w:rtl/>
        </w:rPr>
        <w:t xml:space="preserve">, וגזר על הנאשם </w:t>
      </w:r>
      <w:r w:rsidR="00E320E5" w:rsidRPr="00CD7425">
        <w:rPr>
          <w:rFonts w:ascii="Arial" w:hAnsi="Arial" w:hint="cs"/>
          <w:b/>
          <w:bCs/>
          <w:rtl/>
        </w:rPr>
        <w:t>6 חודשי מאסר לריצוי בעבודות שירות, מאסר על תנאי וקנס 5,000 ₪</w:t>
      </w:r>
      <w:r w:rsidR="00E320E5">
        <w:rPr>
          <w:rFonts w:ascii="Arial" w:hAnsi="Arial" w:hint="cs"/>
          <w:rtl/>
        </w:rPr>
        <w:t>.</w:t>
      </w:r>
    </w:p>
    <w:p w14:paraId="4C8CC055" w14:textId="77777777" w:rsidR="00E320E5" w:rsidRPr="00762972" w:rsidRDefault="00E320E5" w:rsidP="00E320E5">
      <w:pPr>
        <w:pStyle w:val="a9"/>
        <w:rPr>
          <w:rFonts w:ascii="Arial" w:hAnsi="Arial"/>
          <w:rtl/>
        </w:rPr>
      </w:pPr>
    </w:p>
    <w:p w14:paraId="4EBB49E8" w14:textId="77777777" w:rsidR="00E320E5" w:rsidRDefault="00DB1CB4" w:rsidP="00E320E5">
      <w:pPr>
        <w:pStyle w:val="a9"/>
        <w:numPr>
          <w:ilvl w:val="0"/>
          <w:numId w:val="4"/>
        </w:numPr>
        <w:spacing w:line="360" w:lineRule="auto"/>
        <w:jc w:val="both"/>
        <w:rPr>
          <w:rFonts w:ascii="Arial" w:hAnsi="Arial"/>
        </w:rPr>
      </w:pPr>
      <w:hyperlink r:id="rId28" w:history="1">
        <w:r w:rsidRPr="00DB1CB4">
          <w:rPr>
            <w:rFonts w:ascii="Arial" w:hAnsi="Arial"/>
            <w:b/>
            <w:bCs/>
            <w:color w:val="0000FF"/>
            <w:u w:val="single"/>
            <w:rtl/>
          </w:rPr>
          <w:t>ת"פ (חד') 1363-04-22</w:t>
        </w:r>
      </w:hyperlink>
      <w:r w:rsidR="00E320E5" w:rsidRPr="00762972">
        <w:rPr>
          <w:rFonts w:ascii="Arial" w:hAnsi="Arial" w:hint="cs"/>
          <w:b/>
          <w:bCs/>
          <w:rtl/>
        </w:rPr>
        <w:t xml:space="preserve"> מדינת ישראל נ' גרבאן</w:t>
      </w:r>
      <w:r w:rsidR="00E320E5">
        <w:rPr>
          <w:rFonts w:ascii="Arial" w:hAnsi="Arial" w:hint="cs"/>
          <w:rtl/>
        </w:rPr>
        <w:t xml:space="preserve"> [נבו] (23.2.23). נאשם בעל עבר פלילי לא משמעותי </w:t>
      </w:r>
      <w:r w:rsidR="00E320E5" w:rsidRPr="00B2206E">
        <w:rPr>
          <w:rFonts w:ascii="Arial" w:hAnsi="Arial" w:hint="cs"/>
          <w:rtl/>
        </w:rPr>
        <w:t xml:space="preserve">הורשע </w:t>
      </w:r>
      <w:r w:rsidR="00E320E5">
        <w:rPr>
          <w:rFonts w:ascii="Arial" w:hAnsi="Arial" w:hint="cs"/>
          <w:rtl/>
        </w:rPr>
        <w:t xml:space="preserve">על יסוד הודייתו בעבירה של סיוע להחזקת נשק, שעניינה סיוע לחברו להחזיק תמ"ק קרלו ומחסנית ריקה תואמת; הסיוע התבטא בכך שנגע בנשק. בית המשפט קבע כי מתחם העונש ההולם הוא 6 </w:t>
      </w:r>
      <w:r w:rsidR="00E320E5">
        <w:rPr>
          <w:rFonts w:ascii="Arial" w:hAnsi="Arial"/>
          <w:rtl/>
        </w:rPr>
        <w:t>–</w:t>
      </w:r>
      <w:r w:rsidR="00E320E5">
        <w:rPr>
          <w:rFonts w:ascii="Arial" w:hAnsi="Arial" w:hint="cs"/>
          <w:rtl/>
        </w:rPr>
        <w:t xml:space="preserve"> 15 חודשי מאסר וגזר את עונשו למאסר של 8 חודשים לריצוי בעבודות שירות, מאסר על תנאי וקנס של 3,000 ₪. </w:t>
      </w:r>
    </w:p>
    <w:p w14:paraId="020F18A2" w14:textId="77777777" w:rsidR="00E320E5" w:rsidRPr="00CD7425" w:rsidRDefault="00E320E5" w:rsidP="00E320E5">
      <w:pPr>
        <w:pStyle w:val="a9"/>
        <w:rPr>
          <w:rFonts w:ascii="Arial" w:hAnsi="Arial"/>
          <w:rtl/>
        </w:rPr>
      </w:pPr>
    </w:p>
    <w:p w14:paraId="1830C00B" w14:textId="77777777" w:rsidR="00E320E5" w:rsidRDefault="00E320E5" w:rsidP="00E320E5">
      <w:pPr>
        <w:pStyle w:val="a9"/>
        <w:numPr>
          <w:ilvl w:val="0"/>
          <w:numId w:val="1"/>
        </w:numPr>
        <w:spacing w:line="360" w:lineRule="auto"/>
        <w:ind w:left="360"/>
        <w:jc w:val="both"/>
        <w:rPr>
          <w:rFonts w:ascii="Arial" w:hAnsi="Arial"/>
        </w:rPr>
      </w:pPr>
      <w:r w:rsidRPr="00762972">
        <w:rPr>
          <w:rFonts w:ascii="Arial" w:hAnsi="Arial" w:hint="cs"/>
          <w:b/>
          <w:bCs/>
          <w:rtl/>
        </w:rPr>
        <w:t>בהתחשב בכל האמור אני קובע כי מתחם העונש ההולם לעבירות בהן הורשע הנאשם הוא בין 6 חודשי מאסר שניתן לרצות בעבודות שירות ועד 15 חודשי מאסר בפועל, יחד עם ענישה נלווית</w:t>
      </w:r>
      <w:r>
        <w:rPr>
          <w:rFonts w:ascii="Arial" w:hAnsi="Arial" w:hint="cs"/>
          <w:rtl/>
        </w:rPr>
        <w:t>.</w:t>
      </w:r>
    </w:p>
    <w:p w14:paraId="21441A86" w14:textId="77777777" w:rsidR="00E320E5" w:rsidRDefault="00E320E5" w:rsidP="00E320E5">
      <w:pPr>
        <w:pStyle w:val="a9"/>
        <w:ind w:left="360"/>
        <w:jc w:val="both"/>
        <w:rPr>
          <w:rFonts w:ascii="Arial" w:hAnsi="Arial"/>
        </w:rPr>
      </w:pPr>
    </w:p>
    <w:p w14:paraId="4CBA5DD2" w14:textId="77777777" w:rsidR="00E320E5" w:rsidRDefault="00E320E5" w:rsidP="00E320E5">
      <w:pPr>
        <w:pStyle w:val="a9"/>
        <w:numPr>
          <w:ilvl w:val="0"/>
          <w:numId w:val="1"/>
        </w:numPr>
        <w:spacing w:line="360" w:lineRule="auto"/>
        <w:ind w:left="360"/>
        <w:jc w:val="both"/>
        <w:rPr>
          <w:rFonts w:ascii="Arial" w:hAnsi="Arial"/>
        </w:rPr>
      </w:pPr>
      <w:r>
        <w:rPr>
          <w:rFonts w:ascii="Arial" w:hAnsi="Arial" w:hint="cs"/>
          <w:rtl/>
        </w:rPr>
        <w:t>הנאשם לא נבחן על ידי שירות המבחן ולא עבר כל הליך שיקומי כך שאיני רואה מקום לחרוג לקולא ממתחם העונש ההולם. נוכח נסיבותיו האישיות שיפורטו להלן, ממילא גם לא ראיתי שיש לחרוג מן המתחם לחומרה.</w:t>
      </w:r>
    </w:p>
    <w:p w14:paraId="24AE24A5" w14:textId="77777777" w:rsidR="00E320E5" w:rsidRPr="00CD7425" w:rsidRDefault="00E320E5" w:rsidP="00E320E5">
      <w:pPr>
        <w:pStyle w:val="a9"/>
        <w:rPr>
          <w:rFonts w:ascii="Arial" w:hAnsi="Arial"/>
          <w:rtl/>
        </w:rPr>
      </w:pPr>
    </w:p>
    <w:p w14:paraId="47C0A23C" w14:textId="77777777" w:rsidR="00E320E5" w:rsidRPr="00CD7425" w:rsidRDefault="00E320E5" w:rsidP="00E320E5">
      <w:pPr>
        <w:jc w:val="both"/>
        <w:rPr>
          <w:rFonts w:ascii="Arial" w:hAnsi="Arial"/>
          <w:rtl/>
        </w:rPr>
      </w:pPr>
      <w:r w:rsidRPr="00CD7425">
        <w:rPr>
          <w:rFonts w:ascii="Arial" w:hAnsi="Arial" w:hint="cs"/>
          <w:rtl/>
        </w:rPr>
        <w:t xml:space="preserve"> </w:t>
      </w:r>
    </w:p>
    <w:p w14:paraId="441CBEE6" w14:textId="77777777" w:rsidR="00E320E5" w:rsidRPr="00CD7425" w:rsidRDefault="00E320E5" w:rsidP="00E320E5">
      <w:pPr>
        <w:spacing w:line="480" w:lineRule="auto"/>
        <w:jc w:val="both"/>
        <w:rPr>
          <w:rFonts w:ascii="Arial" w:hAnsi="Arial"/>
          <w:b/>
          <w:bCs/>
          <w:u w:val="single"/>
          <w:rtl/>
        </w:rPr>
      </w:pPr>
      <w:r w:rsidRPr="00CD7425">
        <w:rPr>
          <w:rFonts w:ascii="Arial" w:hAnsi="Arial" w:hint="cs"/>
          <w:b/>
          <w:bCs/>
          <w:u w:val="single"/>
          <w:rtl/>
        </w:rPr>
        <w:t xml:space="preserve">קביעת העונש ההולם </w:t>
      </w:r>
      <w:r w:rsidRPr="00CD7425">
        <w:rPr>
          <w:rFonts w:ascii="Arial" w:hAnsi="Arial"/>
          <w:b/>
          <w:bCs/>
          <w:u w:val="single"/>
          <w:rtl/>
        </w:rPr>
        <w:t>–</w:t>
      </w:r>
      <w:r w:rsidRPr="00CD7425">
        <w:rPr>
          <w:rFonts w:ascii="Arial" w:hAnsi="Arial" w:hint="cs"/>
          <w:b/>
          <w:bCs/>
          <w:u w:val="single"/>
          <w:rtl/>
        </w:rPr>
        <w:t xml:space="preserve"> נסיבות שאינן קשורות לביצוע העבירות</w:t>
      </w:r>
    </w:p>
    <w:p w14:paraId="1DD45500" w14:textId="77777777" w:rsidR="00E320E5" w:rsidRDefault="00E320E5" w:rsidP="00E320E5">
      <w:pPr>
        <w:ind w:left="360"/>
        <w:jc w:val="both"/>
        <w:rPr>
          <w:rFonts w:ascii="David" w:hAnsi="David"/>
          <w:color w:val="000000"/>
          <w:rtl/>
        </w:rPr>
      </w:pPr>
    </w:p>
    <w:p w14:paraId="75CD9380" w14:textId="77777777" w:rsidR="00E320E5" w:rsidRDefault="00E320E5" w:rsidP="00E320E5">
      <w:pPr>
        <w:pStyle w:val="a9"/>
        <w:numPr>
          <w:ilvl w:val="0"/>
          <w:numId w:val="1"/>
        </w:numPr>
        <w:spacing w:line="360" w:lineRule="auto"/>
        <w:ind w:left="360"/>
        <w:jc w:val="both"/>
        <w:rPr>
          <w:rFonts w:ascii="Arial" w:hAnsi="Arial"/>
        </w:rPr>
      </w:pPr>
      <w:r>
        <w:rPr>
          <w:rFonts w:ascii="Arial" w:hAnsi="Arial" w:hint="cs"/>
          <w:rtl/>
        </w:rPr>
        <w:t>הנאשם הודה ולקח אחריות ובכך חסך זמן שיפוטי יקר ומנע את הצורך בהבאת עדי התביעה לשם הוכחת אשמתו. הודייתו בכתב האישום המתוקן אף משקפת נטילת אחריות והכרה בכך כי עליו לשאת בענישה כואבת בשל מעשיו.</w:t>
      </w:r>
    </w:p>
    <w:p w14:paraId="6AA07FAC" w14:textId="77777777" w:rsidR="00E320E5" w:rsidRDefault="00E320E5" w:rsidP="00E320E5">
      <w:pPr>
        <w:pStyle w:val="a9"/>
        <w:spacing w:line="360" w:lineRule="auto"/>
        <w:ind w:left="360"/>
        <w:jc w:val="both"/>
        <w:rPr>
          <w:rFonts w:ascii="Arial" w:hAnsi="Arial"/>
          <w:rtl/>
        </w:rPr>
      </w:pPr>
      <w:r>
        <w:rPr>
          <w:rFonts w:ascii="Arial" w:hAnsi="Arial" w:hint="cs"/>
          <w:rtl/>
        </w:rPr>
        <w:t xml:space="preserve">הנאשם כבן 30, הוא נעדר כל עבר פלילי וזו למעשה הסתבכותו הראשונה. עולה כי עד שנעצר ניהל הנאשם חיים שהם אינם חיי פשע </w:t>
      </w:r>
      <w:r>
        <w:rPr>
          <w:rFonts w:ascii="Arial" w:hAnsi="Arial"/>
          <w:rtl/>
        </w:rPr>
        <w:t>–</w:t>
      </w:r>
      <w:r>
        <w:rPr>
          <w:rFonts w:ascii="Arial" w:hAnsi="Arial" w:hint="cs"/>
          <w:rtl/>
        </w:rPr>
        <w:t xml:space="preserve"> הוא התמיד בעבודה, פרנס את עצמו וסייע למשפחתו.</w:t>
      </w:r>
    </w:p>
    <w:p w14:paraId="2A4ED229" w14:textId="77777777" w:rsidR="00E320E5" w:rsidRDefault="00E320E5" w:rsidP="00E320E5">
      <w:pPr>
        <w:pStyle w:val="a9"/>
        <w:spacing w:line="360" w:lineRule="auto"/>
        <w:ind w:left="360"/>
        <w:jc w:val="both"/>
        <w:rPr>
          <w:rFonts w:ascii="Arial" w:hAnsi="Arial"/>
          <w:rtl/>
        </w:rPr>
      </w:pPr>
      <w:r>
        <w:rPr>
          <w:rFonts w:ascii="Arial" w:hAnsi="Arial" w:hint="cs"/>
          <w:rtl/>
        </w:rPr>
        <w:t>נתתי דעתי לטענות הסנגור אשר לקשיים הכלכליים מהם סובלת משפחתו, כמו גם לקשיים האחרים האינהרנטיים למחלה של אמו ולאשפוזיה מעת לעת.</w:t>
      </w:r>
    </w:p>
    <w:p w14:paraId="2CE13F38" w14:textId="77777777" w:rsidR="00E320E5" w:rsidRDefault="00E320E5" w:rsidP="00E320E5">
      <w:pPr>
        <w:pStyle w:val="a9"/>
        <w:spacing w:line="360" w:lineRule="auto"/>
        <w:ind w:left="360"/>
        <w:jc w:val="both"/>
        <w:rPr>
          <w:rFonts w:ascii="Arial" w:hAnsi="Arial"/>
          <w:rtl/>
        </w:rPr>
      </w:pPr>
      <w:r>
        <w:rPr>
          <w:rFonts w:ascii="Arial" w:hAnsi="Arial" w:hint="cs"/>
          <w:rtl/>
        </w:rPr>
        <w:t xml:space="preserve">הנאשם עצור בתיק כבר למעלה מארבעה חודשים. הבאתי בחשבון כי תנאי המעצר קשים יותר בדרך כלל מתנאי מאסר, וכן נתתי דעתי לכך כי חוויית המעצר של הנאשם היא בוודאי אף קשה יותר - זאת מאחר מדובר בפעם הראשונה בה נשללת חירותו וקשיי המעצר בנסיבות אלה מתעצמים, והנאשם אף ציין זאת בדברו האחרון. </w:t>
      </w:r>
    </w:p>
    <w:p w14:paraId="58431664" w14:textId="77777777" w:rsidR="00E320E5" w:rsidRDefault="00E320E5" w:rsidP="00E320E5">
      <w:pPr>
        <w:pStyle w:val="a9"/>
        <w:spacing w:line="360" w:lineRule="auto"/>
        <w:ind w:left="360"/>
        <w:jc w:val="both"/>
        <w:rPr>
          <w:rFonts w:ascii="Arial" w:hAnsi="Arial"/>
          <w:rtl/>
        </w:rPr>
      </w:pPr>
      <w:r>
        <w:rPr>
          <w:rFonts w:ascii="Arial" w:hAnsi="Arial" w:hint="cs"/>
          <w:rtl/>
        </w:rPr>
        <w:t>לשיטתי, כאשר מדובר באדם צעיר המסתבך לראשונה בפלילים הוא זכאי לקבל הזדמנות להפנים את חומרת מעשיו, ללמוד לקח ולתקן את דרכיו; ולטעמי, בהתחשב גם ביתר הנסיבות אותן ציינתי, ענישה ברף נמוך יחסית של המתחם שקבעתי שתהיה ממשית ומכאיבה, תקדם מטרה זו וממילא גם תהיה מרתיעה.</w:t>
      </w:r>
    </w:p>
    <w:p w14:paraId="20BEEC5F" w14:textId="77777777" w:rsidR="00E320E5" w:rsidRDefault="00E320E5" w:rsidP="00E320E5">
      <w:pPr>
        <w:pStyle w:val="a9"/>
        <w:spacing w:line="360" w:lineRule="auto"/>
        <w:ind w:left="360"/>
        <w:jc w:val="both"/>
        <w:rPr>
          <w:rFonts w:ascii="Arial" w:hAnsi="Arial"/>
          <w:rtl/>
        </w:rPr>
      </w:pPr>
      <w:r>
        <w:rPr>
          <w:rFonts w:ascii="Arial" w:hAnsi="Arial" w:hint="cs"/>
          <w:rtl/>
        </w:rPr>
        <w:t xml:space="preserve">לא מצאתי להימנע מהטלת קנס, אך בהתחשב בכלל הנסיבות שצוינו ניתן יהיה להסתפק בקנס מתון.   </w:t>
      </w:r>
    </w:p>
    <w:p w14:paraId="577EBD85" w14:textId="77777777" w:rsidR="00E320E5" w:rsidRDefault="00E320E5" w:rsidP="00E320E5">
      <w:pPr>
        <w:spacing w:line="360" w:lineRule="auto"/>
        <w:ind w:left="360"/>
        <w:jc w:val="both"/>
        <w:rPr>
          <w:rFonts w:ascii="David" w:hAnsi="David"/>
        </w:rPr>
      </w:pPr>
    </w:p>
    <w:p w14:paraId="34397C52" w14:textId="77777777" w:rsidR="00E320E5" w:rsidRDefault="00E320E5" w:rsidP="00E320E5">
      <w:pPr>
        <w:pStyle w:val="a9"/>
        <w:numPr>
          <w:ilvl w:val="0"/>
          <w:numId w:val="1"/>
        </w:numPr>
        <w:spacing w:line="360" w:lineRule="auto"/>
        <w:ind w:left="360"/>
        <w:jc w:val="both"/>
        <w:rPr>
          <w:rFonts w:ascii="Arial" w:hAnsi="Arial"/>
        </w:rPr>
      </w:pPr>
      <w:r w:rsidRPr="00A838E2">
        <w:rPr>
          <w:rFonts w:ascii="Arial" w:hAnsi="Arial" w:hint="cs"/>
          <w:b/>
          <w:bCs/>
          <w:u w:val="single"/>
          <w:rtl/>
        </w:rPr>
        <w:t>נוכח כל האמור אני גוזר את עונשו של הנאשם לאלה</w:t>
      </w:r>
      <w:r>
        <w:rPr>
          <w:rFonts w:ascii="Arial" w:hAnsi="Arial" w:hint="cs"/>
          <w:rtl/>
        </w:rPr>
        <w:t>:</w:t>
      </w:r>
    </w:p>
    <w:p w14:paraId="1C6329F0" w14:textId="77777777" w:rsidR="00E320E5" w:rsidRDefault="00E320E5" w:rsidP="00E320E5">
      <w:pPr>
        <w:pStyle w:val="a9"/>
        <w:ind w:left="360"/>
        <w:jc w:val="both"/>
        <w:rPr>
          <w:rFonts w:ascii="Arial" w:hAnsi="Arial"/>
        </w:rPr>
      </w:pPr>
    </w:p>
    <w:p w14:paraId="234C8EFE" w14:textId="77777777" w:rsidR="00E320E5" w:rsidRDefault="00E320E5" w:rsidP="00E320E5">
      <w:pPr>
        <w:pStyle w:val="a9"/>
        <w:numPr>
          <w:ilvl w:val="0"/>
          <w:numId w:val="2"/>
        </w:numPr>
        <w:spacing w:line="360" w:lineRule="auto"/>
        <w:jc w:val="both"/>
        <w:rPr>
          <w:rFonts w:ascii="Arial" w:hAnsi="Arial"/>
        </w:rPr>
      </w:pPr>
      <w:r>
        <w:rPr>
          <w:rFonts w:ascii="Arial" w:hAnsi="Arial" w:hint="cs"/>
          <w:b/>
          <w:bCs/>
          <w:rtl/>
        </w:rPr>
        <w:t>7</w:t>
      </w:r>
      <w:r w:rsidRPr="00A838E2">
        <w:rPr>
          <w:rFonts w:ascii="Arial" w:hAnsi="Arial" w:hint="cs"/>
          <w:b/>
          <w:bCs/>
          <w:rtl/>
        </w:rPr>
        <w:t xml:space="preserve"> חודשי מאסר בפועל</w:t>
      </w:r>
      <w:r>
        <w:rPr>
          <w:rFonts w:ascii="Arial" w:hAnsi="Arial" w:hint="cs"/>
          <w:rtl/>
        </w:rPr>
        <w:t xml:space="preserve">. המאסר בפועל יימנה החל מיום מעצרו של הנאשם </w:t>
      </w:r>
      <w:r>
        <w:rPr>
          <w:rFonts w:ascii="Arial" w:hAnsi="Arial"/>
          <w:rtl/>
        </w:rPr>
        <w:t>–</w:t>
      </w:r>
      <w:r>
        <w:rPr>
          <w:rFonts w:ascii="Arial" w:hAnsi="Arial" w:hint="cs"/>
          <w:rtl/>
        </w:rPr>
        <w:t xml:space="preserve"> 21.8.24.</w:t>
      </w:r>
    </w:p>
    <w:p w14:paraId="4B165F98" w14:textId="77777777" w:rsidR="00E320E5" w:rsidRDefault="00E320E5" w:rsidP="00E320E5">
      <w:pPr>
        <w:pStyle w:val="a9"/>
        <w:numPr>
          <w:ilvl w:val="0"/>
          <w:numId w:val="2"/>
        </w:numPr>
        <w:spacing w:line="360" w:lineRule="auto"/>
        <w:jc w:val="both"/>
        <w:rPr>
          <w:rFonts w:ascii="Arial" w:hAnsi="Arial"/>
        </w:rPr>
      </w:pPr>
      <w:r w:rsidRPr="00A838E2">
        <w:rPr>
          <w:rFonts w:ascii="Arial" w:hAnsi="Arial" w:hint="cs"/>
          <w:b/>
          <w:bCs/>
          <w:rtl/>
        </w:rPr>
        <w:t xml:space="preserve">4 חודשי מאסר על תנאי, לבל יעבור הנאשם בתוך 3 שנים מיום שחרורו מן המאסר כל עבירת נשק לפי איזה מן החלופות </w:t>
      </w:r>
      <w:hyperlink r:id="rId29" w:history="1">
        <w:r w:rsidR="00AE1955" w:rsidRPr="00AE1955">
          <w:rPr>
            <w:rStyle w:val="Hyperlink"/>
            <w:rFonts w:ascii="Arial" w:hAnsi="Arial" w:hint="eastAsia"/>
            <w:b/>
            <w:bCs/>
            <w:color w:val="0000FF"/>
            <w:rtl/>
          </w:rPr>
          <w:t>שבסעיף</w:t>
        </w:r>
        <w:r w:rsidR="00AE1955" w:rsidRPr="00AE1955">
          <w:rPr>
            <w:rStyle w:val="Hyperlink"/>
            <w:rFonts w:ascii="Arial" w:hAnsi="Arial"/>
            <w:b/>
            <w:bCs/>
            <w:color w:val="0000FF"/>
            <w:rtl/>
          </w:rPr>
          <w:t xml:space="preserve"> 144</w:t>
        </w:r>
      </w:hyperlink>
      <w:r w:rsidRPr="00A838E2">
        <w:rPr>
          <w:rFonts w:ascii="Arial" w:hAnsi="Arial" w:hint="cs"/>
          <w:b/>
          <w:bCs/>
          <w:rtl/>
        </w:rPr>
        <w:t xml:space="preserve"> ל</w:t>
      </w:r>
      <w:hyperlink r:id="rId30" w:history="1">
        <w:r w:rsidR="00DB1CB4" w:rsidRPr="00DB1CB4">
          <w:rPr>
            <w:rFonts w:ascii="Arial" w:hAnsi="Arial"/>
            <w:b/>
            <w:bCs/>
            <w:color w:val="0000FF"/>
            <w:u w:val="single"/>
            <w:rtl/>
          </w:rPr>
          <w:t>חוק העונשין</w:t>
        </w:r>
      </w:hyperlink>
      <w:r>
        <w:rPr>
          <w:rFonts w:ascii="Arial" w:hAnsi="Arial" w:hint="cs"/>
          <w:rtl/>
        </w:rPr>
        <w:t xml:space="preserve">, </w:t>
      </w:r>
      <w:r w:rsidRPr="00E56A97">
        <w:rPr>
          <w:rFonts w:ascii="Arial" w:hAnsi="Arial" w:hint="cs"/>
          <w:b/>
          <w:bCs/>
          <w:rtl/>
        </w:rPr>
        <w:t>לרבות סיוע לביצוע עבירות אלה</w:t>
      </w:r>
      <w:r>
        <w:rPr>
          <w:rFonts w:ascii="Arial" w:hAnsi="Arial" w:hint="cs"/>
          <w:rtl/>
        </w:rPr>
        <w:t>.</w:t>
      </w:r>
    </w:p>
    <w:p w14:paraId="345E2256" w14:textId="77777777" w:rsidR="00E320E5" w:rsidRDefault="00E320E5" w:rsidP="00E320E5">
      <w:pPr>
        <w:pStyle w:val="a9"/>
        <w:numPr>
          <w:ilvl w:val="0"/>
          <w:numId w:val="2"/>
        </w:numPr>
        <w:spacing w:line="360" w:lineRule="auto"/>
        <w:jc w:val="both"/>
        <w:rPr>
          <w:rFonts w:ascii="Arial" w:hAnsi="Arial"/>
        </w:rPr>
      </w:pPr>
      <w:r>
        <w:rPr>
          <w:rFonts w:ascii="Arial" w:hAnsi="Arial" w:hint="cs"/>
          <w:b/>
          <w:bCs/>
          <w:rtl/>
        </w:rPr>
        <w:t>קנס 1,200 ₪ שישולם עד ליום 7.3.25</w:t>
      </w:r>
      <w:r>
        <w:rPr>
          <w:rFonts w:ascii="Arial" w:hAnsi="Arial" w:hint="cs"/>
          <w:rtl/>
        </w:rPr>
        <w:t xml:space="preserve">. אם לא ישלם את הקנס יישא הנאשם במאסר של 10 ימים. </w:t>
      </w:r>
    </w:p>
    <w:p w14:paraId="1A580819" w14:textId="77777777" w:rsidR="00E320E5" w:rsidRDefault="00E320E5" w:rsidP="00E320E5">
      <w:pPr>
        <w:pStyle w:val="a9"/>
        <w:jc w:val="both"/>
        <w:rPr>
          <w:rtl/>
        </w:rPr>
      </w:pPr>
    </w:p>
    <w:p w14:paraId="3E3B6C2B" w14:textId="77777777" w:rsidR="00E320E5" w:rsidRDefault="00E320E5" w:rsidP="00E320E5">
      <w:pPr>
        <w:pStyle w:val="a9"/>
        <w:spacing w:line="360" w:lineRule="auto"/>
        <w:jc w:val="both"/>
      </w:pPr>
      <w:r w:rsidRPr="00F85584">
        <w:rPr>
          <w:rFonts w:hint="cs"/>
          <w:b/>
          <w:bCs/>
          <w:rtl/>
        </w:rPr>
        <w:t>הקנס ישולם במלואו</w:t>
      </w:r>
      <w:r w:rsidRPr="00F85584">
        <w:rPr>
          <w:b/>
          <w:bCs/>
          <w:rtl/>
        </w:rPr>
        <w:t xml:space="preserve"> עד ליום </w:t>
      </w:r>
      <w:r w:rsidRPr="00F85584">
        <w:rPr>
          <w:rFonts w:hint="cs"/>
          <w:b/>
          <w:bCs/>
          <w:rtl/>
        </w:rPr>
        <w:t>7.3.25</w:t>
      </w:r>
      <w:r>
        <w:rPr>
          <w:rtl/>
        </w:rPr>
        <w:t xml:space="preserve">. </w:t>
      </w:r>
      <w:r>
        <w:rPr>
          <w:rFonts w:hint="cs"/>
          <w:rtl/>
        </w:rPr>
        <w:t xml:space="preserve">יש </w:t>
      </w:r>
      <w:r>
        <w:rPr>
          <w:rtl/>
        </w:rPr>
        <w:t xml:space="preserve">להסדיר את תשלום הקנס באמצעות המרכז לגביית קנסות, ולציין בפניהם את מספר התיק הפלילי. </w:t>
      </w:r>
    </w:p>
    <w:p w14:paraId="08B1733C" w14:textId="77777777" w:rsidR="00E320E5" w:rsidRDefault="00E320E5" w:rsidP="00E320E5">
      <w:pPr>
        <w:pStyle w:val="a9"/>
        <w:jc w:val="both"/>
        <w:rPr>
          <w:rtl/>
        </w:rPr>
      </w:pPr>
    </w:p>
    <w:p w14:paraId="1A9E6E76" w14:textId="77777777" w:rsidR="00E320E5" w:rsidRDefault="00E320E5" w:rsidP="00E320E5">
      <w:pPr>
        <w:pStyle w:val="a9"/>
        <w:spacing w:line="360" w:lineRule="auto"/>
        <w:jc w:val="both"/>
      </w:pPr>
      <w:r>
        <w:rPr>
          <w:rtl/>
        </w:rPr>
        <w:t>את הקנס ניתן יהיה לשלם כעבור שלושה ימים ממתן גזר הדין לחשבון המרכז לגביית קנסות</w:t>
      </w:r>
      <w:r>
        <w:rPr>
          <w:rFonts w:hint="cs"/>
          <w:rtl/>
        </w:rPr>
        <w:t xml:space="preserve"> </w:t>
      </w:r>
      <w:r>
        <w:rPr>
          <w:rtl/>
        </w:rPr>
        <w:t>ברשות האכיפה והגביה, באחת מהדרכים הבאות:</w:t>
      </w:r>
    </w:p>
    <w:p w14:paraId="4B00580B" w14:textId="77777777" w:rsidR="00E320E5" w:rsidRDefault="00E320E5" w:rsidP="00E320E5">
      <w:pPr>
        <w:pStyle w:val="a9"/>
        <w:numPr>
          <w:ilvl w:val="0"/>
          <w:numId w:val="3"/>
        </w:numPr>
        <w:spacing w:line="360" w:lineRule="auto"/>
        <w:ind w:left="1040"/>
        <w:jc w:val="both"/>
        <w:rPr>
          <w:rtl/>
        </w:rPr>
      </w:pPr>
      <w:r>
        <w:rPr>
          <w:rtl/>
        </w:rPr>
        <w:t xml:space="preserve">בכרטיס אשראי – באתר המקוון של רשות האכיפה והגביה, </w:t>
      </w:r>
      <w:hyperlink r:id="rId31" w:history="1">
        <w:r w:rsidRPr="004F5FDC">
          <w:t>www.eca.gov.il</w:t>
        </w:r>
      </w:hyperlink>
    </w:p>
    <w:p w14:paraId="673E7A28" w14:textId="77777777" w:rsidR="00E320E5" w:rsidRDefault="00E320E5" w:rsidP="00E320E5">
      <w:pPr>
        <w:pStyle w:val="a9"/>
        <w:numPr>
          <w:ilvl w:val="0"/>
          <w:numId w:val="3"/>
        </w:numPr>
        <w:spacing w:line="360" w:lineRule="auto"/>
        <w:ind w:left="1040"/>
        <w:jc w:val="both"/>
        <w:rPr>
          <w:rtl/>
        </w:rPr>
      </w:pPr>
      <w:r>
        <w:rPr>
          <w:rtl/>
        </w:rPr>
        <w:t>במוקד שירות טלפוני בשירות עצמי (מרכז גביה) – בטלפון 35592* או בטלפון 073-2055000.</w:t>
      </w:r>
    </w:p>
    <w:p w14:paraId="62E13A67" w14:textId="77777777" w:rsidR="00E320E5" w:rsidRDefault="00E320E5" w:rsidP="00E320E5">
      <w:pPr>
        <w:pStyle w:val="a9"/>
        <w:numPr>
          <w:ilvl w:val="0"/>
          <w:numId w:val="3"/>
        </w:numPr>
        <w:spacing w:line="360" w:lineRule="auto"/>
        <w:ind w:left="1040"/>
        <w:jc w:val="both"/>
        <w:rPr>
          <w:rtl/>
        </w:rPr>
      </w:pPr>
      <w:r>
        <w:rPr>
          <w:rtl/>
        </w:rPr>
        <w:t>במזומן – בכל סניף של בנק הדואר – בהצגת תעודת זהות בלבד.</w:t>
      </w:r>
    </w:p>
    <w:p w14:paraId="758A7481" w14:textId="77777777" w:rsidR="00E320E5" w:rsidRPr="00EE54E9" w:rsidRDefault="00E320E5" w:rsidP="00E320E5">
      <w:pPr>
        <w:pStyle w:val="a9"/>
        <w:jc w:val="both"/>
        <w:rPr>
          <w:rFonts w:ascii="Arial" w:hAnsi="Arial"/>
        </w:rPr>
      </w:pPr>
    </w:p>
    <w:p w14:paraId="5BA47910" w14:textId="77777777" w:rsidR="00E320E5" w:rsidRDefault="00E320E5" w:rsidP="00E320E5">
      <w:pPr>
        <w:pStyle w:val="a9"/>
        <w:numPr>
          <w:ilvl w:val="0"/>
          <w:numId w:val="1"/>
        </w:numPr>
        <w:spacing w:line="360" w:lineRule="auto"/>
        <w:ind w:left="360"/>
        <w:jc w:val="both"/>
        <w:rPr>
          <w:rFonts w:ascii="Arial" w:hAnsi="Arial"/>
        </w:rPr>
      </w:pPr>
      <w:r w:rsidRPr="002143ED">
        <w:rPr>
          <w:rFonts w:ascii="Arial" w:hAnsi="Arial" w:hint="cs"/>
          <w:b/>
          <w:bCs/>
          <w:rtl/>
        </w:rPr>
        <w:t>ניתן בזה צו המורה למשטרה לחלט את האקדח ומחסנית התחמושת או להשמידם, על פי שיקול דעתה</w:t>
      </w:r>
      <w:r>
        <w:rPr>
          <w:rFonts w:ascii="Arial" w:hAnsi="Arial" w:hint="cs"/>
          <w:rtl/>
        </w:rPr>
        <w:t xml:space="preserve">; </w:t>
      </w:r>
      <w:r w:rsidRPr="00843AAD">
        <w:rPr>
          <w:rFonts w:ascii="Arial" w:hAnsi="Arial" w:hint="cs"/>
          <w:b/>
          <w:bCs/>
          <w:rtl/>
        </w:rPr>
        <w:t xml:space="preserve">באשר ליתר המוצגים שנתפסו </w:t>
      </w:r>
      <w:r w:rsidRPr="00843AAD">
        <w:rPr>
          <w:rFonts w:ascii="Arial" w:hAnsi="Arial"/>
          <w:b/>
          <w:bCs/>
          <w:rtl/>
        </w:rPr>
        <w:t>–</w:t>
      </w:r>
      <w:r w:rsidRPr="00843AAD">
        <w:rPr>
          <w:rFonts w:ascii="Arial" w:hAnsi="Arial" w:hint="cs"/>
          <w:b/>
          <w:bCs/>
          <w:rtl/>
        </w:rPr>
        <w:t xml:space="preserve"> ככל שבוצעה בהם עבירה או שיש מניעה חוקית להשיבם הם יושמדו או יחולטו לפי שיקול דעת המשטרה</w:t>
      </w:r>
      <w:r>
        <w:rPr>
          <w:rFonts w:ascii="Arial" w:hAnsi="Arial" w:hint="cs"/>
          <w:rtl/>
        </w:rPr>
        <w:t xml:space="preserve">. </w:t>
      </w:r>
    </w:p>
    <w:p w14:paraId="4FC552EC" w14:textId="77777777" w:rsidR="00E320E5" w:rsidRDefault="00E320E5" w:rsidP="00E320E5">
      <w:pPr>
        <w:pStyle w:val="a9"/>
        <w:spacing w:line="360" w:lineRule="auto"/>
        <w:ind w:left="360"/>
        <w:jc w:val="both"/>
        <w:rPr>
          <w:rFonts w:ascii="Arial" w:hAnsi="Arial"/>
          <w:b/>
          <w:bCs/>
          <w:rtl/>
        </w:rPr>
      </w:pPr>
    </w:p>
    <w:p w14:paraId="600B0817" w14:textId="77777777" w:rsidR="00E320E5" w:rsidRPr="002143ED" w:rsidRDefault="00E320E5" w:rsidP="00E320E5">
      <w:pPr>
        <w:pStyle w:val="a9"/>
        <w:spacing w:line="360" w:lineRule="auto"/>
        <w:ind w:left="360"/>
        <w:jc w:val="both"/>
        <w:rPr>
          <w:rFonts w:ascii="Arial" w:hAnsi="Arial"/>
          <w:rtl/>
        </w:rPr>
      </w:pPr>
    </w:p>
    <w:p w14:paraId="22424AD3" w14:textId="77777777" w:rsidR="00E320E5" w:rsidRDefault="00E320E5" w:rsidP="00E320E5">
      <w:pPr>
        <w:rPr>
          <w:rFonts w:ascii="Arial" w:hAnsi="Arial"/>
          <w:b/>
          <w:bCs/>
          <w:sz w:val="26"/>
          <w:szCs w:val="26"/>
          <w:rtl/>
        </w:rPr>
      </w:pPr>
      <w:r>
        <w:rPr>
          <w:rFonts w:ascii="Arial" w:hAnsi="Arial" w:hint="cs"/>
          <w:b/>
          <w:bCs/>
          <w:sz w:val="26"/>
          <w:szCs w:val="26"/>
          <w:rtl/>
        </w:rPr>
        <w:t>זכות ערעור לבית המשפט המחוזי בחיפה בתוך 45 ימים.</w:t>
      </w:r>
    </w:p>
    <w:p w14:paraId="643D4CC7" w14:textId="77777777" w:rsidR="00E320E5" w:rsidRDefault="00E320E5" w:rsidP="00E320E5">
      <w:pPr>
        <w:rPr>
          <w:rFonts w:ascii="Arial" w:hAnsi="Arial"/>
          <w:b/>
          <w:bCs/>
          <w:sz w:val="26"/>
          <w:szCs w:val="26"/>
          <w:rtl/>
        </w:rPr>
      </w:pPr>
    </w:p>
    <w:p w14:paraId="1EB75D1D" w14:textId="77777777" w:rsidR="00E320E5" w:rsidRPr="00DB1CB4" w:rsidRDefault="00DB1CB4" w:rsidP="00E320E5">
      <w:pPr>
        <w:rPr>
          <w:rFonts w:ascii="Arial" w:hAnsi="Arial"/>
          <w:b/>
          <w:bCs/>
          <w:color w:val="FFFFFF"/>
          <w:sz w:val="2"/>
          <w:szCs w:val="2"/>
          <w:rtl/>
        </w:rPr>
      </w:pPr>
      <w:r w:rsidRPr="00DB1CB4">
        <w:rPr>
          <w:rFonts w:ascii="Arial" w:hAnsi="Arial"/>
          <w:b/>
          <w:bCs/>
          <w:color w:val="FFFFFF"/>
          <w:sz w:val="2"/>
          <w:szCs w:val="2"/>
          <w:rtl/>
        </w:rPr>
        <w:t>5129371</w:t>
      </w:r>
    </w:p>
    <w:p w14:paraId="7B7BEDCF" w14:textId="77777777" w:rsidR="00E320E5" w:rsidRPr="000F2247" w:rsidRDefault="00DB1CB4" w:rsidP="00AE1955">
      <w:pPr>
        <w:spacing w:line="360" w:lineRule="auto"/>
        <w:jc w:val="both"/>
        <w:rPr>
          <w:rFonts w:ascii="Arial" w:hAnsi="Arial"/>
          <w:b/>
          <w:bCs/>
          <w:sz w:val="26"/>
          <w:szCs w:val="26"/>
          <w:rtl/>
        </w:rPr>
      </w:pPr>
      <w:bookmarkStart w:id="8" w:name="Nitan"/>
      <w:r w:rsidRPr="00DB1CB4">
        <w:rPr>
          <w:rFonts w:ascii="Arial" w:hAnsi="Arial"/>
          <w:b/>
          <w:bCs/>
          <w:color w:val="FFFFFF"/>
          <w:sz w:val="2"/>
          <w:szCs w:val="2"/>
          <w:rtl/>
        </w:rPr>
        <w:t>54678313</w:t>
      </w:r>
      <w:r>
        <w:rPr>
          <w:rFonts w:ascii="Arial" w:hAnsi="Arial"/>
          <w:b/>
          <w:bCs/>
          <w:sz w:val="26"/>
          <w:szCs w:val="26"/>
          <w:rtl/>
        </w:rPr>
        <w:t xml:space="preserve">ניתן היום,  כ"ב כסלו תשפ"ה, 23 דצמבר 2024, במעמד הצדדים. </w:t>
      </w:r>
      <w:bookmarkEnd w:id="8"/>
      <w:r w:rsidR="00E320E5">
        <w:rPr>
          <w:rFonts w:ascii="Arial" w:hAnsi="Arial"/>
          <w:b/>
          <w:bCs/>
          <w:sz w:val="26"/>
          <w:szCs w:val="26"/>
          <w:rtl/>
        </w:rPr>
        <w:tab/>
      </w:r>
      <w:r w:rsidR="00E320E5">
        <w:rPr>
          <w:rFonts w:ascii="Arial" w:hAnsi="Arial"/>
          <w:b/>
          <w:bCs/>
          <w:sz w:val="26"/>
          <w:szCs w:val="26"/>
          <w:rtl/>
        </w:rPr>
        <w:tab/>
      </w:r>
      <w:r w:rsidR="00E320E5">
        <w:rPr>
          <w:rFonts w:ascii="Arial" w:hAnsi="Arial" w:hint="cs"/>
          <w:b/>
          <w:bCs/>
          <w:sz w:val="26"/>
          <w:szCs w:val="26"/>
          <w:rtl/>
        </w:rPr>
        <w:t xml:space="preserve">         </w:t>
      </w:r>
    </w:p>
    <w:p w14:paraId="5C5F1AF4" w14:textId="77777777" w:rsidR="00E320E5" w:rsidRPr="000F2247" w:rsidRDefault="00E320E5" w:rsidP="00DB1CB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799ED1D" w14:textId="77777777" w:rsidR="00E320E5" w:rsidRPr="00AE1955" w:rsidRDefault="00AE1955" w:rsidP="00E320E5">
      <w:pPr>
        <w:jc w:val="center"/>
        <w:rPr>
          <w:rFonts w:ascii="Arial" w:hAnsi="Arial"/>
          <w:b/>
          <w:bCs/>
          <w:color w:val="FFFFFF"/>
          <w:sz w:val="2"/>
          <w:szCs w:val="2"/>
          <w:rtl/>
        </w:rPr>
      </w:pPr>
      <w:r w:rsidRPr="00AE1955">
        <w:rPr>
          <w:rFonts w:ascii="Arial" w:hAnsi="Arial"/>
          <w:b/>
          <w:bCs/>
          <w:color w:val="FFFFFF"/>
          <w:sz w:val="2"/>
          <w:szCs w:val="2"/>
          <w:rtl/>
        </w:rPr>
        <w:t>5129371</w:t>
      </w:r>
    </w:p>
    <w:p w14:paraId="772A4FA4" w14:textId="77777777" w:rsidR="00C47802" w:rsidRPr="00AE1955" w:rsidRDefault="00AE1955" w:rsidP="00DB1CB4">
      <w:pPr>
        <w:keepNext/>
        <w:rPr>
          <w:rFonts w:ascii="David" w:hAnsi="David"/>
          <w:color w:val="FFFFFF"/>
          <w:sz w:val="2"/>
          <w:szCs w:val="2"/>
          <w:rtl/>
        </w:rPr>
      </w:pPr>
      <w:r w:rsidRPr="00AE1955">
        <w:rPr>
          <w:rFonts w:ascii="David" w:hAnsi="David"/>
          <w:color w:val="FFFFFF"/>
          <w:sz w:val="2"/>
          <w:szCs w:val="2"/>
          <w:rtl/>
        </w:rPr>
        <w:t>54678313</w:t>
      </w:r>
    </w:p>
    <w:p w14:paraId="2D3E4C2D" w14:textId="77777777" w:rsidR="00DB1CB4" w:rsidRDefault="00DB1CB4" w:rsidP="00DB1CB4">
      <w:pPr>
        <w:rPr>
          <w:rtl/>
        </w:rPr>
      </w:pPr>
    </w:p>
    <w:p w14:paraId="49FD2F17" w14:textId="77777777" w:rsidR="00DB1CB4" w:rsidRDefault="00DB1CB4" w:rsidP="00DB1CB4">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11046FE8" w14:textId="77777777" w:rsidR="00AE1955" w:rsidRPr="00AE1955" w:rsidRDefault="00AE1955" w:rsidP="00AE1955">
      <w:pPr>
        <w:keepNext/>
        <w:rPr>
          <w:rFonts w:ascii="David" w:hAnsi="David"/>
          <w:color w:val="000000"/>
          <w:sz w:val="22"/>
          <w:szCs w:val="22"/>
          <w:rtl/>
        </w:rPr>
      </w:pPr>
    </w:p>
    <w:p w14:paraId="7245D5FE" w14:textId="77777777" w:rsidR="00AE1955" w:rsidRPr="00AE1955" w:rsidRDefault="00AE1955" w:rsidP="00AE1955">
      <w:pPr>
        <w:keepNext/>
        <w:rPr>
          <w:rFonts w:ascii="David" w:hAnsi="David"/>
          <w:color w:val="000000"/>
          <w:sz w:val="22"/>
          <w:szCs w:val="22"/>
          <w:rtl/>
        </w:rPr>
      </w:pPr>
      <w:r w:rsidRPr="00AE1955">
        <w:rPr>
          <w:rFonts w:ascii="David" w:hAnsi="David"/>
          <w:color w:val="000000"/>
          <w:sz w:val="22"/>
          <w:szCs w:val="22"/>
          <w:rtl/>
        </w:rPr>
        <w:t>ערן זלר 54678313-/</w:t>
      </w:r>
    </w:p>
    <w:p w14:paraId="7C2F72BF" w14:textId="77777777" w:rsidR="00DB1CB4" w:rsidRPr="00DB1CB4" w:rsidRDefault="00AE1955" w:rsidP="00AE1955">
      <w:pPr>
        <w:rPr>
          <w:color w:val="0000FF"/>
          <w:u w:val="single"/>
        </w:rPr>
      </w:pPr>
      <w:r w:rsidRPr="00AE1955">
        <w:rPr>
          <w:color w:val="000000"/>
          <w:u w:val="single"/>
          <w:rtl/>
        </w:rPr>
        <w:t>נוסח מסמך זה כפוף לשינויי ניסוח ועריכה</w:t>
      </w:r>
    </w:p>
    <w:sectPr w:rsidR="00DB1CB4" w:rsidRPr="00DB1CB4" w:rsidSect="00AE1955">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BD728" w14:textId="77777777" w:rsidR="00D55F55" w:rsidRDefault="00D55F55" w:rsidP="00543D5C">
      <w:r>
        <w:separator/>
      </w:r>
    </w:p>
  </w:endnote>
  <w:endnote w:type="continuationSeparator" w:id="0">
    <w:p w14:paraId="624A14DE" w14:textId="77777777" w:rsidR="00D55F55" w:rsidRDefault="00D55F55" w:rsidP="00543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AF709" w14:textId="77777777" w:rsidR="00AE1955" w:rsidRDefault="00AE1955" w:rsidP="00AE195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7040EB4" w14:textId="77777777" w:rsidR="002A47D2" w:rsidRPr="00AE1955" w:rsidRDefault="00AE1955" w:rsidP="00AE1955">
    <w:pPr>
      <w:pStyle w:val="a5"/>
      <w:pBdr>
        <w:top w:val="single" w:sz="4" w:space="1" w:color="auto"/>
        <w:between w:val="single" w:sz="4" w:space="0" w:color="auto"/>
      </w:pBdr>
      <w:spacing w:after="60"/>
      <w:jc w:val="center"/>
      <w:rPr>
        <w:rFonts w:ascii="FrankRuehl" w:hAnsi="FrankRuehl" w:cs="FrankRuehl"/>
        <w:color w:val="000000"/>
      </w:rPr>
    </w:pPr>
    <w:r w:rsidRPr="00AE195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4DB09" w14:textId="77777777" w:rsidR="00AE1955" w:rsidRDefault="00AE1955" w:rsidP="00AE195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467E">
      <w:rPr>
        <w:rFonts w:ascii="FrankRuehl" w:hAnsi="FrankRuehl" w:cs="FrankRuehl"/>
        <w:noProof/>
        <w:rtl/>
      </w:rPr>
      <w:t>1</w:t>
    </w:r>
    <w:r>
      <w:rPr>
        <w:rFonts w:ascii="FrankRuehl" w:hAnsi="FrankRuehl" w:cs="FrankRuehl"/>
        <w:rtl/>
      </w:rPr>
      <w:fldChar w:fldCharType="end"/>
    </w:r>
  </w:p>
  <w:p w14:paraId="3393DE22" w14:textId="77777777" w:rsidR="002A47D2" w:rsidRPr="00AE1955" w:rsidRDefault="00AE1955" w:rsidP="00AE1955">
    <w:pPr>
      <w:pStyle w:val="a5"/>
      <w:pBdr>
        <w:top w:val="single" w:sz="4" w:space="1" w:color="auto"/>
        <w:between w:val="single" w:sz="4" w:space="0" w:color="auto"/>
      </w:pBdr>
      <w:spacing w:after="60"/>
      <w:jc w:val="center"/>
      <w:rPr>
        <w:rFonts w:ascii="FrankRuehl" w:hAnsi="FrankRuehl" w:cs="FrankRuehl"/>
        <w:color w:val="000000"/>
      </w:rPr>
    </w:pPr>
    <w:r w:rsidRPr="00AE1955">
      <w:rPr>
        <w:rFonts w:ascii="FrankRuehl" w:hAnsi="FrankRuehl" w:cs="FrankRuehl"/>
        <w:color w:val="000000"/>
      </w:rPr>
      <w:pict w14:anchorId="548D7B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EBFE1" w14:textId="77777777" w:rsidR="00D55F55" w:rsidRDefault="00D55F55" w:rsidP="00543D5C">
      <w:r>
        <w:separator/>
      </w:r>
    </w:p>
  </w:footnote>
  <w:footnote w:type="continuationSeparator" w:id="0">
    <w:p w14:paraId="54ECC076" w14:textId="77777777" w:rsidR="00D55F55" w:rsidRDefault="00D55F55" w:rsidP="00543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572C8" w14:textId="77777777" w:rsidR="00DB1CB4" w:rsidRPr="00AE1955" w:rsidRDefault="00AE1955" w:rsidP="00AE195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3106-09-24</w:t>
    </w:r>
    <w:r>
      <w:rPr>
        <w:rFonts w:ascii="David" w:hAnsi="David"/>
        <w:color w:val="000000"/>
        <w:sz w:val="22"/>
        <w:szCs w:val="22"/>
        <w:rtl/>
      </w:rPr>
      <w:tab/>
      <w:t xml:space="preserve"> מדינת ישראל נ' ג'מיל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FFFDF" w14:textId="77777777" w:rsidR="00DB1CB4" w:rsidRPr="00AE1955" w:rsidRDefault="00AE1955" w:rsidP="00AE195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3106-09-24</w:t>
    </w:r>
    <w:r>
      <w:rPr>
        <w:rFonts w:ascii="David" w:hAnsi="David"/>
        <w:color w:val="000000"/>
        <w:sz w:val="22"/>
        <w:szCs w:val="22"/>
        <w:rtl/>
      </w:rPr>
      <w:tab/>
      <w:t xml:space="preserve"> מדינת ישראל נ' ג'מיל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A53C4"/>
    <w:multiLevelType w:val="hybridMultilevel"/>
    <w:tmpl w:val="97F8691E"/>
    <w:lvl w:ilvl="0" w:tplc="D05036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E22AA"/>
    <w:multiLevelType w:val="hybridMultilevel"/>
    <w:tmpl w:val="154A26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779F566A"/>
    <w:multiLevelType w:val="hybridMultilevel"/>
    <w:tmpl w:val="193A3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87D30E7"/>
    <w:multiLevelType w:val="hybridMultilevel"/>
    <w:tmpl w:val="F21E2F22"/>
    <w:lvl w:ilvl="0" w:tplc="3C2EFF54">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7483643">
    <w:abstractNumId w:val="2"/>
  </w:num>
  <w:num w:numId="2" w16cid:durableId="248462912">
    <w:abstractNumId w:val="0"/>
  </w:num>
  <w:num w:numId="3" w16cid:durableId="1634753571">
    <w:abstractNumId w:val="1"/>
  </w:num>
  <w:num w:numId="4" w16cid:durableId="1964383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20E5"/>
    <w:rsid w:val="001D2936"/>
    <w:rsid w:val="002A47D2"/>
    <w:rsid w:val="00543D5C"/>
    <w:rsid w:val="009A4E4C"/>
    <w:rsid w:val="00AE1955"/>
    <w:rsid w:val="00C47802"/>
    <w:rsid w:val="00D55F55"/>
    <w:rsid w:val="00DB1CB4"/>
    <w:rsid w:val="00E320E5"/>
    <w:rsid w:val="00E546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C1CF4D"/>
  <w15:chartTrackingRefBased/>
  <w15:docId w15:val="{401001E4-20C5-4D4E-B02B-150AF497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20E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20E5"/>
    <w:pPr>
      <w:tabs>
        <w:tab w:val="center" w:pos="4153"/>
        <w:tab w:val="right" w:pos="8306"/>
      </w:tabs>
    </w:pPr>
  </w:style>
  <w:style w:type="character" w:customStyle="1" w:styleId="a4">
    <w:name w:val="כותרת עליונה תו"/>
    <w:link w:val="a3"/>
    <w:rsid w:val="00E320E5"/>
    <w:rPr>
      <w:rFonts w:ascii="Times New Roman" w:eastAsia="Times New Roman" w:hAnsi="Times New Roman" w:cs="David"/>
      <w:sz w:val="24"/>
      <w:szCs w:val="24"/>
    </w:rPr>
  </w:style>
  <w:style w:type="paragraph" w:styleId="a5">
    <w:name w:val="footer"/>
    <w:basedOn w:val="a"/>
    <w:link w:val="a6"/>
    <w:rsid w:val="00E320E5"/>
    <w:pPr>
      <w:tabs>
        <w:tab w:val="center" w:pos="4153"/>
        <w:tab w:val="right" w:pos="8306"/>
      </w:tabs>
    </w:pPr>
  </w:style>
  <w:style w:type="character" w:customStyle="1" w:styleId="a6">
    <w:name w:val="כותרת תחתונה תו"/>
    <w:link w:val="a5"/>
    <w:rsid w:val="00E320E5"/>
    <w:rPr>
      <w:rFonts w:ascii="Times New Roman" w:eastAsia="Times New Roman" w:hAnsi="Times New Roman" w:cs="David"/>
      <w:sz w:val="24"/>
      <w:szCs w:val="24"/>
    </w:rPr>
  </w:style>
  <w:style w:type="table" w:styleId="a7">
    <w:name w:val="Table Grid"/>
    <w:basedOn w:val="a1"/>
    <w:rsid w:val="00E320E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20E5"/>
  </w:style>
  <w:style w:type="character" w:styleId="Hyperlink">
    <w:name w:val="Hyperlink"/>
    <w:rsid w:val="00E320E5"/>
    <w:rPr>
      <w:color w:val="0563C1"/>
      <w:u w:val="single"/>
    </w:rPr>
  </w:style>
  <w:style w:type="paragraph" w:styleId="a9">
    <w:name w:val="List Paragraph"/>
    <w:basedOn w:val="a"/>
    <w:link w:val="aa"/>
    <w:qFormat/>
    <w:rsid w:val="00E320E5"/>
    <w:pPr>
      <w:ind w:left="720"/>
      <w:contextualSpacing/>
    </w:pPr>
  </w:style>
  <w:style w:type="character" w:customStyle="1" w:styleId="aa">
    <w:name w:val="פיסקת רשימה תו"/>
    <w:link w:val="a9"/>
    <w:locked/>
    <w:rsid w:val="00E320E5"/>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5824863" TargetMode="External"/><Relationship Id="rId26" Type="http://schemas.openxmlformats.org/officeDocument/2006/relationships/hyperlink" Target="http://www.nevo.co.il/case/30681902" TargetMode="External"/><Relationship Id="rId21" Type="http://schemas.openxmlformats.org/officeDocument/2006/relationships/hyperlink" Target="http://www.nevo.co.il/case/26193556"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6934681" TargetMode="External"/><Relationship Id="rId25" Type="http://schemas.openxmlformats.org/officeDocument/2006/relationships/hyperlink" Target="http://www.nevo.co.il/case/27924320"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6630169" TargetMode="External"/><Relationship Id="rId20" Type="http://schemas.openxmlformats.org/officeDocument/2006/relationships/hyperlink" Target="http://www.nevo.co.il/case/28384637" TargetMode="External"/><Relationship Id="rId29" Type="http://schemas.openxmlformats.org/officeDocument/2006/relationships/hyperlink" Target="http://www.nevo.co.il/law/70301/1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1" TargetMode="External"/><Relationship Id="rId24" Type="http://schemas.openxmlformats.org/officeDocument/2006/relationships/hyperlink" Target="http://www.nevo.co.il/case/32698967"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29445473" TargetMode="External"/><Relationship Id="rId28" Type="http://schemas.openxmlformats.org/officeDocument/2006/relationships/hyperlink" Target="http://www.nevo.co.il/case/28450570" TargetMode="External"/><Relationship Id="rId36"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case/28513828" TargetMode="External"/><Relationship Id="rId31"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3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8532814" TargetMode="External"/><Relationship Id="rId30" Type="http://schemas.openxmlformats.org/officeDocument/2006/relationships/hyperlink" Target="http://www.nevo.co.il/law/70301" TargetMode="External"/><Relationship Id="rId35" Type="http://schemas.openxmlformats.org/officeDocument/2006/relationships/footer" Target="footer1.xml"/><Relationship Id="rId8" Type="http://schemas.openxmlformats.org/officeDocument/2006/relationships/hyperlink" Target="http://www.nevo.co.il/law/70301/3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2372</Words>
  <Characters>11860</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14204</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7864368</vt:i4>
      </vt:variant>
      <vt:variant>
        <vt:i4>72</vt:i4>
      </vt:variant>
      <vt:variant>
        <vt:i4>0</vt:i4>
      </vt:variant>
      <vt:variant>
        <vt:i4>5</vt:i4>
      </vt:variant>
      <vt:variant>
        <vt:lpwstr>http://www.eca.gov.il/</vt:lpwstr>
      </vt:variant>
      <vt:variant>
        <vt:lpwstr/>
      </vt:variant>
      <vt:variant>
        <vt:i4>7995492</vt:i4>
      </vt:variant>
      <vt:variant>
        <vt:i4>69</vt:i4>
      </vt:variant>
      <vt:variant>
        <vt:i4>0</vt:i4>
      </vt:variant>
      <vt:variant>
        <vt:i4>5</vt:i4>
      </vt:variant>
      <vt:variant>
        <vt:lpwstr>http://www.nevo.co.il/law/70301</vt:lpwstr>
      </vt:variant>
      <vt:variant>
        <vt:lpwstr/>
      </vt:variant>
      <vt:variant>
        <vt:i4>6357092</vt:i4>
      </vt:variant>
      <vt:variant>
        <vt:i4>66</vt:i4>
      </vt:variant>
      <vt:variant>
        <vt:i4>0</vt:i4>
      </vt:variant>
      <vt:variant>
        <vt:i4>5</vt:i4>
      </vt:variant>
      <vt:variant>
        <vt:lpwstr>http://www.nevo.co.il/law/70301/144</vt:lpwstr>
      </vt:variant>
      <vt:variant>
        <vt:lpwstr/>
      </vt:variant>
      <vt:variant>
        <vt:i4>3211388</vt:i4>
      </vt:variant>
      <vt:variant>
        <vt:i4>63</vt:i4>
      </vt:variant>
      <vt:variant>
        <vt:i4>0</vt:i4>
      </vt:variant>
      <vt:variant>
        <vt:i4>5</vt:i4>
      </vt:variant>
      <vt:variant>
        <vt:lpwstr>http://www.nevo.co.il/case/28450570</vt:lpwstr>
      </vt:variant>
      <vt:variant>
        <vt:lpwstr/>
      </vt:variant>
      <vt:variant>
        <vt:i4>3407991</vt:i4>
      </vt:variant>
      <vt:variant>
        <vt:i4>60</vt:i4>
      </vt:variant>
      <vt:variant>
        <vt:i4>0</vt:i4>
      </vt:variant>
      <vt:variant>
        <vt:i4>5</vt:i4>
      </vt:variant>
      <vt:variant>
        <vt:lpwstr>http://www.nevo.co.il/case/28532814</vt:lpwstr>
      </vt:variant>
      <vt:variant>
        <vt:lpwstr/>
      </vt:variant>
      <vt:variant>
        <vt:i4>3407989</vt:i4>
      </vt:variant>
      <vt:variant>
        <vt:i4>57</vt:i4>
      </vt:variant>
      <vt:variant>
        <vt:i4>0</vt:i4>
      </vt:variant>
      <vt:variant>
        <vt:i4>5</vt:i4>
      </vt:variant>
      <vt:variant>
        <vt:lpwstr>http://www.nevo.co.il/case/30681902</vt:lpwstr>
      </vt:variant>
      <vt:variant>
        <vt:lpwstr/>
      </vt:variant>
      <vt:variant>
        <vt:i4>3997810</vt:i4>
      </vt:variant>
      <vt:variant>
        <vt:i4>54</vt:i4>
      </vt:variant>
      <vt:variant>
        <vt:i4>0</vt:i4>
      </vt:variant>
      <vt:variant>
        <vt:i4>5</vt:i4>
      </vt:variant>
      <vt:variant>
        <vt:lpwstr>http://www.nevo.co.il/case/27924320</vt:lpwstr>
      </vt:variant>
      <vt:variant>
        <vt:lpwstr/>
      </vt:variant>
      <vt:variant>
        <vt:i4>3866742</vt:i4>
      </vt:variant>
      <vt:variant>
        <vt:i4>51</vt:i4>
      </vt:variant>
      <vt:variant>
        <vt:i4>0</vt:i4>
      </vt:variant>
      <vt:variant>
        <vt:i4>5</vt:i4>
      </vt:variant>
      <vt:variant>
        <vt:lpwstr>http://www.nevo.co.il/case/32698967</vt:lpwstr>
      </vt:variant>
      <vt:variant>
        <vt:lpwstr/>
      </vt:variant>
      <vt:variant>
        <vt:i4>3407997</vt:i4>
      </vt:variant>
      <vt:variant>
        <vt:i4>48</vt:i4>
      </vt:variant>
      <vt:variant>
        <vt:i4>0</vt:i4>
      </vt:variant>
      <vt:variant>
        <vt:i4>5</vt:i4>
      </vt:variant>
      <vt:variant>
        <vt:lpwstr>http://www.nevo.co.il/case/29445473</vt:lpwstr>
      </vt:variant>
      <vt:variant>
        <vt:lpwstr/>
      </vt:variant>
      <vt:variant>
        <vt:i4>7995492</vt:i4>
      </vt:variant>
      <vt:variant>
        <vt:i4>45</vt:i4>
      </vt:variant>
      <vt:variant>
        <vt:i4>0</vt:i4>
      </vt:variant>
      <vt:variant>
        <vt:i4>5</vt:i4>
      </vt:variant>
      <vt:variant>
        <vt:lpwstr>http://www.nevo.co.il/law/70301</vt:lpwstr>
      </vt:variant>
      <vt:variant>
        <vt:lpwstr/>
      </vt:variant>
      <vt:variant>
        <vt:i4>3473534</vt:i4>
      </vt:variant>
      <vt:variant>
        <vt:i4>42</vt:i4>
      </vt:variant>
      <vt:variant>
        <vt:i4>0</vt:i4>
      </vt:variant>
      <vt:variant>
        <vt:i4>5</vt:i4>
      </vt:variant>
      <vt:variant>
        <vt:lpwstr>http://www.nevo.co.il/case/26193556</vt:lpwstr>
      </vt:variant>
      <vt:variant>
        <vt:lpwstr/>
      </vt:variant>
      <vt:variant>
        <vt:i4>3539058</vt:i4>
      </vt:variant>
      <vt:variant>
        <vt:i4>39</vt:i4>
      </vt:variant>
      <vt:variant>
        <vt:i4>0</vt:i4>
      </vt:variant>
      <vt:variant>
        <vt:i4>5</vt:i4>
      </vt:variant>
      <vt:variant>
        <vt:lpwstr>http://www.nevo.co.il/case/28384637</vt:lpwstr>
      </vt:variant>
      <vt:variant>
        <vt:lpwstr/>
      </vt:variant>
      <vt:variant>
        <vt:i4>3539061</vt:i4>
      </vt:variant>
      <vt:variant>
        <vt:i4>36</vt:i4>
      </vt:variant>
      <vt:variant>
        <vt:i4>0</vt:i4>
      </vt:variant>
      <vt:variant>
        <vt:i4>5</vt:i4>
      </vt:variant>
      <vt:variant>
        <vt:lpwstr>http://www.nevo.co.il/case/28513828</vt:lpwstr>
      </vt:variant>
      <vt:variant>
        <vt:lpwstr/>
      </vt:variant>
      <vt:variant>
        <vt:i4>3670139</vt:i4>
      </vt:variant>
      <vt:variant>
        <vt:i4>33</vt:i4>
      </vt:variant>
      <vt:variant>
        <vt:i4>0</vt:i4>
      </vt:variant>
      <vt:variant>
        <vt:i4>5</vt:i4>
      </vt:variant>
      <vt:variant>
        <vt:lpwstr>http://www.nevo.co.il/case/25824863</vt:lpwstr>
      </vt:variant>
      <vt:variant>
        <vt:lpwstr/>
      </vt:variant>
      <vt:variant>
        <vt:i4>3604599</vt:i4>
      </vt:variant>
      <vt:variant>
        <vt:i4>30</vt:i4>
      </vt:variant>
      <vt:variant>
        <vt:i4>0</vt:i4>
      </vt:variant>
      <vt:variant>
        <vt:i4>5</vt:i4>
      </vt:variant>
      <vt:variant>
        <vt:lpwstr>http://www.nevo.co.il/case/26934681</vt:lpwstr>
      </vt:variant>
      <vt:variant>
        <vt:lpwstr/>
      </vt:variant>
      <vt:variant>
        <vt:i4>3276912</vt:i4>
      </vt:variant>
      <vt:variant>
        <vt:i4>27</vt:i4>
      </vt:variant>
      <vt:variant>
        <vt:i4>0</vt:i4>
      </vt:variant>
      <vt:variant>
        <vt:i4>5</vt:i4>
      </vt:variant>
      <vt:variant>
        <vt:lpwstr>http://www.nevo.co.il/case/26630169</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2025-02-28T15:36:00Z</dcterms:created>
  <dcterms:modified xsi:type="dcterms:W3CDTF">2025-02-28T15:36:00Z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3106</vt:lpwstr>
  </property>
  <property fmtid="{D5CDD505-2E9C-101B-9397-08002B2CF9AE}" pid="6" name="NEWPARTB">
    <vt:lpwstr>09</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ג'מיל עמאש</vt:lpwstr>
  </property>
  <property fmtid="{D5CDD505-2E9C-101B-9397-08002B2CF9AE}" pid="10" name="LAWYER">
    <vt:lpwstr>עאדל בויראת;עדי נשר</vt:lpwstr>
  </property>
  <property fmtid="{D5CDD505-2E9C-101B-9397-08002B2CF9AE}" pid="11" name="JUDGE">
    <vt:lpwstr>ערן זלר</vt:lpwstr>
  </property>
  <property fmtid="{D5CDD505-2E9C-101B-9397-08002B2CF9AE}" pid="12" name="CITY">
    <vt:lpwstr>חד'</vt:lpwstr>
  </property>
  <property fmtid="{D5CDD505-2E9C-101B-9397-08002B2CF9AE}" pid="13" name="DATE">
    <vt:lpwstr>20241223</vt:lpwstr>
  </property>
  <property fmtid="{D5CDD505-2E9C-101B-9397-08002B2CF9AE}" pid="14" name="TYPE_N_DATE">
    <vt:lpwstr>38020241223</vt:lpwstr>
  </property>
  <property fmtid="{D5CDD505-2E9C-101B-9397-08002B2CF9AE}" pid="15" name="CASESLISTTMP1">
    <vt:lpwstr>26630169;26934681;25824863;28513828;28384637;26193556;29445473;32698967;27924320;30681902;28532814;28450570</vt:lpwstr>
  </property>
  <property fmtid="{D5CDD505-2E9C-101B-9397-08002B2CF9AE}" pid="16" name="CASENOTES1">
    <vt:lpwstr>ProcID=209&amp;PartA=10875&amp;PartB=12&amp;PartC=21</vt:lpwstr>
  </property>
  <property fmtid="{D5CDD505-2E9C-101B-9397-08002B2CF9AE}" pid="17" name="ISABSTRACT">
    <vt:lpwstr>Y</vt:lpwstr>
  </property>
  <property fmtid="{D5CDD505-2E9C-101B-9397-08002B2CF9AE}" pid="18" name="WORDNUMPAGES">
    <vt:lpwstr>8</vt:lpwstr>
  </property>
  <property fmtid="{D5CDD505-2E9C-101B-9397-08002B2CF9AE}" pid="19" name="TYPE_ABS_DATE">
    <vt:lpwstr>380020241223</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70301/031:2;144.a:2;144</vt:lpwstr>
  </property>
</Properties>
</file>