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330262" w:rsidRPr="00B96157" w14:paraId="154069C3" w14:textId="77777777" w:rsidTr="009F2501">
        <w:trPr>
          <w:trHeight w:hRule="exact" w:val="418"/>
          <w:jc w:val="center"/>
        </w:trPr>
        <w:tc>
          <w:tcPr>
            <w:tcW w:w="8721" w:type="dxa"/>
            <w:gridSpan w:val="2"/>
          </w:tcPr>
          <w:p w14:paraId="27D79A1F" w14:textId="77777777" w:rsidR="00330262" w:rsidRPr="00B96157" w:rsidRDefault="00330262" w:rsidP="00310E64">
            <w:pPr>
              <w:pStyle w:val="a3"/>
              <w:jc w:val="center"/>
              <w:rPr>
                <w:rFonts w:ascii="Tahoma" w:hAnsi="Tahoma" w:cs="Tahoma"/>
                <w:color w:val="000080"/>
                <w:rtl/>
              </w:rPr>
            </w:pPr>
            <w:bookmarkStart w:id="0" w:name="LastJudge"/>
            <w:r w:rsidRPr="00B96157">
              <w:rPr>
                <w:rFonts w:ascii="Tahoma" w:hAnsi="Tahoma" w:cs="Tahoma"/>
                <w:b/>
                <w:bCs/>
                <w:color w:val="000080"/>
                <w:rtl/>
              </w:rPr>
              <w:t>בית משפט השלום בחיפה</w:t>
            </w:r>
          </w:p>
        </w:tc>
      </w:tr>
      <w:tr w:rsidR="00330262" w:rsidRPr="00B96157" w14:paraId="7E1FA8C2" w14:textId="77777777" w:rsidTr="009F2501">
        <w:trPr>
          <w:trHeight w:val="337"/>
          <w:jc w:val="center"/>
        </w:trPr>
        <w:tc>
          <w:tcPr>
            <w:tcW w:w="5058" w:type="dxa"/>
          </w:tcPr>
          <w:p w14:paraId="632610CA" w14:textId="77777777" w:rsidR="00330262" w:rsidRPr="00B96157" w:rsidRDefault="00330262" w:rsidP="00310E64">
            <w:pPr>
              <w:rPr>
                <w:rFonts w:cs="FrankRuehl"/>
                <w:sz w:val="28"/>
                <w:szCs w:val="28"/>
                <w:rtl/>
              </w:rPr>
            </w:pPr>
            <w:r w:rsidRPr="00B96157">
              <w:rPr>
                <w:rFonts w:cs="FrankRuehl"/>
                <w:sz w:val="28"/>
                <w:szCs w:val="28"/>
                <w:rtl/>
              </w:rPr>
              <w:t>ת"פ</w:t>
            </w:r>
            <w:r w:rsidRPr="00B96157">
              <w:rPr>
                <w:rFonts w:cs="FrankRuehl" w:hint="cs"/>
                <w:sz w:val="28"/>
                <w:szCs w:val="28"/>
                <w:rtl/>
              </w:rPr>
              <w:t xml:space="preserve"> </w:t>
            </w:r>
            <w:r w:rsidRPr="00B96157">
              <w:rPr>
                <w:rFonts w:cs="FrankRuehl"/>
                <w:sz w:val="28"/>
                <w:szCs w:val="28"/>
                <w:rtl/>
              </w:rPr>
              <w:t>3548-09-24</w:t>
            </w:r>
            <w:r w:rsidRPr="00B96157">
              <w:rPr>
                <w:rFonts w:cs="FrankRuehl" w:hint="cs"/>
                <w:sz w:val="28"/>
                <w:szCs w:val="28"/>
                <w:rtl/>
              </w:rPr>
              <w:t xml:space="preserve"> </w:t>
            </w:r>
            <w:r w:rsidRPr="00B96157">
              <w:rPr>
                <w:rFonts w:cs="FrankRuehl"/>
                <w:sz w:val="28"/>
                <w:szCs w:val="28"/>
                <w:rtl/>
              </w:rPr>
              <w:t>מדינת ישראל נ' שרוף(עציר)</w:t>
            </w:r>
          </w:p>
          <w:p w14:paraId="465F0301" w14:textId="77777777" w:rsidR="00330262" w:rsidRPr="00B96157" w:rsidRDefault="00330262" w:rsidP="00310E64">
            <w:pPr>
              <w:pStyle w:val="a3"/>
              <w:rPr>
                <w:rFonts w:cs="FrankRuehl"/>
                <w:sz w:val="28"/>
                <w:szCs w:val="28"/>
                <w:rtl/>
              </w:rPr>
            </w:pPr>
          </w:p>
        </w:tc>
        <w:tc>
          <w:tcPr>
            <w:tcW w:w="3663" w:type="dxa"/>
          </w:tcPr>
          <w:p w14:paraId="46030D3D" w14:textId="77777777" w:rsidR="00330262" w:rsidRPr="00B96157" w:rsidRDefault="00330262" w:rsidP="00310E64">
            <w:pPr>
              <w:pStyle w:val="a3"/>
              <w:jc w:val="right"/>
              <w:rPr>
                <w:rFonts w:cs="FrankRuehl"/>
                <w:sz w:val="28"/>
                <w:szCs w:val="28"/>
                <w:rtl/>
              </w:rPr>
            </w:pPr>
          </w:p>
        </w:tc>
      </w:tr>
    </w:tbl>
    <w:p w14:paraId="1F9A253F" w14:textId="77777777" w:rsidR="00330262" w:rsidRPr="00B96157" w:rsidRDefault="00330262" w:rsidP="00330262">
      <w:pPr>
        <w:pStyle w:val="a3"/>
        <w:rPr>
          <w:rtl/>
        </w:rPr>
      </w:pPr>
      <w:r w:rsidRPr="00B9615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30262" w:rsidRPr="00B96157" w14:paraId="57C4FD8D" w14:textId="77777777" w:rsidTr="00330262">
        <w:trPr>
          <w:trHeight w:val="295"/>
          <w:jc w:val="center"/>
        </w:trPr>
        <w:tc>
          <w:tcPr>
            <w:tcW w:w="923" w:type="dxa"/>
            <w:tcBorders>
              <w:top w:val="nil"/>
              <w:left w:val="nil"/>
              <w:bottom w:val="nil"/>
              <w:right w:val="nil"/>
            </w:tcBorders>
            <w:shd w:val="clear" w:color="auto" w:fill="auto"/>
          </w:tcPr>
          <w:p w14:paraId="7793A4A5" w14:textId="77777777" w:rsidR="00330262" w:rsidRPr="00B96157" w:rsidRDefault="00330262" w:rsidP="00330262">
            <w:pPr>
              <w:jc w:val="both"/>
              <w:rPr>
                <w:rFonts w:ascii="David" w:hAnsi="David"/>
                <w:sz w:val="26"/>
                <w:szCs w:val="26"/>
              </w:rPr>
            </w:pPr>
            <w:r w:rsidRPr="00B96157">
              <w:rPr>
                <w:rFonts w:ascii="David" w:hAnsi="David" w:hint="cs"/>
                <w:sz w:val="26"/>
                <w:szCs w:val="26"/>
                <w:rtl/>
              </w:rPr>
              <w:t>ל</w:t>
            </w:r>
            <w:r w:rsidRPr="00B9615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6204812" w14:textId="77777777" w:rsidR="00330262" w:rsidRPr="00B96157" w:rsidRDefault="00330262" w:rsidP="00310E64">
            <w:pPr>
              <w:rPr>
                <w:rFonts w:ascii="David" w:hAnsi="David"/>
                <w:b/>
                <w:bCs/>
                <w:sz w:val="26"/>
                <w:szCs w:val="26"/>
                <w:rtl/>
              </w:rPr>
            </w:pPr>
            <w:r w:rsidRPr="00B96157">
              <w:rPr>
                <w:rFonts w:ascii="David" w:hAnsi="David"/>
                <w:b/>
                <w:bCs/>
                <w:sz w:val="26"/>
                <w:szCs w:val="26"/>
                <w:rtl/>
              </w:rPr>
              <w:t>כבוד השופטת מריה פיקוס בוגדאנוב</w:t>
            </w:r>
          </w:p>
          <w:p w14:paraId="4F79DDBD" w14:textId="77777777" w:rsidR="00330262" w:rsidRPr="00B96157" w:rsidRDefault="00330262" w:rsidP="00310E64">
            <w:pPr>
              <w:rPr>
                <w:rFonts w:ascii="David" w:hAnsi="David"/>
                <w:sz w:val="26"/>
                <w:szCs w:val="26"/>
                <w:rtl/>
              </w:rPr>
            </w:pPr>
          </w:p>
          <w:p w14:paraId="113C779A" w14:textId="77777777" w:rsidR="00330262" w:rsidRPr="00B96157" w:rsidRDefault="00330262" w:rsidP="00330262">
            <w:pPr>
              <w:jc w:val="both"/>
              <w:rPr>
                <w:rFonts w:ascii="David" w:hAnsi="David"/>
                <w:sz w:val="26"/>
                <w:szCs w:val="26"/>
              </w:rPr>
            </w:pPr>
          </w:p>
        </w:tc>
      </w:tr>
      <w:tr w:rsidR="00330262" w:rsidRPr="00B96157" w14:paraId="61DF3AC1" w14:textId="77777777" w:rsidTr="00330262">
        <w:trPr>
          <w:trHeight w:val="355"/>
          <w:jc w:val="center"/>
        </w:trPr>
        <w:tc>
          <w:tcPr>
            <w:tcW w:w="923" w:type="dxa"/>
            <w:tcBorders>
              <w:top w:val="nil"/>
              <w:left w:val="nil"/>
              <w:bottom w:val="nil"/>
              <w:right w:val="nil"/>
            </w:tcBorders>
            <w:shd w:val="clear" w:color="auto" w:fill="auto"/>
          </w:tcPr>
          <w:p w14:paraId="3B3FE350" w14:textId="77777777" w:rsidR="00330262" w:rsidRPr="00B96157" w:rsidRDefault="00330262" w:rsidP="00330262">
            <w:pPr>
              <w:jc w:val="both"/>
              <w:rPr>
                <w:rFonts w:ascii="David" w:hAnsi="David"/>
                <w:sz w:val="26"/>
                <w:szCs w:val="26"/>
              </w:rPr>
            </w:pPr>
            <w:bookmarkStart w:id="1" w:name="FirstAppellant"/>
            <w:r w:rsidRPr="00B96157">
              <w:rPr>
                <w:rFonts w:ascii="David" w:hAnsi="David"/>
                <w:sz w:val="26"/>
                <w:szCs w:val="26"/>
                <w:rtl/>
              </w:rPr>
              <w:t>בעניין:</w:t>
            </w:r>
          </w:p>
        </w:tc>
        <w:tc>
          <w:tcPr>
            <w:tcW w:w="3219" w:type="dxa"/>
            <w:tcBorders>
              <w:top w:val="nil"/>
              <w:left w:val="nil"/>
              <w:bottom w:val="nil"/>
              <w:right w:val="nil"/>
            </w:tcBorders>
            <w:shd w:val="clear" w:color="auto" w:fill="auto"/>
          </w:tcPr>
          <w:p w14:paraId="1D004CC8" w14:textId="77777777" w:rsidR="00330262" w:rsidRPr="00B96157" w:rsidRDefault="00330262" w:rsidP="00330262">
            <w:pPr>
              <w:suppressLineNumbers/>
            </w:pPr>
            <w:r w:rsidRPr="00B96157">
              <w:rPr>
                <w:rFonts w:ascii="Arial" w:hAnsi="Arial" w:hint="cs"/>
                <w:b/>
                <w:bCs/>
                <w:sz w:val="26"/>
                <w:szCs w:val="26"/>
                <w:rtl/>
              </w:rPr>
              <w:t>ה</w:t>
            </w:r>
            <w:r w:rsidRPr="00B96157">
              <w:rPr>
                <w:rFonts w:ascii="Arial" w:hAnsi="Arial"/>
                <w:b/>
                <w:bCs/>
                <w:sz w:val="26"/>
                <w:szCs w:val="26"/>
                <w:rtl/>
              </w:rPr>
              <w:t>מאשימה</w:t>
            </w:r>
          </w:p>
          <w:p w14:paraId="2F8E4A88" w14:textId="77777777" w:rsidR="00330262" w:rsidRPr="00B96157" w:rsidRDefault="00330262" w:rsidP="00310E64">
            <w:pPr>
              <w:rPr>
                <w:rFonts w:ascii="David" w:hAnsi="David"/>
                <w:sz w:val="26"/>
                <w:szCs w:val="26"/>
              </w:rPr>
            </w:pPr>
          </w:p>
        </w:tc>
        <w:tc>
          <w:tcPr>
            <w:tcW w:w="4678" w:type="dxa"/>
            <w:tcBorders>
              <w:top w:val="nil"/>
              <w:left w:val="nil"/>
              <w:bottom w:val="nil"/>
              <w:right w:val="nil"/>
            </w:tcBorders>
            <w:shd w:val="clear" w:color="auto" w:fill="auto"/>
            <w:vAlign w:val="center"/>
          </w:tcPr>
          <w:p w14:paraId="00CE0DE4" w14:textId="77777777" w:rsidR="00330262" w:rsidRPr="00B96157" w:rsidRDefault="00330262" w:rsidP="00330262">
            <w:pPr>
              <w:suppressLineNumbers/>
            </w:pPr>
            <w:r w:rsidRPr="00B96157">
              <w:rPr>
                <w:rFonts w:ascii="Arial" w:hAnsi="Arial"/>
                <w:b/>
                <w:bCs/>
                <w:sz w:val="26"/>
                <w:szCs w:val="26"/>
                <w:rtl/>
              </w:rPr>
              <w:t>מדינת ישראל</w:t>
            </w:r>
            <w:r w:rsidRPr="00B96157">
              <w:rPr>
                <w:rFonts w:ascii="Arial" w:hAnsi="Arial" w:hint="cs"/>
                <w:b/>
                <w:bCs/>
                <w:sz w:val="26"/>
                <w:szCs w:val="26"/>
                <w:rtl/>
              </w:rPr>
              <w:t xml:space="preserve"> </w:t>
            </w:r>
          </w:p>
          <w:p w14:paraId="7BF78611" w14:textId="77777777" w:rsidR="00330262" w:rsidRPr="00B96157" w:rsidRDefault="00330262" w:rsidP="00310E64">
            <w:pPr>
              <w:rPr>
                <w:rFonts w:ascii="David" w:hAnsi="David"/>
                <w:sz w:val="26"/>
                <w:szCs w:val="26"/>
              </w:rPr>
            </w:pPr>
          </w:p>
        </w:tc>
      </w:tr>
      <w:bookmarkEnd w:id="1"/>
      <w:tr w:rsidR="00330262" w:rsidRPr="00B96157" w14:paraId="1D931A2A" w14:textId="77777777" w:rsidTr="00330262">
        <w:trPr>
          <w:trHeight w:val="355"/>
          <w:jc w:val="center"/>
        </w:trPr>
        <w:tc>
          <w:tcPr>
            <w:tcW w:w="923" w:type="dxa"/>
            <w:tcBorders>
              <w:top w:val="nil"/>
              <w:left w:val="nil"/>
              <w:bottom w:val="nil"/>
              <w:right w:val="nil"/>
            </w:tcBorders>
            <w:shd w:val="clear" w:color="auto" w:fill="auto"/>
          </w:tcPr>
          <w:p w14:paraId="4BDDD7CD" w14:textId="77777777" w:rsidR="00330262" w:rsidRPr="00B96157" w:rsidRDefault="00330262" w:rsidP="0033026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8ACBD93" w14:textId="77777777" w:rsidR="00330262" w:rsidRPr="00B96157" w:rsidRDefault="00330262" w:rsidP="00330262">
            <w:pPr>
              <w:jc w:val="center"/>
              <w:rPr>
                <w:rFonts w:ascii="David" w:hAnsi="David"/>
                <w:b/>
                <w:bCs/>
                <w:sz w:val="26"/>
                <w:szCs w:val="26"/>
                <w:rtl/>
              </w:rPr>
            </w:pPr>
          </w:p>
          <w:p w14:paraId="35F16BAC" w14:textId="77777777" w:rsidR="00330262" w:rsidRPr="00B96157" w:rsidRDefault="00330262" w:rsidP="00330262">
            <w:pPr>
              <w:jc w:val="center"/>
              <w:rPr>
                <w:rFonts w:ascii="David" w:hAnsi="David"/>
                <w:b/>
                <w:bCs/>
                <w:sz w:val="26"/>
                <w:szCs w:val="26"/>
                <w:rtl/>
              </w:rPr>
            </w:pPr>
            <w:r w:rsidRPr="00B96157">
              <w:rPr>
                <w:rFonts w:ascii="David" w:hAnsi="David"/>
                <w:b/>
                <w:bCs/>
                <w:sz w:val="26"/>
                <w:szCs w:val="26"/>
                <w:rtl/>
              </w:rPr>
              <w:t>נגד</w:t>
            </w:r>
          </w:p>
          <w:p w14:paraId="09BC72F7" w14:textId="77777777" w:rsidR="00330262" w:rsidRPr="00B96157" w:rsidRDefault="00330262" w:rsidP="00330262">
            <w:pPr>
              <w:jc w:val="both"/>
              <w:rPr>
                <w:rFonts w:ascii="David" w:hAnsi="David"/>
                <w:sz w:val="26"/>
                <w:szCs w:val="26"/>
              </w:rPr>
            </w:pPr>
          </w:p>
        </w:tc>
      </w:tr>
      <w:tr w:rsidR="00330262" w:rsidRPr="00B96157" w14:paraId="3C73CD9C" w14:textId="77777777" w:rsidTr="00330262">
        <w:trPr>
          <w:trHeight w:val="355"/>
          <w:jc w:val="center"/>
        </w:trPr>
        <w:tc>
          <w:tcPr>
            <w:tcW w:w="923" w:type="dxa"/>
            <w:tcBorders>
              <w:top w:val="nil"/>
              <w:left w:val="nil"/>
              <w:bottom w:val="nil"/>
              <w:right w:val="nil"/>
            </w:tcBorders>
            <w:shd w:val="clear" w:color="auto" w:fill="auto"/>
          </w:tcPr>
          <w:p w14:paraId="2F5F8C15" w14:textId="77777777" w:rsidR="00330262" w:rsidRPr="00B96157" w:rsidRDefault="00330262" w:rsidP="00310E64">
            <w:pPr>
              <w:rPr>
                <w:rFonts w:ascii="David" w:hAnsi="David"/>
                <w:sz w:val="26"/>
                <w:szCs w:val="26"/>
                <w:rtl/>
              </w:rPr>
            </w:pPr>
          </w:p>
        </w:tc>
        <w:tc>
          <w:tcPr>
            <w:tcW w:w="3219" w:type="dxa"/>
            <w:tcBorders>
              <w:top w:val="nil"/>
              <w:left w:val="nil"/>
              <w:bottom w:val="nil"/>
              <w:right w:val="nil"/>
            </w:tcBorders>
            <w:shd w:val="clear" w:color="auto" w:fill="auto"/>
          </w:tcPr>
          <w:p w14:paraId="7F8DDEC3" w14:textId="77777777" w:rsidR="00330262" w:rsidRPr="00B96157" w:rsidRDefault="00330262" w:rsidP="00310E64">
            <w:pPr>
              <w:rPr>
                <w:rFonts w:ascii="Arial" w:hAnsi="Arial"/>
                <w:b/>
                <w:bCs/>
                <w:sz w:val="26"/>
                <w:szCs w:val="26"/>
                <w:rtl/>
              </w:rPr>
            </w:pPr>
            <w:r w:rsidRPr="00B9615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0A7D694" w14:textId="77777777" w:rsidR="00330262" w:rsidRPr="00B96157" w:rsidRDefault="00330262" w:rsidP="00330262">
            <w:pPr>
              <w:suppressLineNumbers/>
            </w:pPr>
            <w:r w:rsidRPr="00B96157">
              <w:rPr>
                <w:rFonts w:ascii="Arial" w:hAnsi="Arial"/>
                <w:b/>
                <w:bCs/>
                <w:sz w:val="26"/>
                <w:szCs w:val="26"/>
                <w:rtl/>
              </w:rPr>
              <w:t>מרואן שרוף (עציר)</w:t>
            </w:r>
            <w:r w:rsidRPr="00B96157">
              <w:rPr>
                <w:rFonts w:ascii="Arial" w:hAnsi="Arial" w:hint="cs"/>
                <w:b/>
                <w:bCs/>
                <w:sz w:val="26"/>
                <w:szCs w:val="26"/>
                <w:rtl/>
              </w:rPr>
              <w:t xml:space="preserve"> </w:t>
            </w:r>
          </w:p>
          <w:p w14:paraId="41DFA96F" w14:textId="77777777" w:rsidR="00330262" w:rsidRPr="00B96157" w:rsidRDefault="00330262" w:rsidP="00310E64">
            <w:pPr>
              <w:rPr>
                <w:rFonts w:ascii="David" w:hAnsi="David"/>
                <w:sz w:val="26"/>
                <w:szCs w:val="26"/>
              </w:rPr>
            </w:pPr>
          </w:p>
        </w:tc>
      </w:tr>
      <w:tr w:rsidR="00330262" w:rsidRPr="00B96157" w14:paraId="7B6763B3" w14:textId="77777777" w:rsidTr="00330262">
        <w:trPr>
          <w:trHeight w:val="355"/>
          <w:jc w:val="center"/>
        </w:trPr>
        <w:tc>
          <w:tcPr>
            <w:tcW w:w="923" w:type="dxa"/>
            <w:tcBorders>
              <w:top w:val="nil"/>
              <w:left w:val="nil"/>
              <w:bottom w:val="nil"/>
              <w:right w:val="nil"/>
            </w:tcBorders>
            <w:shd w:val="clear" w:color="auto" w:fill="auto"/>
          </w:tcPr>
          <w:p w14:paraId="41A3A726" w14:textId="77777777" w:rsidR="00330262" w:rsidRPr="00B96157" w:rsidRDefault="00330262" w:rsidP="00330262">
            <w:pPr>
              <w:jc w:val="both"/>
              <w:rPr>
                <w:rFonts w:ascii="David" w:hAnsi="David"/>
                <w:sz w:val="26"/>
                <w:szCs w:val="26"/>
                <w:rtl/>
              </w:rPr>
            </w:pPr>
          </w:p>
        </w:tc>
        <w:tc>
          <w:tcPr>
            <w:tcW w:w="3219" w:type="dxa"/>
            <w:tcBorders>
              <w:top w:val="nil"/>
              <w:left w:val="nil"/>
              <w:bottom w:val="nil"/>
              <w:right w:val="nil"/>
            </w:tcBorders>
            <w:shd w:val="clear" w:color="auto" w:fill="auto"/>
          </w:tcPr>
          <w:p w14:paraId="3E502F9A" w14:textId="77777777" w:rsidR="00330262" w:rsidRPr="00B96157" w:rsidRDefault="00330262" w:rsidP="00330262">
            <w:pPr>
              <w:jc w:val="both"/>
              <w:rPr>
                <w:rFonts w:ascii="David" w:hAnsi="David"/>
                <w:sz w:val="26"/>
                <w:szCs w:val="26"/>
                <w:rtl/>
              </w:rPr>
            </w:pPr>
          </w:p>
        </w:tc>
        <w:tc>
          <w:tcPr>
            <w:tcW w:w="4678" w:type="dxa"/>
            <w:tcBorders>
              <w:top w:val="nil"/>
              <w:left w:val="nil"/>
              <w:bottom w:val="nil"/>
              <w:right w:val="nil"/>
            </w:tcBorders>
            <w:shd w:val="clear" w:color="auto" w:fill="auto"/>
          </w:tcPr>
          <w:p w14:paraId="253EF5C6" w14:textId="77777777" w:rsidR="00330262" w:rsidRPr="00B96157" w:rsidRDefault="00330262" w:rsidP="00330262">
            <w:pPr>
              <w:jc w:val="right"/>
              <w:rPr>
                <w:rFonts w:ascii="David" w:hAnsi="David"/>
                <w:sz w:val="26"/>
                <w:szCs w:val="26"/>
              </w:rPr>
            </w:pPr>
          </w:p>
        </w:tc>
      </w:tr>
    </w:tbl>
    <w:p w14:paraId="4868C1C3" w14:textId="77777777" w:rsidR="009F2501" w:rsidRDefault="009F2501" w:rsidP="00330262">
      <w:pPr>
        <w:spacing w:before="240" w:after="240" w:line="360" w:lineRule="auto"/>
        <w:rPr>
          <w:sz w:val="26"/>
          <w:szCs w:val="26"/>
          <w:rtl/>
        </w:rPr>
      </w:pPr>
      <w:bookmarkStart w:id="2" w:name="LawTable"/>
      <w:bookmarkEnd w:id="2"/>
    </w:p>
    <w:p w14:paraId="75DE39DE" w14:textId="77777777" w:rsidR="009F2501" w:rsidRPr="009F2501" w:rsidRDefault="009F2501" w:rsidP="009F2501">
      <w:pPr>
        <w:spacing w:before="240" w:after="120" w:line="240" w:lineRule="exact"/>
        <w:ind w:left="283" w:hanging="283"/>
        <w:jc w:val="both"/>
        <w:rPr>
          <w:rFonts w:ascii="FrankRuehl" w:hAnsi="FrankRuehl" w:cs="FrankRuehl"/>
          <w:rtl/>
        </w:rPr>
      </w:pPr>
    </w:p>
    <w:p w14:paraId="695EE64B" w14:textId="77777777" w:rsidR="009F2501" w:rsidRPr="009F2501" w:rsidRDefault="009F2501" w:rsidP="009F2501">
      <w:pPr>
        <w:spacing w:before="240" w:after="120" w:line="240" w:lineRule="exact"/>
        <w:ind w:left="283" w:hanging="283"/>
        <w:jc w:val="both"/>
        <w:rPr>
          <w:rFonts w:ascii="FrankRuehl" w:hAnsi="FrankRuehl" w:cs="FrankRuehl"/>
          <w:rtl/>
        </w:rPr>
      </w:pPr>
      <w:r w:rsidRPr="009F2501">
        <w:rPr>
          <w:rFonts w:ascii="FrankRuehl" w:hAnsi="FrankRuehl" w:cs="FrankRuehl"/>
          <w:rtl/>
        </w:rPr>
        <w:t xml:space="preserve">חקיקה שאוזכרה: </w:t>
      </w:r>
    </w:p>
    <w:p w14:paraId="78B5B3C5" w14:textId="77777777" w:rsidR="009F2501" w:rsidRPr="009F2501" w:rsidRDefault="009F2501" w:rsidP="009F2501">
      <w:pPr>
        <w:spacing w:before="240" w:after="120" w:line="240" w:lineRule="exact"/>
        <w:ind w:left="283" w:hanging="283"/>
        <w:jc w:val="both"/>
        <w:rPr>
          <w:rFonts w:ascii="FrankRuehl" w:hAnsi="FrankRuehl" w:cs="FrankRuehl"/>
          <w:rtl/>
        </w:rPr>
      </w:pPr>
      <w:hyperlink r:id="rId7" w:history="1">
        <w:r w:rsidRPr="009F2501">
          <w:rPr>
            <w:rFonts w:ascii="FrankRuehl" w:hAnsi="FrankRuehl" w:cs="FrankRuehl"/>
            <w:color w:val="0000FF"/>
            <w:u w:val="single"/>
            <w:rtl/>
          </w:rPr>
          <w:t>חוק העונשין, תשל"ז-1977</w:t>
        </w:r>
      </w:hyperlink>
      <w:r w:rsidRPr="009F2501">
        <w:rPr>
          <w:rFonts w:ascii="FrankRuehl" w:hAnsi="FrankRuehl" w:cs="FrankRuehl"/>
          <w:rtl/>
        </w:rPr>
        <w:t xml:space="preserve">: סע'  </w:t>
      </w:r>
      <w:hyperlink r:id="rId8" w:history="1">
        <w:r w:rsidRPr="009F2501">
          <w:rPr>
            <w:rFonts w:ascii="FrankRuehl" w:hAnsi="FrankRuehl" w:cs="FrankRuehl"/>
            <w:color w:val="0000FF"/>
            <w:u w:val="single"/>
            <w:rtl/>
          </w:rPr>
          <w:t>29</w:t>
        </w:r>
      </w:hyperlink>
      <w:r w:rsidRPr="009F2501">
        <w:rPr>
          <w:rFonts w:ascii="FrankRuehl" w:hAnsi="FrankRuehl" w:cs="FrankRuehl"/>
          <w:rtl/>
        </w:rPr>
        <w:t xml:space="preserve">, </w:t>
      </w:r>
      <w:hyperlink r:id="rId9" w:history="1">
        <w:r w:rsidRPr="009F2501">
          <w:rPr>
            <w:rFonts w:ascii="FrankRuehl" w:hAnsi="FrankRuehl" w:cs="FrankRuehl"/>
            <w:color w:val="0000FF"/>
            <w:u w:val="single"/>
            <w:rtl/>
          </w:rPr>
          <w:t>31</w:t>
        </w:r>
      </w:hyperlink>
      <w:r w:rsidRPr="009F2501">
        <w:rPr>
          <w:rFonts w:ascii="FrankRuehl" w:hAnsi="FrankRuehl" w:cs="FrankRuehl"/>
          <w:rtl/>
        </w:rPr>
        <w:t xml:space="preserve">, </w:t>
      </w:r>
      <w:hyperlink r:id="rId10" w:history="1">
        <w:r w:rsidRPr="009F2501">
          <w:rPr>
            <w:rFonts w:ascii="FrankRuehl" w:hAnsi="FrankRuehl" w:cs="FrankRuehl"/>
            <w:color w:val="0000FF"/>
            <w:u w:val="single"/>
            <w:rtl/>
          </w:rPr>
          <w:t>40ג(א)</w:t>
        </w:r>
      </w:hyperlink>
      <w:r w:rsidRPr="009F2501">
        <w:rPr>
          <w:rFonts w:ascii="FrankRuehl" w:hAnsi="FrankRuehl" w:cs="FrankRuehl"/>
          <w:rtl/>
        </w:rPr>
        <w:t xml:space="preserve">, </w:t>
      </w:r>
      <w:hyperlink r:id="rId11" w:history="1">
        <w:r w:rsidRPr="009F2501">
          <w:rPr>
            <w:rFonts w:ascii="FrankRuehl" w:hAnsi="FrankRuehl" w:cs="FrankRuehl"/>
            <w:color w:val="0000FF"/>
            <w:u w:val="single"/>
            <w:rtl/>
          </w:rPr>
          <w:t>144(א)</w:t>
        </w:r>
      </w:hyperlink>
      <w:r w:rsidRPr="009F2501">
        <w:rPr>
          <w:rFonts w:ascii="FrankRuehl" w:hAnsi="FrankRuehl" w:cs="FrankRuehl"/>
          <w:rtl/>
        </w:rPr>
        <w:t xml:space="preserve">, </w:t>
      </w:r>
      <w:hyperlink r:id="rId12" w:history="1">
        <w:r w:rsidRPr="009F2501">
          <w:rPr>
            <w:rFonts w:ascii="FrankRuehl" w:hAnsi="FrankRuehl" w:cs="FrankRuehl"/>
            <w:color w:val="0000FF"/>
            <w:u w:val="single"/>
            <w:rtl/>
          </w:rPr>
          <w:t>244</w:t>
        </w:r>
      </w:hyperlink>
    </w:p>
    <w:p w14:paraId="6DBE7550" w14:textId="77777777" w:rsidR="009F2501" w:rsidRPr="009F2501" w:rsidRDefault="009F2501" w:rsidP="009F2501">
      <w:pPr>
        <w:spacing w:before="240" w:after="120" w:line="240" w:lineRule="exact"/>
        <w:ind w:left="283" w:hanging="283"/>
        <w:jc w:val="both"/>
        <w:rPr>
          <w:rFonts w:ascii="FrankRuehl" w:hAnsi="FrankRuehl" w:cs="FrankRuehl"/>
          <w:rtl/>
        </w:rPr>
      </w:pPr>
    </w:p>
    <w:p w14:paraId="3EA77BDE" w14:textId="77777777" w:rsidR="009F2501" w:rsidRPr="009F2501" w:rsidRDefault="009F2501" w:rsidP="00330262">
      <w:pPr>
        <w:spacing w:before="240" w:after="240" w:line="360" w:lineRule="auto"/>
        <w:rPr>
          <w:sz w:val="26"/>
          <w:szCs w:val="26"/>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30262" w14:paraId="6F8087A2" w14:textId="77777777" w:rsidTr="00330262">
        <w:trPr>
          <w:trHeight w:val="355"/>
          <w:jc w:val="center"/>
        </w:trPr>
        <w:tc>
          <w:tcPr>
            <w:tcW w:w="8820" w:type="dxa"/>
            <w:tcBorders>
              <w:top w:val="nil"/>
              <w:left w:val="nil"/>
              <w:bottom w:val="nil"/>
              <w:right w:val="nil"/>
            </w:tcBorders>
            <w:shd w:val="clear" w:color="auto" w:fill="auto"/>
          </w:tcPr>
          <w:p w14:paraId="3A47CC97" w14:textId="77777777" w:rsidR="00330262" w:rsidRPr="009F2501" w:rsidRDefault="009F2501" w:rsidP="009F2501">
            <w:pPr>
              <w:spacing w:before="240" w:after="240" w:line="360" w:lineRule="auto"/>
              <w:jc w:val="center"/>
              <w:rPr>
                <w:rFonts w:ascii="David" w:hAnsi="David" w:hint="cs"/>
                <w:b/>
                <w:bCs/>
                <w:sz w:val="32"/>
                <w:szCs w:val="32"/>
                <w:u w:val="single"/>
                <w:rtl/>
              </w:rPr>
            </w:pPr>
            <w:bookmarkStart w:id="4" w:name="PsakDin" w:colFirst="0" w:colLast="0"/>
            <w:bookmarkEnd w:id="0"/>
            <w:r>
              <w:rPr>
                <w:rFonts w:ascii="David" w:hAnsi="David"/>
                <w:b/>
                <w:bCs/>
                <w:sz w:val="32"/>
                <w:szCs w:val="32"/>
                <w:u w:val="single"/>
                <w:rtl/>
              </w:rPr>
              <w:t>גזר דין</w:t>
            </w:r>
          </w:p>
        </w:tc>
      </w:tr>
    </w:tbl>
    <w:p w14:paraId="30E03655" w14:textId="77777777" w:rsidR="00330262" w:rsidRDefault="00330262" w:rsidP="00330262">
      <w:pPr>
        <w:spacing w:before="240" w:after="240" w:line="360" w:lineRule="auto"/>
        <w:jc w:val="both"/>
        <w:rPr>
          <w:rFonts w:ascii="Arial" w:hAnsi="Arial"/>
          <w:rtl/>
        </w:rPr>
      </w:pPr>
      <w:bookmarkStart w:id="5" w:name="ABSTRACT_START"/>
      <w:bookmarkEnd w:id="4"/>
      <w:bookmarkEnd w:id="5"/>
      <w:r>
        <w:rPr>
          <w:rFonts w:ascii="Arial" w:hAnsi="Arial" w:hint="cs"/>
          <w:rtl/>
        </w:rPr>
        <w:t xml:space="preserve">הנאשם הודה בכתב האישום המתוקן (במ/1) והורשע בסיוע להחזקת נשק בניגוד </w:t>
      </w:r>
      <w:hyperlink r:id="rId13" w:history="1">
        <w:r w:rsidR="009F2501" w:rsidRPr="009F2501">
          <w:rPr>
            <w:rFonts w:ascii="Arial" w:hAnsi="Arial"/>
            <w:color w:val="0000FF"/>
            <w:u w:val="single"/>
            <w:rtl/>
          </w:rPr>
          <w:t>לסעיף 144(א)</w:t>
        </w:r>
      </w:hyperlink>
      <w:r>
        <w:rPr>
          <w:rFonts w:ascii="Arial" w:hAnsi="Arial" w:hint="cs"/>
          <w:rtl/>
        </w:rPr>
        <w:t xml:space="preserve"> רישא וסיפא + סעיף </w:t>
      </w:r>
      <w:hyperlink r:id="rId14" w:history="1">
        <w:r w:rsidR="009F2501" w:rsidRPr="009F2501">
          <w:rPr>
            <w:rFonts w:ascii="Arial" w:hAnsi="Arial"/>
            <w:color w:val="0000FF"/>
            <w:u w:val="single"/>
            <w:rtl/>
          </w:rPr>
          <w:t>31</w:t>
        </w:r>
      </w:hyperlink>
      <w:r>
        <w:rPr>
          <w:rFonts w:ascii="Arial" w:hAnsi="Arial" w:hint="cs"/>
          <w:rtl/>
        </w:rPr>
        <w:t xml:space="preserve"> ל</w:t>
      </w:r>
      <w:hyperlink r:id="rId15" w:history="1">
        <w:r w:rsidR="00B96157" w:rsidRPr="00B96157">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(להלן: "</w:t>
      </w:r>
      <w:r w:rsidRPr="00C63B17">
        <w:rPr>
          <w:rFonts w:ascii="Arial" w:hAnsi="Arial" w:hint="eastAsia"/>
          <w:b/>
          <w:bCs/>
          <w:rtl/>
        </w:rPr>
        <w:t>חוק</w:t>
      </w:r>
      <w:r w:rsidRPr="00C63B17">
        <w:rPr>
          <w:rFonts w:ascii="Arial" w:hAnsi="Arial"/>
          <w:b/>
          <w:bCs/>
          <w:rtl/>
        </w:rPr>
        <w:t xml:space="preserve"> </w:t>
      </w:r>
      <w:r w:rsidRPr="00C63B17">
        <w:rPr>
          <w:rFonts w:ascii="Arial" w:hAnsi="Arial" w:hint="eastAsia"/>
          <w:b/>
          <w:bCs/>
          <w:rtl/>
        </w:rPr>
        <w:t>העונשין</w:t>
      </w:r>
      <w:r>
        <w:rPr>
          <w:rFonts w:ascii="Arial" w:hAnsi="Arial" w:hint="cs"/>
          <w:rtl/>
        </w:rPr>
        <w:t>").</w:t>
      </w:r>
    </w:p>
    <w:p w14:paraId="249124AF" w14:textId="77777777" w:rsidR="00330262" w:rsidRPr="00786005" w:rsidRDefault="00330262" w:rsidP="00330262">
      <w:pPr>
        <w:spacing w:before="240" w:after="240" w:line="360" w:lineRule="auto"/>
        <w:jc w:val="both"/>
        <w:rPr>
          <w:rFonts w:ascii="Arial" w:hAnsi="Arial"/>
          <w:b/>
          <w:bCs/>
          <w:rtl/>
        </w:rPr>
      </w:pPr>
      <w:bookmarkStart w:id="6" w:name="ABSTRACT_END"/>
      <w:bookmarkEnd w:id="6"/>
      <w:r w:rsidRPr="00786005">
        <w:rPr>
          <w:rFonts w:ascii="Arial" w:hAnsi="Arial" w:hint="cs"/>
          <w:b/>
          <w:bCs/>
          <w:rtl/>
        </w:rPr>
        <w:t xml:space="preserve">עובדות כתב האישום המתוקן בתמצית: </w:t>
      </w:r>
    </w:p>
    <w:p w14:paraId="6F392430" w14:textId="77777777" w:rsidR="00330262" w:rsidRPr="00786005" w:rsidRDefault="00330262" w:rsidP="00330262">
      <w:pPr>
        <w:spacing w:before="240" w:after="240" w:line="360" w:lineRule="auto"/>
        <w:jc w:val="both"/>
        <w:rPr>
          <w:rFonts w:ascii="Arial" w:hAnsi="Arial"/>
          <w:rtl/>
        </w:rPr>
      </w:pPr>
      <w:r>
        <w:rPr>
          <w:rFonts w:ascii="Arial" w:hAnsi="Arial" w:hint="cs"/>
          <w:rtl/>
        </w:rPr>
        <w:t xml:space="preserve">במועד הרלוונטי לכתב האישום התגורר הנאשם בבית אביו בכפר עוספיה (להלן: </w:t>
      </w:r>
      <w:r w:rsidRPr="000420F0">
        <w:rPr>
          <w:rFonts w:ascii="Arial" w:hAnsi="Arial" w:hint="cs"/>
          <w:b/>
          <w:bCs/>
          <w:rtl/>
        </w:rPr>
        <w:t>הבית</w:t>
      </w:r>
      <w:r>
        <w:rPr>
          <w:rFonts w:ascii="Arial" w:hAnsi="Arial" w:hint="cs"/>
          <w:rtl/>
        </w:rPr>
        <w:t>") בסמוך למטע זיתים (להלן: "</w:t>
      </w:r>
      <w:r w:rsidRPr="000420F0">
        <w:rPr>
          <w:rFonts w:ascii="Arial" w:hAnsi="Arial" w:hint="cs"/>
          <w:b/>
          <w:bCs/>
          <w:rtl/>
        </w:rPr>
        <w:t>המטע</w:t>
      </w:r>
      <w:r>
        <w:rPr>
          <w:rFonts w:ascii="Arial" w:hAnsi="Arial" w:hint="cs"/>
          <w:rtl/>
        </w:rPr>
        <w:t xml:space="preserve">"). </w:t>
      </w:r>
    </w:p>
    <w:p w14:paraId="7E2E44BD" w14:textId="77777777" w:rsidR="00330262" w:rsidRDefault="00330262" w:rsidP="00330262">
      <w:pPr>
        <w:spacing w:before="240" w:after="240" w:line="360" w:lineRule="auto"/>
        <w:jc w:val="both"/>
        <w:rPr>
          <w:rFonts w:ascii="Arial" w:hAnsi="Arial"/>
          <w:rtl/>
        </w:rPr>
      </w:pPr>
      <w:r>
        <w:rPr>
          <w:rFonts w:ascii="Arial" w:hAnsi="Arial" w:hint="cs"/>
          <w:rtl/>
        </w:rPr>
        <w:t>החל ממועד שאינו ידוע למאשימה ועד ליום 18.5.24, סייע הנאשם לאחר, שזהותו אינה ידועה למאשימה, להחזיק במטע בנשק מסוג רובה צלפים טעון במחסנית ובה כדורים (להלן: "</w:t>
      </w:r>
      <w:r w:rsidRPr="00C63B17">
        <w:rPr>
          <w:rFonts w:ascii="Arial" w:hAnsi="Arial" w:hint="eastAsia"/>
          <w:b/>
          <w:bCs/>
          <w:rtl/>
        </w:rPr>
        <w:t>הרובה</w:t>
      </w:r>
      <w:r>
        <w:rPr>
          <w:rFonts w:ascii="Arial" w:hAnsi="Arial" w:hint="cs"/>
          <w:rtl/>
        </w:rPr>
        <w:t xml:space="preserve">") וכן במשתיק קול וכוונת טלסקופית לנשק המחוברים לרובה. בנוסף, סייע לו הנאשם להחזיק </w:t>
      </w:r>
      <w:r>
        <w:rPr>
          <w:rFonts w:ascii="Arial" w:hAnsi="Arial" w:hint="cs"/>
          <w:rtl/>
        </w:rPr>
        <w:lastRenderedPageBreak/>
        <w:t xml:space="preserve">במחסנית טעונה ב- 5 כדורים מסוג </w:t>
      </w:r>
      <w:r>
        <w:rPr>
          <w:rFonts w:ascii="Arial" w:hAnsi="Arial"/>
        </w:rPr>
        <w:t>LR22</w:t>
      </w:r>
      <w:r>
        <w:rPr>
          <w:rFonts w:ascii="Arial" w:hAnsi="Arial" w:hint="cs"/>
          <w:rtl/>
        </w:rPr>
        <w:t xml:space="preserve">, קופסא שבתוכה 54 כדורים מסוג </w:t>
      </w:r>
      <w:r>
        <w:rPr>
          <w:rFonts w:ascii="Arial" w:hAnsi="Arial"/>
        </w:rPr>
        <w:t>LR22</w:t>
      </w:r>
      <w:r>
        <w:rPr>
          <w:rFonts w:ascii="Arial" w:hAnsi="Arial" w:hint="cs"/>
          <w:rtl/>
        </w:rPr>
        <w:t xml:space="preserve"> ו- 5 מחסניות ריקות. </w:t>
      </w:r>
    </w:p>
    <w:p w14:paraId="500FF7E0" w14:textId="77777777" w:rsidR="00330262" w:rsidRPr="000420F0" w:rsidRDefault="00330262" w:rsidP="00330262">
      <w:pPr>
        <w:spacing w:before="240" w:after="240" w:line="360" w:lineRule="auto"/>
        <w:jc w:val="both"/>
        <w:rPr>
          <w:rFonts w:ascii="Arial" w:hAnsi="Arial"/>
          <w:b/>
          <w:bCs/>
          <w:rtl/>
        </w:rPr>
      </w:pPr>
      <w:r w:rsidRPr="000420F0">
        <w:rPr>
          <w:rFonts w:ascii="Arial" w:hAnsi="Arial" w:hint="cs"/>
          <w:b/>
          <w:bCs/>
          <w:rtl/>
        </w:rPr>
        <w:t xml:space="preserve">ראיות לעונש: </w:t>
      </w:r>
    </w:p>
    <w:p w14:paraId="0FA537E6" w14:textId="77777777" w:rsidR="00330262" w:rsidRDefault="00330262" w:rsidP="00330262">
      <w:pPr>
        <w:spacing w:before="240" w:after="240" w:line="360" w:lineRule="auto"/>
        <w:jc w:val="both"/>
        <w:rPr>
          <w:rFonts w:ascii="Arial" w:hAnsi="Arial"/>
          <w:rtl/>
        </w:rPr>
      </w:pPr>
      <w:r>
        <w:rPr>
          <w:rFonts w:ascii="Arial" w:hAnsi="Arial" w:hint="cs"/>
          <w:rtl/>
        </w:rPr>
        <w:t xml:space="preserve">המאשימה הגישה גיליון הרשעות קודמות של הנאשם (טע/2) הכולל הרשעה קודמת אחת בגין העדר משירות. </w:t>
      </w:r>
    </w:p>
    <w:p w14:paraId="505E3F21" w14:textId="77777777" w:rsidR="00330262" w:rsidRPr="004F77E1" w:rsidRDefault="00330262" w:rsidP="00330262">
      <w:pPr>
        <w:spacing w:before="240" w:after="240" w:line="360" w:lineRule="auto"/>
        <w:jc w:val="both"/>
        <w:rPr>
          <w:rFonts w:ascii="Arial" w:hAnsi="Arial"/>
          <w:b/>
          <w:bCs/>
          <w:rtl/>
        </w:rPr>
      </w:pPr>
      <w:r w:rsidRPr="004F77E1">
        <w:rPr>
          <w:rFonts w:ascii="Arial" w:hAnsi="Arial" w:hint="cs"/>
          <w:b/>
          <w:bCs/>
          <w:rtl/>
        </w:rPr>
        <w:t xml:space="preserve">טיעוני הצדדים לעונש: </w:t>
      </w:r>
    </w:p>
    <w:p w14:paraId="4AA8C741" w14:textId="77777777" w:rsidR="00330262" w:rsidRDefault="00330262" w:rsidP="00330262">
      <w:pPr>
        <w:spacing w:before="240" w:after="240" w:line="360" w:lineRule="auto"/>
        <w:jc w:val="both"/>
        <w:rPr>
          <w:rFonts w:ascii="Arial" w:hAnsi="Arial"/>
          <w:rtl/>
        </w:rPr>
      </w:pPr>
      <w:r>
        <w:rPr>
          <w:rFonts w:ascii="Arial" w:hAnsi="Arial" w:hint="cs"/>
          <w:rtl/>
        </w:rPr>
        <w:t xml:space="preserve">המאשימה בטיעוניה בכתב (ט/1) ובעל פה, טענה כי הערכים המוגנים שנפגעו מביצוע העבירה הם הגנה על שלום הציבור ובטחונו, שמירה על ערך החיים ושלמות הגוף. ב"כ המאשימה הדגישה את הנזק הפוטנציאלי העלול להיגרם כתוצאה מביצוע העבירה, כאשר החזקת נשק יכולה להביא לשימוש בו ולקטילת חיי אדם. ב"כ המאשימה הדגישה כי העובדה כי הרובה היה טעון ולו מחוברת כוונת טלסקופית ומשתיק קול מלמדת כי הנשק נועד לסכן חיי אדם באופן וודאי. ב"כ המאשימה טענה כי לא מדובר בביצוע עבירה ספונטנית, אלא מתן הסיוע לאחר היה לאחר תכנון ושקילה. </w:t>
      </w:r>
    </w:p>
    <w:p w14:paraId="47F0E287" w14:textId="77777777" w:rsidR="00330262" w:rsidRDefault="00330262" w:rsidP="00330262">
      <w:pPr>
        <w:spacing w:before="240" w:after="240" w:line="360" w:lineRule="auto"/>
        <w:jc w:val="both"/>
        <w:rPr>
          <w:rFonts w:ascii="Arial" w:hAnsi="Arial"/>
          <w:rtl/>
        </w:rPr>
      </w:pPr>
      <w:r>
        <w:rPr>
          <w:rFonts w:ascii="Arial" w:hAnsi="Arial" w:hint="cs"/>
          <w:rtl/>
        </w:rPr>
        <w:t xml:space="preserve">בטיעוניה בכתב הפנתה המאשימה לפסיקה ממנה ביקשה ללמוד על מדיניות הענישה הנוהגת ועל ההחמרה בענישה שחלה בשנים אחרונות. </w:t>
      </w:r>
    </w:p>
    <w:p w14:paraId="7F2F2DAE" w14:textId="77777777" w:rsidR="00330262" w:rsidRDefault="00330262" w:rsidP="00330262">
      <w:pPr>
        <w:spacing w:before="240" w:after="240" w:line="360" w:lineRule="auto"/>
        <w:jc w:val="both"/>
        <w:rPr>
          <w:rFonts w:ascii="Arial" w:hAnsi="Arial"/>
          <w:rtl/>
        </w:rPr>
      </w:pPr>
      <w:r>
        <w:rPr>
          <w:rFonts w:ascii="Arial" w:hAnsi="Arial" w:hint="cs"/>
          <w:rtl/>
        </w:rPr>
        <w:t xml:space="preserve">אשר על כן, ביקשה המאשימה לקבוע כי מתחם העונש ההולם בנסיבות תיק זה נע בין 13 ל- 25 חודשי מאסר בפועל, לצד ענישה נלוות. </w:t>
      </w:r>
    </w:p>
    <w:p w14:paraId="4FF867D8" w14:textId="77777777" w:rsidR="00330262" w:rsidRDefault="00330262" w:rsidP="00330262">
      <w:pPr>
        <w:spacing w:before="240" w:after="240" w:line="360" w:lineRule="auto"/>
        <w:jc w:val="both"/>
        <w:rPr>
          <w:rFonts w:ascii="Arial" w:hAnsi="Arial"/>
          <w:rtl/>
        </w:rPr>
      </w:pPr>
      <w:r>
        <w:rPr>
          <w:rFonts w:ascii="Arial" w:hAnsi="Arial" w:hint="cs"/>
          <w:rtl/>
        </w:rPr>
        <w:t xml:space="preserve">באשר לעונשו של הנאשם, בתוך מתחם העונש ההולם, ב"כ המאשימה ביקשה למקם את עונשו של הנאשם ברף נמוך בינוני וזאת מחד נוכח הודאתו המיידית של הנאשם ונטילת האחריות, כמו גם העדר עבר פלילי רלוונטי ומאידך משיקולי הרתעת הרבים והיחיד. כמו כן ביקשה המאשימה להטיל על הנאשם קנס בסך 10,000 ₪ ומאסר על תנאי. </w:t>
      </w:r>
    </w:p>
    <w:p w14:paraId="07B49839" w14:textId="77777777" w:rsidR="00330262" w:rsidRDefault="00330262" w:rsidP="00330262">
      <w:pPr>
        <w:spacing w:before="240" w:after="240" w:line="360" w:lineRule="auto"/>
        <w:jc w:val="both"/>
        <w:rPr>
          <w:rFonts w:ascii="Arial" w:hAnsi="Arial"/>
          <w:rtl/>
        </w:rPr>
      </w:pPr>
      <w:r>
        <w:rPr>
          <w:rFonts w:ascii="Arial" w:hAnsi="Arial" w:hint="cs"/>
          <w:rtl/>
        </w:rPr>
        <w:t xml:space="preserve">ב"כ הנאשם הדגיש את התיקון שנערך בכתב האישום על רקע קשיים ראייתיים, ואת בחירתו של הנאשם על אף הקשיים הראייתים לקחת אחריות על מעשיו. עוד הדגיש ב"כ הנאשם כי הנשק נתפס, לא בוצע בו כל שימוש ולא נגרם נזק בפועל מביצוע העבירה. עוד הדגיש ב"כ הנאשם כי הנאשם הודה מיד לאחר שכתב האישום תוקן וחסך זמן שיפוטי ומהצורך להעיד כ- 48 עדים. </w:t>
      </w:r>
    </w:p>
    <w:p w14:paraId="36407283" w14:textId="77777777" w:rsidR="00330262" w:rsidRDefault="00330262" w:rsidP="00330262">
      <w:pPr>
        <w:spacing w:before="240" w:after="240" w:line="360" w:lineRule="auto"/>
        <w:jc w:val="both"/>
        <w:rPr>
          <w:rFonts w:ascii="Arial" w:hAnsi="Arial"/>
          <w:rtl/>
        </w:rPr>
      </w:pPr>
      <w:r>
        <w:rPr>
          <w:rFonts w:ascii="Arial" w:hAnsi="Arial" w:hint="cs"/>
          <w:rtl/>
        </w:rPr>
        <w:t xml:space="preserve">ב"כ הנאשם התייחס לפסיקה אליה הפנתה המאשימה וביקש ללמוד אף הוא ממנה על מתחם העונש ההולם, תוך שהוא מדגיש כי מרבית המפסיקה אליה הפנתה המאשימה עניינה בעבירה של ביצוע עבירה מושלמת ולא סיוע לביצוע העבירה כמו בענייננו. בנוסף הפנה ב"כ הנאשם לפסיקה נוספת ממנה ביקש ללמוד על מדיניות הענישה הנוהגת במקרים דומים. ב"כ הנאשם ביקש לקבו כי מתחם העונש ההולם במקרה זה נע בין מספר חודשים עד 9 חודשי מאסר בפועל. </w:t>
      </w:r>
    </w:p>
    <w:p w14:paraId="6175E115" w14:textId="77777777" w:rsidR="00330262" w:rsidRDefault="00330262" w:rsidP="00330262">
      <w:pPr>
        <w:spacing w:before="240" w:after="240" w:line="360" w:lineRule="auto"/>
        <w:jc w:val="both"/>
        <w:rPr>
          <w:rFonts w:ascii="Arial" w:hAnsi="Arial"/>
          <w:rtl/>
        </w:rPr>
      </w:pPr>
      <w:r>
        <w:rPr>
          <w:rFonts w:ascii="Arial" w:hAnsi="Arial" w:hint="cs"/>
          <w:rtl/>
        </w:rPr>
        <w:lastRenderedPageBreak/>
        <w:t xml:space="preserve">באשר לעונשו של הנאשם, בתוך מתחם העונש ההולם, הודגש כי הנאשם הודה במסגרת הליך מוקד, נטל אחריות על מעשיו והביע חרטה. עוד הדגיש ב"כ הנאשם כי ההרשעה היחידה של הנאשם היא בגין העדר משירות צבאי ולא בעבירה פלילית שיש לה השלכה על מיקומו של הנאשם במתחם. על כן ביקש ב"כ הנאשם להסתפק בתקופת המעצר של הנאשם. </w:t>
      </w:r>
    </w:p>
    <w:p w14:paraId="0248C623" w14:textId="77777777" w:rsidR="00330262" w:rsidRPr="004F77E1" w:rsidRDefault="00330262" w:rsidP="00330262">
      <w:pPr>
        <w:spacing w:before="240" w:after="240" w:line="360" w:lineRule="auto"/>
        <w:jc w:val="both"/>
        <w:rPr>
          <w:rFonts w:ascii="Arial" w:hAnsi="Arial"/>
          <w:b/>
          <w:bCs/>
          <w:rtl/>
        </w:rPr>
      </w:pPr>
      <w:r w:rsidRPr="004F77E1">
        <w:rPr>
          <w:rFonts w:ascii="Arial" w:hAnsi="Arial" w:hint="cs"/>
          <w:b/>
          <w:bCs/>
          <w:rtl/>
        </w:rPr>
        <w:t xml:space="preserve">דברי הנאשם: </w:t>
      </w:r>
    </w:p>
    <w:p w14:paraId="3CE5E895" w14:textId="77777777" w:rsidR="00330262" w:rsidRDefault="00330262" w:rsidP="00330262">
      <w:pPr>
        <w:spacing w:before="240" w:after="240" w:line="360" w:lineRule="auto"/>
        <w:jc w:val="both"/>
        <w:rPr>
          <w:rFonts w:ascii="Arial" w:hAnsi="Arial"/>
          <w:rtl/>
        </w:rPr>
      </w:pPr>
      <w:r>
        <w:rPr>
          <w:rFonts w:ascii="Arial" w:hAnsi="Arial" w:hint="cs"/>
          <w:rtl/>
        </w:rPr>
        <w:t xml:space="preserve">הנאשם אמר כי הוא מצטער על מעשיו ומבקש הזדמנות אחרונה וכי לא יחזור על מעשיו. </w:t>
      </w:r>
    </w:p>
    <w:p w14:paraId="5B187AFD" w14:textId="77777777" w:rsidR="00330262" w:rsidRDefault="00330262" w:rsidP="00330262">
      <w:pPr>
        <w:spacing w:before="240" w:after="240" w:line="360" w:lineRule="auto"/>
        <w:jc w:val="both"/>
        <w:rPr>
          <w:rFonts w:ascii="Arial" w:hAnsi="Arial"/>
          <w:b/>
          <w:bCs/>
          <w:rtl/>
        </w:rPr>
      </w:pPr>
    </w:p>
    <w:p w14:paraId="55332B1A" w14:textId="77777777" w:rsidR="00330262" w:rsidRPr="004F77E1" w:rsidRDefault="00330262" w:rsidP="00330262">
      <w:pPr>
        <w:spacing w:before="240" w:after="240" w:line="360" w:lineRule="auto"/>
        <w:jc w:val="both"/>
        <w:rPr>
          <w:rFonts w:ascii="Arial" w:hAnsi="Arial"/>
          <w:b/>
          <w:bCs/>
          <w:rtl/>
        </w:rPr>
      </w:pPr>
      <w:r w:rsidRPr="004F77E1">
        <w:rPr>
          <w:rFonts w:ascii="Arial" w:hAnsi="Arial" w:hint="cs"/>
          <w:b/>
          <w:bCs/>
          <w:rtl/>
        </w:rPr>
        <w:t xml:space="preserve">דיון והכרעה: </w:t>
      </w:r>
    </w:p>
    <w:p w14:paraId="27097391" w14:textId="77777777" w:rsidR="00330262" w:rsidRPr="00330262" w:rsidRDefault="00330262" w:rsidP="00330262">
      <w:pPr>
        <w:spacing w:before="240" w:after="240" w:line="360" w:lineRule="auto"/>
        <w:jc w:val="both"/>
        <w:rPr>
          <w:rFonts w:ascii="Calibri" w:eastAsia="Calibri" w:hAnsi="Calibri"/>
        </w:rPr>
      </w:pPr>
      <w:r w:rsidRPr="00330262">
        <w:rPr>
          <w:rFonts w:ascii="Calibri" w:eastAsia="Calibri" w:hAnsi="Calibri"/>
          <w:rtl/>
        </w:rPr>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16" w:history="1">
        <w:r w:rsidR="00B96157" w:rsidRPr="00B96157">
          <w:rPr>
            <w:rFonts w:ascii="Calibri" w:eastAsia="Calibri" w:hAnsi="Calibri" w:hint="cs"/>
            <w:color w:val="0000FF"/>
            <w:u w:val="single"/>
            <w:rtl/>
          </w:rPr>
          <w:t>ע</w:t>
        </w:r>
        <w:r w:rsidR="00B96157" w:rsidRPr="00B96157">
          <w:rPr>
            <w:rFonts w:ascii="Calibri" w:eastAsia="Calibri" w:hAnsi="Calibri"/>
            <w:color w:val="0000FF"/>
            <w:u w:val="single"/>
            <w:rtl/>
          </w:rPr>
          <w:t>"</w:t>
        </w:r>
        <w:r w:rsidR="00B96157" w:rsidRPr="00B96157">
          <w:rPr>
            <w:rFonts w:ascii="Calibri" w:eastAsia="Calibri" w:hAnsi="Calibri" w:hint="cs"/>
            <w:color w:val="0000FF"/>
            <w:u w:val="single"/>
            <w:rtl/>
          </w:rPr>
          <w:t>פ</w:t>
        </w:r>
        <w:r w:rsidR="00B96157" w:rsidRPr="00B96157">
          <w:rPr>
            <w:rFonts w:ascii="Calibri" w:eastAsia="Calibri" w:hAnsi="Calibri"/>
            <w:color w:val="0000FF"/>
            <w:u w:val="single"/>
            <w:rtl/>
          </w:rPr>
          <w:t xml:space="preserve"> 8641/12</w:t>
        </w:r>
      </w:hyperlink>
      <w:r w:rsidRPr="00330262">
        <w:rPr>
          <w:rFonts w:ascii="Calibri" w:eastAsia="Calibri" w:hAnsi="Calibri"/>
          <w:rtl/>
        </w:rPr>
        <w:t xml:space="preserve"> </w:t>
      </w:r>
      <w:r w:rsidRPr="00330262">
        <w:rPr>
          <w:rFonts w:ascii="Calibri" w:eastAsia="Calibri" w:hAnsi="Calibri"/>
          <w:b/>
          <w:bCs/>
          <w:rtl/>
        </w:rPr>
        <w:t>מוחמד סעד נ' מ"י</w:t>
      </w:r>
      <w:r w:rsidRPr="00330262">
        <w:rPr>
          <w:rFonts w:ascii="Calibri" w:eastAsia="Calibri" w:hAnsi="Calibri"/>
          <w:rtl/>
        </w:rPr>
        <w:t xml:space="preserve"> (5.8.13)).</w:t>
      </w:r>
    </w:p>
    <w:p w14:paraId="30A34377" w14:textId="77777777" w:rsidR="00330262" w:rsidRPr="00330262" w:rsidRDefault="00330262" w:rsidP="00330262">
      <w:pPr>
        <w:spacing w:before="240" w:after="240" w:line="360" w:lineRule="auto"/>
        <w:jc w:val="both"/>
        <w:rPr>
          <w:rFonts w:ascii="Calibri" w:hAnsi="Calibri"/>
        </w:rPr>
      </w:pPr>
      <w:r w:rsidRPr="00330262">
        <w:rPr>
          <w:rFonts w:ascii="Calibri" w:hAnsi="Calibri"/>
          <w:b/>
          <w:bCs/>
          <w:rtl/>
        </w:rPr>
        <w:t>הערך החברתי המוגן</w:t>
      </w:r>
      <w:r w:rsidRPr="00330262">
        <w:rPr>
          <w:rFonts w:ascii="Calibri" w:hAnsi="Calibri"/>
          <w:rtl/>
        </w:rPr>
        <w:t xml:space="preserve"> שנפגע ממעשי הנאשם הוא הערך של הגנה על חיי אדם והגנה על תחושת הביטחון של הציבור. </w:t>
      </w:r>
    </w:p>
    <w:p w14:paraId="025FF225" w14:textId="77777777" w:rsidR="00330262" w:rsidRPr="00330262" w:rsidRDefault="00330262" w:rsidP="00330262">
      <w:pPr>
        <w:spacing w:before="240" w:after="240" w:line="360" w:lineRule="auto"/>
        <w:jc w:val="both"/>
        <w:rPr>
          <w:rFonts w:ascii="Calibri" w:hAnsi="Calibri"/>
          <w:b/>
          <w:bCs/>
          <w:rtl/>
        </w:rPr>
      </w:pPr>
      <w:r w:rsidRPr="00330262">
        <w:rPr>
          <w:rFonts w:ascii="Calibri" w:hAnsi="Calibri"/>
          <w:rtl/>
        </w:rPr>
        <w:t>באשר לחומרה היתרה שיש לראות בביצוע עבירות בנשק, קבע בית המשפט העליון ב</w:t>
      </w:r>
      <w:hyperlink r:id="rId17" w:history="1">
        <w:r w:rsidR="00B96157" w:rsidRPr="00B96157">
          <w:rPr>
            <w:rFonts w:ascii="Calibri" w:hAnsi="Calibri" w:hint="eastAsia"/>
            <w:color w:val="0000FF"/>
            <w:u w:val="single"/>
            <w:rtl/>
          </w:rPr>
          <w:t>ע</w:t>
        </w:r>
        <w:r w:rsidR="00B96157" w:rsidRPr="00B96157">
          <w:rPr>
            <w:rFonts w:ascii="Calibri" w:hAnsi="Calibri"/>
            <w:color w:val="0000FF"/>
            <w:u w:val="single"/>
            <w:rtl/>
          </w:rPr>
          <w:t>"</w:t>
        </w:r>
        <w:r w:rsidR="00B96157" w:rsidRPr="00B96157">
          <w:rPr>
            <w:rFonts w:ascii="Calibri" w:hAnsi="Calibri" w:hint="eastAsia"/>
            <w:color w:val="0000FF"/>
            <w:u w:val="single"/>
            <w:rtl/>
          </w:rPr>
          <w:t>פ</w:t>
        </w:r>
        <w:r w:rsidR="00B96157" w:rsidRPr="00B96157">
          <w:rPr>
            <w:rFonts w:ascii="Calibri" w:hAnsi="Calibri"/>
            <w:color w:val="0000FF"/>
            <w:u w:val="single"/>
            <w:rtl/>
          </w:rPr>
          <w:t xml:space="preserve"> 1945/13</w:t>
        </w:r>
      </w:hyperlink>
      <w:r w:rsidRPr="00330262">
        <w:rPr>
          <w:rFonts w:ascii="Calibri" w:hAnsi="Calibri"/>
          <w:rtl/>
        </w:rPr>
        <w:t xml:space="preserve"> </w:t>
      </w:r>
      <w:r w:rsidRPr="00330262">
        <w:rPr>
          <w:rFonts w:ascii="Calibri" w:hAnsi="Calibri"/>
          <w:b/>
          <w:bCs/>
          <w:rtl/>
        </w:rPr>
        <w:t xml:space="preserve">מדינת ישראל נ' עבד אל כרים סלימאן, </w:t>
      </w:r>
      <w:r w:rsidRPr="00330262">
        <w:rPr>
          <w:rFonts w:ascii="Calibri" w:hAnsi="Calibri"/>
          <w:rtl/>
        </w:rPr>
        <w:t>(19.1.14) מדיניות ברורה:</w:t>
      </w:r>
    </w:p>
    <w:p w14:paraId="35D9149D" w14:textId="77777777" w:rsidR="00330262" w:rsidRPr="00330262" w:rsidRDefault="00330262" w:rsidP="00330262">
      <w:pPr>
        <w:spacing w:before="240" w:after="240" w:line="360" w:lineRule="auto"/>
        <w:ind w:left="360"/>
        <w:jc w:val="both"/>
        <w:rPr>
          <w:rFonts w:ascii="Calibri" w:hAnsi="Calibri"/>
          <w:b/>
          <w:bCs/>
        </w:rPr>
      </w:pPr>
      <w:r w:rsidRPr="00330262">
        <w:rPr>
          <w:rFonts w:ascii="Calibri" w:hAnsi="Calibri"/>
          <w:b/>
          <w:b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p>
    <w:p w14:paraId="63F89417" w14:textId="77777777" w:rsidR="00330262" w:rsidRPr="00330262" w:rsidRDefault="00330262" w:rsidP="00330262">
      <w:pPr>
        <w:spacing w:before="240" w:after="240" w:line="360" w:lineRule="auto"/>
        <w:jc w:val="both"/>
        <w:rPr>
          <w:rFonts w:ascii="Calibri" w:hAnsi="Calibri"/>
        </w:rPr>
      </w:pPr>
      <w:r w:rsidRPr="00330262">
        <w:rPr>
          <w:rFonts w:ascii="Calibri" w:hAnsi="Calibri"/>
          <w:rtl/>
        </w:rPr>
        <w:t>בפסיקה נקבע כי החזקתו</w:t>
      </w:r>
      <w:r w:rsidRPr="00330262">
        <w:rPr>
          <w:rFonts w:ascii="Calibri" w:hAnsi="Calibri"/>
        </w:rPr>
        <w:t xml:space="preserve"> </w:t>
      </w:r>
      <w:r w:rsidRPr="00330262">
        <w:rPr>
          <w:rFonts w:ascii="Calibri" w:hAnsi="Calibri"/>
          <w:rtl/>
        </w:rPr>
        <w:t>של</w:t>
      </w:r>
      <w:r w:rsidRPr="00330262">
        <w:rPr>
          <w:rFonts w:ascii="Calibri" w:hAnsi="Calibri"/>
        </w:rPr>
        <w:t xml:space="preserve"> </w:t>
      </w:r>
      <w:r w:rsidRPr="00330262">
        <w:rPr>
          <w:rFonts w:ascii="Calibri" w:hAnsi="Calibri"/>
          <w:rtl/>
        </w:rPr>
        <w:t>נשק</w:t>
      </w:r>
      <w:r w:rsidRPr="00330262">
        <w:rPr>
          <w:rFonts w:ascii="Calibri" w:hAnsi="Calibri"/>
        </w:rPr>
        <w:t xml:space="preserve"> </w:t>
      </w:r>
      <w:r w:rsidRPr="00330262">
        <w:rPr>
          <w:rFonts w:ascii="Calibri" w:hAnsi="Calibri"/>
          <w:rtl/>
        </w:rPr>
        <w:t>חם</w:t>
      </w:r>
      <w:r w:rsidRPr="00330262">
        <w:rPr>
          <w:rFonts w:ascii="Calibri" w:hAnsi="Calibri"/>
        </w:rPr>
        <w:t xml:space="preserve"> </w:t>
      </w:r>
      <w:r w:rsidRPr="00330262">
        <w:rPr>
          <w:rFonts w:ascii="Calibri" w:hAnsi="Calibri"/>
          <w:rtl/>
        </w:rPr>
        <w:t>ורב</w:t>
      </w:r>
      <w:r w:rsidRPr="00330262">
        <w:rPr>
          <w:rFonts w:ascii="Calibri" w:hAnsi="Calibri"/>
        </w:rPr>
        <w:t xml:space="preserve"> </w:t>
      </w:r>
      <w:r w:rsidRPr="00330262">
        <w:rPr>
          <w:rFonts w:ascii="Calibri" w:hAnsi="Calibri"/>
          <w:rtl/>
        </w:rPr>
        <w:t>עוצמה</w:t>
      </w:r>
      <w:r w:rsidRPr="00330262">
        <w:rPr>
          <w:rFonts w:ascii="Calibri" w:hAnsi="Calibri"/>
        </w:rPr>
        <w:t xml:space="preserve"> </w:t>
      </w:r>
      <w:r w:rsidRPr="00330262">
        <w:rPr>
          <w:rFonts w:ascii="Calibri" w:hAnsi="Calibri"/>
          <w:rtl/>
        </w:rPr>
        <w:t>באופן</w:t>
      </w:r>
      <w:r w:rsidRPr="00330262">
        <w:rPr>
          <w:rFonts w:ascii="Calibri" w:hAnsi="Calibri"/>
        </w:rPr>
        <w:t xml:space="preserve"> </w:t>
      </w:r>
      <w:r w:rsidRPr="00330262">
        <w:rPr>
          <w:rFonts w:ascii="Calibri" w:hAnsi="Calibri"/>
          <w:rtl/>
        </w:rPr>
        <w:t>בלתי</w:t>
      </w:r>
      <w:r w:rsidRPr="00330262">
        <w:rPr>
          <w:rFonts w:ascii="Calibri" w:hAnsi="Calibri"/>
        </w:rPr>
        <w:t xml:space="preserve"> </w:t>
      </w:r>
      <w:r w:rsidRPr="00330262">
        <w:rPr>
          <w:rFonts w:ascii="Calibri" w:hAnsi="Calibri"/>
          <w:rtl/>
        </w:rPr>
        <w:t>חוקי,</w:t>
      </w:r>
      <w:r w:rsidRPr="00330262">
        <w:rPr>
          <w:rFonts w:ascii="Calibri" w:hAnsi="Calibri"/>
        </w:rPr>
        <w:t xml:space="preserve"> </w:t>
      </w:r>
      <w:r w:rsidRPr="00330262">
        <w:rPr>
          <w:rFonts w:ascii="Calibri" w:hAnsi="Calibri"/>
          <w:rtl/>
        </w:rPr>
        <w:t>עלול להוביל</w:t>
      </w:r>
      <w:r w:rsidRPr="00330262">
        <w:rPr>
          <w:rFonts w:ascii="Calibri" w:hAnsi="Calibri"/>
        </w:rPr>
        <w:t xml:space="preserve"> </w:t>
      </w:r>
      <w:r w:rsidRPr="00330262">
        <w:rPr>
          <w:rFonts w:ascii="Calibri" w:hAnsi="Calibri"/>
          <w:rtl/>
        </w:rPr>
        <w:t>לאלימות</w:t>
      </w:r>
      <w:r w:rsidRPr="00330262">
        <w:rPr>
          <w:rFonts w:ascii="Calibri" w:hAnsi="Calibri"/>
        </w:rPr>
        <w:t xml:space="preserve"> </w:t>
      </w:r>
      <w:r w:rsidRPr="00330262">
        <w:rPr>
          <w:rFonts w:ascii="Calibri" w:hAnsi="Calibri"/>
          <w:rtl/>
        </w:rPr>
        <w:t>קשה</w:t>
      </w:r>
      <w:r w:rsidRPr="00330262">
        <w:rPr>
          <w:rFonts w:ascii="Calibri" w:hAnsi="Calibri"/>
        </w:rPr>
        <w:t xml:space="preserve"> </w:t>
      </w:r>
      <w:r w:rsidRPr="00330262">
        <w:rPr>
          <w:rFonts w:ascii="Calibri" w:hAnsi="Calibri"/>
          <w:rtl/>
        </w:rPr>
        <w:t>עד</w:t>
      </w:r>
      <w:r w:rsidRPr="00330262">
        <w:rPr>
          <w:rFonts w:ascii="Calibri" w:hAnsi="Calibri"/>
        </w:rPr>
        <w:t xml:space="preserve"> </w:t>
      </w:r>
      <w:r w:rsidRPr="00330262">
        <w:rPr>
          <w:rFonts w:ascii="Calibri" w:hAnsi="Calibri"/>
          <w:rtl/>
        </w:rPr>
        <w:t>קטלנית. זמינות כלי</w:t>
      </w:r>
      <w:r w:rsidRPr="00330262">
        <w:rPr>
          <w:rFonts w:ascii="Calibri" w:hAnsi="Calibri"/>
        </w:rPr>
        <w:t xml:space="preserve"> </w:t>
      </w:r>
      <w:r w:rsidRPr="00330262">
        <w:rPr>
          <w:rFonts w:ascii="Calibri" w:hAnsi="Calibri"/>
          <w:rtl/>
        </w:rPr>
        <w:t>הנשק</w:t>
      </w:r>
      <w:r w:rsidRPr="00330262">
        <w:rPr>
          <w:rFonts w:ascii="Calibri" w:hAnsi="Calibri"/>
        </w:rPr>
        <w:t xml:space="preserve"> </w:t>
      </w:r>
      <w:r w:rsidRPr="00330262">
        <w:rPr>
          <w:rFonts w:ascii="Calibri" w:hAnsi="Calibri"/>
          <w:rtl/>
        </w:rPr>
        <w:t>העוברים</w:t>
      </w:r>
      <w:r w:rsidRPr="00330262">
        <w:rPr>
          <w:rFonts w:ascii="Calibri" w:hAnsi="Calibri"/>
        </w:rPr>
        <w:t xml:space="preserve"> </w:t>
      </w:r>
      <w:r w:rsidRPr="00330262">
        <w:rPr>
          <w:rFonts w:ascii="Calibri" w:hAnsi="Calibri"/>
          <w:rtl/>
        </w:rPr>
        <w:t>מיד</w:t>
      </w:r>
      <w:r w:rsidRPr="00330262">
        <w:rPr>
          <w:rFonts w:ascii="Calibri" w:hAnsi="Calibri"/>
        </w:rPr>
        <w:t xml:space="preserve"> </w:t>
      </w:r>
      <w:r w:rsidRPr="00330262">
        <w:rPr>
          <w:rFonts w:ascii="Calibri" w:hAnsi="Calibri"/>
          <w:rtl/>
        </w:rPr>
        <w:t>ליד, אם</w:t>
      </w:r>
      <w:r w:rsidRPr="00330262">
        <w:rPr>
          <w:rFonts w:ascii="Calibri" w:hAnsi="Calibri"/>
        </w:rPr>
        <w:t xml:space="preserve"> </w:t>
      </w:r>
      <w:r w:rsidRPr="00330262">
        <w:rPr>
          <w:rFonts w:ascii="Calibri" w:hAnsi="Calibri"/>
          <w:rtl/>
        </w:rPr>
        <w:t>לידיים</w:t>
      </w:r>
      <w:r w:rsidRPr="00330262">
        <w:rPr>
          <w:rFonts w:ascii="Calibri" w:hAnsi="Calibri"/>
        </w:rPr>
        <w:t xml:space="preserve"> </w:t>
      </w:r>
      <w:r w:rsidRPr="00330262">
        <w:rPr>
          <w:rFonts w:ascii="Calibri" w:hAnsi="Calibri"/>
          <w:rtl/>
        </w:rPr>
        <w:t>עוינות ואם לידיים פליליות, תורמים</w:t>
      </w:r>
      <w:r w:rsidRPr="00330262">
        <w:rPr>
          <w:rFonts w:ascii="Calibri" w:hAnsi="Calibri"/>
        </w:rPr>
        <w:t xml:space="preserve"> </w:t>
      </w:r>
      <w:r w:rsidRPr="00330262">
        <w:rPr>
          <w:rFonts w:ascii="Calibri" w:hAnsi="Calibri"/>
          <w:rtl/>
        </w:rPr>
        <w:t>להגדלת</w:t>
      </w:r>
      <w:r w:rsidRPr="00330262">
        <w:rPr>
          <w:rFonts w:ascii="Calibri" w:hAnsi="Calibri"/>
        </w:rPr>
        <w:t xml:space="preserve"> </w:t>
      </w:r>
      <w:r w:rsidRPr="00330262">
        <w:rPr>
          <w:rFonts w:ascii="Calibri" w:hAnsi="Calibri"/>
          <w:rtl/>
        </w:rPr>
        <w:t>מעגל</w:t>
      </w:r>
      <w:r w:rsidRPr="00330262">
        <w:rPr>
          <w:rFonts w:ascii="Calibri" w:hAnsi="Calibri"/>
        </w:rPr>
        <w:t xml:space="preserve"> </w:t>
      </w:r>
      <w:r w:rsidRPr="00330262">
        <w:rPr>
          <w:rFonts w:ascii="Calibri" w:hAnsi="Calibri"/>
          <w:rtl/>
        </w:rPr>
        <w:t>האלימות</w:t>
      </w:r>
      <w:r w:rsidRPr="00330262">
        <w:rPr>
          <w:rFonts w:ascii="Calibri" w:hAnsi="Calibri"/>
        </w:rPr>
        <w:t xml:space="preserve"> </w:t>
      </w:r>
      <w:r w:rsidRPr="00330262">
        <w:rPr>
          <w:rFonts w:ascii="Calibri" w:hAnsi="Calibri"/>
          <w:rtl/>
        </w:rPr>
        <w:t>ולתוצאות</w:t>
      </w:r>
      <w:r w:rsidRPr="00330262">
        <w:rPr>
          <w:rFonts w:ascii="Calibri" w:hAnsi="Calibri"/>
        </w:rPr>
        <w:t xml:space="preserve"> </w:t>
      </w:r>
      <w:r w:rsidRPr="00330262">
        <w:rPr>
          <w:rFonts w:ascii="Calibri" w:hAnsi="Calibri"/>
          <w:rtl/>
        </w:rPr>
        <w:t>הקשות</w:t>
      </w:r>
      <w:r w:rsidRPr="00330262">
        <w:rPr>
          <w:rFonts w:ascii="Calibri" w:hAnsi="Calibri"/>
        </w:rPr>
        <w:t xml:space="preserve"> </w:t>
      </w:r>
      <w:r w:rsidRPr="00330262">
        <w:rPr>
          <w:rFonts w:ascii="Calibri" w:hAnsi="Calibri"/>
          <w:rtl/>
        </w:rPr>
        <w:t>הנובעות</w:t>
      </w:r>
      <w:r w:rsidRPr="00330262">
        <w:rPr>
          <w:rFonts w:ascii="Calibri" w:hAnsi="Calibri"/>
        </w:rPr>
        <w:t xml:space="preserve"> </w:t>
      </w:r>
      <w:r w:rsidRPr="00330262">
        <w:rPr>
          <w:rFonts w:ascii="Calibri" w:hAnsi="Calibri"/>
          <w:rtl/>
        </w:rPr>
        <w:t xml:space="preserve">מכך. בשנים האחרונות אנו עדים לגל אלימות קשה תוך שימוש בנשק חם הגובה חיי אדם. </w:t>
      </w:r>
    </w:p>
    <w:p w14:paraId="52562B05" w14:textId="77777777" w:rsidR="00330262" w:rsidRPr="00330262" w:rsidRDefault="00330262" w:rsidP="00330262">
      <w:pPr>
        <w:spacing w:before="240" w:after="240" w:line="360" w:lineRule="auto"/>
        <w:jc w:val="both"/>
        <w:rPr>
          <w:rFonts w:ascii="Calibri" w:hAnsi="Calibri"/>
          <w:rtl/>
        </w:rPr>
      </w:pPr>
      <w:r w:rsidRPr="00330262">
        <w:rPr>
          <w:rFonts w:ascii="Calibri" w:hAnsi="Calibri"/>
          <w:rtl/>
        </w:rPr>
        <w:t>לענייו זה ראה</w:t>
      </w:r>
      <w:r w:rsidRPr="000B2168">
        <w:rPr>
          <w:rtl/>
        </w:rPr>
        <w:t xml:space="preserve"> </w:t>
      </w:r>
      <w:r w:rsidRPr="00330262">
        <w:rPr>
          <w:rFonts w:ascii="Calibri" w:hAnsi="Calibri"/>
          <w:rtl/>
        </w:rPr>
        <w:t xml:space="preserve">ע"פ 1332/04 </w:t>
      </w:r>
      <w:r w:rsidRPr="00330262">
        <w:rPr>
          <w:rFonts w:ascii="Calibri" w:hAnsi="Calibri" w:hint="cs"/>
          <w:b/>
          <w:bCs/>
          <w:rtl/>
        </w:rPr>
        <w:t>מדינת ישראל נ' פס</w:t>
      </w:r>
      <w:r w:rsidRPr="00330262">
        <w:rPr>
          <w:rFonts w:ascii="Calibri" w:hAnsi="Calibri" w:hint="cs"/>
          <w:rtl/>
        </w:rPr>
        <w:t>, פ"ד נח (5), 541 בעמ' 545:</w:t>
      </w:r>
    </w:p>
    <w:p w14:paraId="4EBD3189" w14:textId="77777777" w:rsidR="00330262" w:rsidRPr="00330262" w:rsidRDefault="00330262" w:rsidP="00330262">
      <w:pPr>
        <w:spacing w:before="240" w:after="240" w:line="360" w:lineRule="auto"/>
        <w:ind w:left="720"/>
        <w:jc w:val="both"/>
        <w:rPr>
          <w:rFonts w:ascii="Calibri" w:hAnsi="Calibri"/>
          <w:rtl/>
        </w:rPr>
      </w:pPr>
      <w:r w:rsidRPr="00330262">
        <w:rPr>
          <w:rFonts w:ascii="Calibri" w:hAnsi="Calibri"/>
          <w:b/>
          <w:bCs/>
          <w:rtl/>
        </w:rPr>
        <w:t xml:space="preserve">"...המציאות השוררת בארץ - זמינותו של נשק חם ורב עוצמה שיש עמו פוטנציאל להסלמה באלימות העבריינית... מחייבת מתן ביטוי עונשי הולם והחמרה ברמת הענישה </w:t>
      </w:r>
    </w:p>
    <w:p w14:paraId="4B2242FD" w14:textId="77777777" w:rsidR="00330262" w:rsidRPr="00330262" w:rsidRDefault="00330262" w:rsidP="00330262">
      <w:pPr>
        <w:spacing w:before="240" w:after="240" w:line="360" w:lineRule="auto"/>
        <w:jc w:val="both"/>
        <w:rPr>
          <w:rFonts w:ascii="Calibri" w:hAnsi="Calibri"/>
          <w:rtl/>
        </w:rPr>
      </w:pPr>
      <w:r w:rsidRPr="00330262">
        <w:rPr>
          <w:rFonts w:ascii="Calibri" w:hAnsi="Calibri"/>
          <w:b/>
          <w:bCs/>
          <w:rtl/>
        </w:rPr>
        <w:t xml:space="preserve">באשר לנסיבות הקשורות בביצוע העבירה: </w:t>
      </w:r>
    </w:p>
    <w:p w14:paraId="7C70C52A" w14:textId="77777777" w:rsidR="00330262" w:rsidRPr="00330262" w:rsidRDefault="00330262" w:rsidP="00330262">
      <w:pPr>
        <w:spacing w:before="240" w:after="240" w:line="360" w:lineRule="auto"/>
        <w:jc w:val="both"/>
        <w:rPr>
          <w:rFonts w:ascii="Calibri" w:hAnsi="Calibri"/>
          <w:rtl/>
        </w:rPr>
      </w:pPr>
      <w:r w:rsidRPr="00330262">
        <w:rPr>
          <w:rFonts w:ascii="Calibri" w:hAnsi="Calibri" w:hint="cs"/>
          <w:rtl/>
        </w:rPr>
        <w:t xml:space="preserve">הנאשם סייע לאדם אחר, אשר זהותה לא ידועה, להחזיק במטע זיתים, הסמוך לביתו, רובה צלפים טעון עם מחסנית ובה כדורים, כאשר לרובה מחוברים כוונת טלסקופית ומשתיק קול. בנוסף סייע הנאשם לאחר להחזיק תחמושת ומחסניות ריקות. </w:t>
      </w:r>
    </w:p>
    <w:p w14:paraId="0D48D39F" w14:textId="77777777" w:rsidR="00330262" w:rsidRPr="00330262" w:rsidRDefault="00330262" w:rsidP="00330262">
      <w:pPr>
        <w:spacing w:before="240" w:after="240" w:line="360" w:lineRule="auto"/>
        <w:jc w:val="both"/>
        <w:rPr>
          <w:rFonts w:ascii="Calibri" w:hAnsi="Calibri"/>
          <w:rtl/>
        </w:rPr>
      </w:pPr>
      <w:r w:rsidRPr="00330262">
        <w:rPr>
          <w:rFonts w:ascii="Calibri" w:hAnsi="Calibri" w:hint="cs"/>
          <w:rtl/>
        </w:rPr>
        <w:t xml:space="preserve">המעשים בוצעו לאחר תכנון, ולא ניתן לומר כי מדובר בביצוע עבירה רגעית, הגם שחלקו של הנאשם בביצוע העבירה לא היה חלק מרכזי, אלא הוא שימש כמסייע בלבד. </w:t>
      </w:r>
    </w:p>
    <w:p w14:paraId="3DEB3BE0" w14:textId="77777777" w:rsidR="00330262" w:rsidRPr="000B2168" w:rsidRDefault="00330262" w:rsidP="00330262">
      <w:pPr>
        <w:spacing w:before="240" w:after="240" w:line="360" w:lineRule="auto"/>
        <w:jc w:val="both"/>
        <w:rPr>
          <w:rFonts w:ascii="David" w:hAnsi="David"/>
          <w:color w:val="000000"/>
          <w:sz w:val="27"/>
          <w:szCs w:val="27"/>
          <w:rtl/>
        </w:rPr>
      </w:pPr>
      <w:r w:rsidRPr="00330262">
        <w:rPr>
          <w:rFonts w:ascii="Calibri" w:hAnsi="Calibri" w:hint="cs"/>
          <w:rtl/>
        </w:rPr>
        <w:t xml:space="preserve">חומרה מיוחדת יש לראות בעובדה כי מדובר ברובה צלפים, שהוא נשק עם פוטנציאל פגיעה קטלני, והעובדה כי הנשק הוחזק כשהוא טעון וכשמחוברים אליו משתיק קול וכוונת טלסקופית המצביעים כי הוא נועד לשימוש פלילי מיידי שבסופו עלול להיגרם נזק קטלני של קטילת חיי אדם. </w:t>
      </w:r>
    </w:p>
    <w:p w14:paraId="0464D44C" w14:textId="77777777" w:rsidR="00330262" w:rsidRPr="00330262" w:rsidRDefault="00330262" w:rsidP="00330262">
      <w:pPr>
        <w:spacing w:before="240" w:after="240" w:line="360" w:lineRule="auto"/>
        <w:jc w:val="both"/>
        <w:rPr>
          <w:rFonts w:ascii="Calibri" w:hAnsi="Calibri"/>
          <w:rtl/>
        </w:rPr>
      </w:pPr>
      <w:r w:rsidRPr="00330262">
        <w:rPr>
          <w:rFonts w:ascii="Calibri" w:hAnsi="Calibri"/>
          <w:b/>
          <w:bCs/>
          <w:rtl/>
        </w:rPr>
        <w:t>מידת הפגיעה בערכים המוגנים</w:t>
      </w:r>
      <w:r w:rsidRPr="00330262">
        <w:rPr>
          <w:rFonts w:ascii="Calibri" w:hAnsi="Calibri"/>
          <w:rtl/>
        </w:rPr>
        <w:t>: בשים לב לסוג הנשק שהחזיק הנאשם,</w:t>
      </w:r>
      <w:r w:rsidRPr="00330262">
        <w:rPr>
          <w:rFonts w:ascii="Calibri" w:hAnsi="Calibri" w:hint="cs"/>
          <w:rtl/>
        </w:rPr>
        <w:t xml:space="preserve"> העובדה כי הנשק הוחזק כשהוא טעון ואליו מחברת כוונת טלסקופית ומשתיק קול כמו גם תחמושת נוספת, </w:t>
      </w:r>
      <w:r w:rsidRPr="00330262">
        <w:rPr>
          <w:rFonts w:ascii="Calibri" w:hAnsi="Calibri"/>
          <w:rtl/>
        </w:rPr>
        <w:t>התכנון והנזק הפוטנציאלי שעלול היה להיגרם</w:t>
      </w:r>
      <w:r w:rsidRPr="00330262">
        <w:rPr>
          <w:rFonts w:ascii="Calibri" w:hAnsi="Calibri" w:hint="cs"/>
          <w:rtl/>
        </w:rPr>
        <w:t xml:space="preserve"> - אני קובעת כי</w:t>
      </w:r>
      <w:r w:rsidRPr="00330262">
        <w:rPr>
          <w:rFonts w:ascii="Calibri" w:hAnsi="Calibri"/>
          <w:rtl/>
        </w:rPr>
        <w:t xml:space="preserve"> מידת הפגיעה בערכים המוגנים היא </w:t>
      </w:r>
      <w:r w:rsidRPr="00330262">
        <w:rPr>
          <w:rFonts w:ascii="Calibri" w:hAnsi="Calibri" w:hint="cs"/>
          <w:rtl/>
        </w:rPr>
        <w:t>ממשית</w:t>
      </w:r>
      <w:r w:rsidRPr="00330262">
        <w:rPr>
          <w:rFonts w:ascii="Calibri" w:hAnsi="Calibri"/>
          <w:rtl/>
        </w:rPr>
        <w:t xml:space="preserve">. </w:t>
      </w:r>
    </w:p>
    <w:p w14:paraId="2B312BDF" w14:textId="77777777" w:rsidR="00330262" w:rsidRPr="00330262" w:rsidRDefault="00330262" w:rsidP="00330262">
      <w:pPr>
        <w:spacing w:before="240" w:after="240" w:line="360" w:lineRule="auto"/>
        <w:jc w:val="both"/>
        <w:rPr>
          <w:rFonts w:ascii="Calibri" w:hAnsi="Calibri"/>
          <w:rtl/>
        </w:rPr>
      </w:pPr>
      <w:r w:rsidRPr="00330262">
        <w:rPr>
          <w:rFonts w:ascii="Calibri" w:hAnsi="Calibri" w:hint="cs"/>
          <w:rtl/>
        </w:rPr>
        <w:t>באשר למגמת ההחמרה בענישה בגין עבירות בנשק יפים הדברים שנאמרו ב</w:t>
      </w:r>
      <w:hyperlink r:id="rId18" w:history="1">
        <w:r w:rsidR="00B96157" w:rsidRPr="00B96157">
          <w:rPr>
            <w:rFonts w:ascii="Arial" w:hAnsi="Arial"/>
            <w:color w:val="0000FF"/>
            <w:u w:val="single"/>
            <w:rtl/>
          </w:rPr>
          <w:t>עפ"ג 12888-03-22</w:t>
        </w:r>
      </w:hyperlink>
      <w:r w:rsidRPr="00D155CB">
        <w:rPr>
          <w:rFonts w:ascii="Arial" w:hAnsi="Arial" w:hint="cs"/>
          <w:rtl/>
        </w:rPr>
        <w:t xml:space="preserve"> </w:t>
      </w:r>
      <w:r w:rsidRPr="00D155CB">
        <w:rPr>
          <w:rFonts w:ascii="Arial" w:hAnsi="Arial" w:hint="cs"/>
          <w:b/>
          <w:bCs/>
          <w:rtl/>
        </w:rPr>
        <w:t>מדינת ישראל נ' אגבריה</w:t>
      </w:r>
      <w:r w:rsidRPr="00D155CB">
        <w:rPr>
          <w:rFonts w:ascii="Arial" w:hAnsi="Arial" w:hint="cs"/>
          <w:rtl/>
        </w:rPr>
        <w:t xml:space="preserve"> (07.11.22),</w:t>
      </w:r>
    </w:p>
    <w:p w14:paraId="186CCFB3" w14:textId="77777777" w:rsidR="00330262" w:rsidRPr="00D155CB" w:rsidRDefault="00330262" w:rsidP="00330262">
      <w:pPr>
        <w:spacing w:line="360" w:lineRule="auto"/>
        <w:ind w:left="360"/>
        <w:jc w:val="both"/>
        <w:rPr>
          <w:rFonts w:ascii="David" w:hAnsi="David"/>
          <w:b/>
          <w:bCs/>
        </w:rPr>
      </w:pPr>
      <w:r w:rsidRPr="00D155CB">
        <w:rPr>
          <w:rFonts w:ascii="David" w:hAnsi="David" w:hint="cs"/>
          <w:rtl/>
        </w:rPr>
        <w:t>"</w:t>
      </w:r>
      <w:r w:rsidRPr="00D155CB">
        <w:rPr>
          <w:rFonts w:ascii="David" w:hAnsi="David"/>
          <w:b/>
          <w:bCs/>
          <w:rtl/>
        </w:rPr>
        <w:t>רבות נכתב בעניין התופעה המסוכנת של החזקה ושימוש בנשק שפשתה במקומותינו. מציאות זו מחייבת את בתי המשפט להחמיר בענישה ובכך לתרום את חלקם במיגור תופעה מסוכנת זו המערערת את ביטחונם</w:t>
      </w:r>
      <w:r>
        <w:rPr>
          <w:rFonts w:ascii="David" w:hAnsi="David"/>
          <w:b/>
          <w:bCs/>
          <w:rtl/>
        </w:rPr>
        <w:t xml:space="preserve"> </w:t>
      </w:r>
      <w:r w:rsidRPr="00D155CB">
        <w:rPr>
          <w:rFonts w:ascii="David" w:hAnsi="David"/>
          <w:b/>
          <w:bCs/>
          <w:rtl/>
        </w:rPr>
        <w:t>האישי</w:t>
      </w:r>
      <w:r>
        <w:rPr>
          <w:rFonts w:ascii="David" w:hAnsi="David"/>
          <w:b/>
          <w:bCs/>
          <w:rtl/>
        </w:rPr>
        <w:t xml:space="preserve"> </w:t>
      </w:r>
      <w:r w:rsidRPr="00D155CB">
        <w:rPr>
          <w:rFonts w:ascii="David" w:hAnsi="David"/>
          <w:b/>
          <w:bCs/>
          <w:rtl/>
        </w:rPr>
        <w:t>של אזרחים הן במרחב הציבורי וגם הפרטי. תפוצת ונגישות הנשק גרמו לתוצאות קשות וטראגיות לרבות למותם גם של חפים מפשע שהלכו לתומם ברחוב או אף שהו בביתם-מבצרם.</w:t>
      </w:r>
      <w:r>
        <w:rPr>
          <w:rFonts w:ascii="David" w:hAnsi="David"/>
          <w:b/>
          <w:bCs/>
          <w:rtl/>
        </w:rPr>
        <w:t xml:space="preserve"> </w:t>
      </w:r>
      <w:r w:rsidRPr="00D155CB">
        <w:rPr>
          <w:rFonts w:ascii="David" w:hAnsi="David"/>
          <w:b/>
          <w:bCs/>
          <w:rtl/>
        </w:rPr>
        <w:t>ביהמ"ש העליון חזר והזכיר רק לאחרונה:</w:t>
      </w:r>
    </w:p>
    <w:p w14:paraId="2168B6A8" w14:textId="77777777" w:rsidR="00330262" w:rsidRDefault="00330262" w:rsidP="00330262">
      <w:pPr>
        <w:pStyle w:val="a9"/>
        <w:spacing w:line="360" w:lineRule="auto"/>
        <w:ind w:left="360"/>
        <w:jc w:val="both"/>
        <w:rPr>
          <w:rFonts w:ascii="David" w:hAnsi="David"/>
        </w:rPr>
      </w:pPr>
    </w:p>
    <w:p w14:paraId="49342073" w14:textId="77777777" w:rsidR="00330262" w:rsidRPr="00D155CB" w:rsidRDefault="00330262" w:rsidP="00330262">
      <w:pPr>
        <w:pStyle w:val="a9"/>
        <w:spacing w:line="360" w:lineRule="auto"/>
        <w:jc w:val="both"/>
        <w:rPr>
          <w:rFonts w:ascii="David" w:hAnsi="David"/>
        </w:rPr>
      </w:pPr>
      <w:r>
        <w:rPr>
          <w:rFonts w:ascii="David" w:hAnsi="David"/>
          <w:rtl/>
        </w:rPr>
        <w:t>"</w:t>
      </w:r>
      <w:r w:rsidRPr="00D155CB">
        <w:rPr>
          <w:rFonts w:ascii="David" w:hAnsi="David"/>
          <w:b/>
          <w:bCs/>
          <w:rtl/>
        </w:rPr>
        <w:t>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w:t>
      </w:r>
      <w:r w:rsidRPr="00D155CB">
        <w:rPr>
          <w:rFonts w:ascii="David" w:hAnsi="David"/>
          <w:rtl/>
        </w:rPr>
        <w:t>"(</w:t>
      </w:r>
      <w:hyperlink r:id="rId19" w:history="1">
        <w:r w:rsidR="00B96157" w:rsidRPr="00B96157">
          <w:rPr>
            <w:rFonts w:ascii="David" w:hAnsi="David"/>
            <w:color w:val="0000FF"/>
            <w:u w:val="single"/>
            <w:rtl/>
          </w:rPr>
          <w:t>ע"פ 5602/22</w:t>
        </w:r>
      </w:hyperlink>
      <w:r w:rsidRPr="00D155CB">
        <w:rPr>
          <w:rFonts w:ascii="David" w:hAnsi="David"/>
          <w:rtl/>
        </w:rPr>
        <w:t xml:space="preserve"> </w:t>
      </w:r>
      <w:r w:rsidRPr="00D155CB">
        <w:rPr>
          <w:rFonts w:ascii="David" w:hAnsi="David"/>
          <w:b/>
          <w:bCs/>
          <w:rtl/>
        </w:rPr>
        <w:t>מדינת ישראל נ' פלוני</w:t>
      </w:r>
      <w:r w:rsidRPr="00D155CB">
        <w:rPr>
          <w:rFonts w:ascii="David" w:hAnsi="David"/>
          <w:rtl/>
        </w:rPr>
        <w:t xml:space="preserve">, </w:t>
      </w:r>
      <w:r w:rsidRPr="00D155CB">
        <w:rPr>
          <w:rFonts w:ascii="David" w:hAnsi="David"/>
          <w:b/>
          <w:bCs/>
          <w:rtl/>
        </w:rPr>
        <w:t xml:space="preserve">פסקה 15 (14.9.22); ראו גם </w:t>
      </w:r>
      <w:hyperlink r:id="rId20" w:history="1">
        <w:r w:rsidR="00B96157" w:rsidRPr="00B96157">
          <w:rPr>
            <w:rFonts w:ascii="David" w:hAnsi="David"/>
            <w:b/>
            <w:bCs/>
            <w:color w:val="0000FF"/>
            <w:u w:val="single"/>
            <w:rtl/>
          </w:rPr>
          <w:t>ע"פ 4103/22</w:t>
        </w:r>
      </w:hyperlink>
      <w:r w:rsidRPr="00D155CB">
        <w:rPr>
          <w:rFonts w:ascii="David" w:hAnsi="David"/>
          <w:b/>
          <w:bCs/>
          <w:rtl/>
        </w:rPr>
        <w:t xml:space="preserve"> מדינת ישראל נ' מוחמד אמון, פסקה 9 (6.11.22).</w:t>
      </w:r>
      <w:r w:rsidRPr="00D155CB">
        <w:rPr>
          <w:rFonts w:ascii="David" w:hAnsi="David" w:hint="cs"/>
          <w:b/>
          <w:bCs/>
          <w:rtl/>
        </w:rPr>
        <w:t>"</w:t>
      </w:r>
    </w:p>
    <w:p w14:paraId="6FCDB850" w14:textId="77777777" w:rsidR="00330262" w:rsidRDefault="00330262" w:rsidP="00330262">
      <w:pPr>
        <w:spacing w:before="240" w:after="240" w:line="360" w:lineRule="auto"/>
        <w:jc w:val="both"/>
        <w:rPr>
          <w:rFonts w:ascii="Arial" w:hAnsi="Arial"/>
          <w:b/>
          <w:bCs/>
          <w:rtl/>
        </w:rPr>
      </w:pPr>
      <w:r w:rsidRPr="000B2168">
        <w:rPr>
          <w:rFonts w:ascii="Arial" w:hAnsi="Arial" w:hint="cs"/>
          <w:b/>
          <w:bCs/>
          <w:rtl/>
        </w:rPr>
        <w:t xml:space="preserve">מדיניות הענישה הנוהגת: </w:t>
      </w:r>
    </w:p>
    <w:p w14:paraId="4224BB6A" w14:textId="77777777" w:rsidR="00330262" w:rsidRPr="004F77E1" w:rsidRDefault="00330262" w:rsidP="00330262">
      <w:pPr>
        <w:spacing w:before="240" w:after="240" w:line="360" w:lineRule="auto"/>
        <w:jc w:val="both"/>
        <w:rPr>
          <w:rFonts w:ascii="Arial" w:hAnsi="Arial"/>
          <w:rtl/>
        </w:rPr>
      </w:pPr>
      <w:r w:rsidRPr="00157075">
        <w:rPr>
          <w:rFonts w:ascii="Arial" w:hAnsi="Arial" w:hint="cs"/>
          <w:rtl/>
        </w:rPr>
        <w:t>חלק מהפסיקה אליה הפנו אותי הצדדים עניינה בביצוע עבירה מושלמת של החזקת נשק שלא כדין, ועל כן, כאשר במקרה שבפניי מדובר בסיוע להחזקת נשק, ניתן ללמוד מהפסיקה לעניינו רק באופן חלקי.</w:t>
      </w:r>
      <w:r>
        <w:rPr>
          <w:rFonts w:ascii="Arial" w:hAnsi="Arial" w:hint="cs"/>
          <w:rtl/>
        </w:rPr>
        <w:t xml:space="preserve"> יש לתת את הדעת שחלק מהפסיקה אליה הפנה ב"כ הנאשם עניינה בחריגה ממתחם העונש ההולם משיקולי שיקום, בשונה מענייננו.</w:t>
      </w:r>
    </w:p>
    <w:p w14:paraId="1636B025" w14:textId="77777777" w:rsidR="00330262" w:rsidRDefault="00330262" w:rsidP="00330262">
      <w:pPr>
        <w:pStyle w:val="a9"/>
        <w:numPr>
          <w:ilvl w:val="0"/>
          <w:numId w:val="1"/>
        </w:numPr>
        <w:spacing w:before="240" w:after="240" w:line="360" w:lineRule="auto"/>
        <w:ind w:left="425"/>
        <w:jc w:val="both"/>
        <w:rPr>
          <w:rFonts w:ascii="Arial" w:hAnsi="Arial"/>
        </w:rPr>
      </w:pPr>
      <w:r>
        <w:rPr>
          <w:rFonts w:ascii="Arial" w:hAnsi="Arial" w:hint="cs"/>
          <w:rtl/>
        </w:rPr>
        <w:t>ב</w:t>
      </w:r>
      <w:hyperlink r:id="rId21" w:history="1">
        <w:r w:rsidR="00B96157" w:rsidRPr="00B96157">
          <w:rPr>
            <w:rFonts w:ascii="Arial" w:hAnsi="Arial"/>
            <w:color w:val="0000FF"/>
            <w:u w:val="single"/>
            <w:rtl/>
          </w:rPr>
          <w:t>רע"פ 3278/23</w:t>
        </w:r>
      </w:hyperlink>
      <w:r>
        <w:rPr>
          <w:rFonts w:ascii="Arial" w:hAnsi="Arial" w:hint="cs"/>
          <w:rtl/>
        </w:rPr>
        <w:t xml:space="preserve"> </w:t>
      </w:r>
      <w:r w:rsidRPr="00D155CB">
        <w:rPr>
          <w:rFonts w:ascii="Arial" w:hAnsi="Arial" w:hint="cs"/>
          <w:b/>
          <w:bCs/>
          <w:rtl/>
        </w:rPr>
        <w:t>מיכאלוב נ' מדינת ישראל</w:t>
      </w:r>
      <w:r>
        <w:rPr>
          <w:rFonts w:ascii="Arial" w:hAnsi="Arial" w:hint="cs"/>
          <w:rtl/>
        </w:rPr>
        <w:t xml:space="preserve"> (2.5.23), אליו הפנתה ב"כ המאשימה, המבקש הורשע בעבירה של החזקת אקדח עם כדור בקנה ועוד שני כדורים במחסנית והחזקת סמים. בגין ביצוע עבירות בנשק קבע בית המשפט כי מתחם העונש ההולם נע בין 10-30 חודשי מאסר בפועל ומשיקולי שיקול סטה מהמתחם וגר על הנאשם עונש של 9 חודשי מאסר בעבודות שירות. בית המשפט המחוזי קיבל את ערעור על קולת העונש ושהשית על המבקש 10 חודשי מאסר בפועל. בקש רשות ערעור שהוגשה על ידי המבקש נדחתה. </w:t>
      </w:r>
    </w:p>
    <w:p w14:paraId="4B103EBA" w14:textId="77777777" w:rsidR="00330262" w:rsidRDefault="00330262" w:rsidP="00330262">
      <w:pPr>
        <w:pStyle w:val="a9"/>
        <w:numPr>
          <w:ilvl w:val="0"/>
          <w:numId w:val="1"/>
        </w:numPr>
        <w:spacing w:before="240" w:after="240" w:line="360" w:lineRule="auto"/>
        <w:ind w:left="425"/>
        <w:jc w:val="both"/>
        <w:rPr>
          <w:rFonts w:ascii="Arial" w:hAnsi="Arial"/>
        </w:rPr>
      </w:pPr>
      <w:r w:rsidRPr="000B2168">
        <w:rPr>
          <w:rFonts w:ascii="Arial" w:hAnsi="Arial" w:hint="cs"/>
          <w:rtl/>
        </w:rPr>
        <w:t>ב</w:t>
      </w:r>
      <w:hyperlink r:id="rId22" w:history="1">
        <w:r w:rsidR="00B96157" w:rsidRPr="00B96157">
          <w:rPr>
            <w:rFonts w:ascii="Arial" w:hAnsi="Arial"/>
            <w:color w:val="0000FF"/>
            <w:u w:val="single"/>
            <w:rtl/>
          </w:rPr>
          <w:t>ע"פ 2482/22</w:t>
        </w:r>
      </w:hyperlink>
      <w:r w:rsidRPr="000B2168">
        <w:rPr>
          <w:rFonts w:ascii="Arial" w:hAnsi="Arial" w:hint="cs"/>
          <w:rtl/>
        </w:rPr>
        <w:t xml:space="preserve"> </w:t>
      </w:r>
      <w:r w:rsidRPr="000B2168">
        <w:rPr>
          <w:rFonts w:ascii="Arial" w:hAnsi="Arial" w:hint="cs"/>
          <w:b/>
          <w:bCs/>
          <w:rtl/>
        </w:rPr>
        <w:t>מדינת ישראל נ' אחמד קדורה</w:t>
      </w:r>
      <w:r w:rsidRPr="000B2168">
        <w:rPr>
          <w:rFonts w:ascii="Arial" w:hAnsi="Arial" w:hint="cs"/>
          <w:rtl/>
        </w:rPr>
        <w:t xml:space="preserve"> (14.4.22), אליו הפנתה המאשימה,</w:t>
      </w:r>
      <w:r>
        <w:rPr>
          <w:rFonts w:ascii="Arial" w:hAnsi="Arial" w:hint="cs"/>
          <w:rtl/>
        </w:rPr>
        <w:t xml:space="preserve"> </w:t>
      </w:r>
      <w:r w:rsidRPr="000B2168">
        <w:rPr>
          <w:rFonts w:ascii="Arial" w:hAnsi="Arial" w:hint="cs"/>
          <w:rtl/>
        </w:rPr>
        <w:t xml:space="preserve">המשיב הורשע לאחר הודאתו בעבירה של החזקת נשק בצוותא עם אחר, לפי </w:t>
      </w:r>
      <w:hyperlink r:id="rId23" w:history="1">
        <w:r w:rsidR="009F2501" w:rsidRPr="009F2501">
          <w:rPr>
            <w:rFonts w:ascii="Arial" w:hAnsi="Arial"/>
            <w:color w:val="0000FF"/>
            <w:u w:val="single"/>
            <w:rtl/>
          </w:rPr>
          <w:t>סעיף 144(א)</w:t>
        </w:r>
      </w:hyperlink>
      <w:r w:rsidRPr="000B2168">
        <w:rPr>
          <w:rFonts w:ascii="Arial" w:hAnsi="Arial" w:hint="cs"/>
          <w:rtl/>
        </w:rPr>
        <w:t xml:space="preserve"> רישא וסיפא בצירוף סעיף </w:t>
      </w:r>
      <w:hyperlink r:id="rId24" w:history="1">
        <w:r w:rsidR="009F2501" w:rsidRPr="009F2501">
          <w:rPr>
            <w:rFonts w:ascii="Arial" w:hAnsi="Arial"/>
            <w:color w:val="0000FF"/>
            <w:u w:val="single"/>
            <w:rtl/>
          </w:rPr>
          <w:t>29</w:t>
        </w:r>
      </w:hyperlink>
      <w:r w:rsidRPr="000B2168">
        <w:rPr>
          <w:rFonts w:ascii="Arial" w:hAnsi="Arial" w:hint="cs"/>
          <w:rtl/>
        </w:rPr>
        <w:t xml:space="preserve"> ל</w:t>
      </w:r>
      <w:hyperlink r:id="rId25" w:history="1">
        <w:r w:rsidR="00B96157" w:rsidRPr="00B96157">
          <w:rPr>
            <w:rFonts w:ascii="Arial" w:hAnsi="Arial"/>
            <w:color w:val="0000FF"/>
            <w:u w:val="single"/>
            <w:rtl/>
          </w:rPr>
          <w:t>חוק העונשין</w:t>
        </w:r>
      </w:hyperlink>
      <w:r w:rsidRPr="000B2168">
        <w:rPr>
          <w:rFonts w:ascii="Arial" w:hAnsi="Arial" w:hint="cs"/>
          <w:rtl/>
        </w:rPr>
        <w:t xml:space="preserve">. המשיב החזיק באקדח "גלוק", מחסנית עם כדורים ורימון הלם. בית המשפט המחוזי קבע כי </w:t>
      </w:r>
      <w:r w:rsidRPr="000B2168">
        <w:rPr>
          <w:rFonts w:ascii="Arial" w:hAnsi="Arial" w:hint="cs"/>
          <w:b/>
          <w:bCs/>
          <w:rtl/>
        </w:rPr>
        <w:t>מתחם העונש ההולם נע בין 10 ל-36 חודשי מאסר בפועל</w:t>
      </w:r>
      <w:r w:rsidRPr="000B2168">
        <w:rPr>
          <w:rFonts w:ascii="Arial" w:hAnsi="Arial" w:hint="cs"/>
          <w:rtl/>
        </w:rPr>
        <w:t xml:space="preserve"> וגזר את עונשו של המשיב ברף התחתון של המתחם, כך שהושתו עליו 10 חודשי מאסר בפועל וענישה נלווית וזאת בשים לב לתקופה הקצרה שבה הוחזק הנשק. בנוסף, בית המשפט התחשב בכך שההחזקה נפסקה ביוזמת המשיב לאחר ימים ספורים, המשיב שיתף פעולה בחקירתו בעניין האקדח, הגם שהאקדח לא נתפס, המשיב הודה מיידית ללא צורך בשמיעת עדים, ובשים לב לגילו הצעיר (19 שנים) ולעברו הנקי. ערעור על קולת העונש שהגישה המדינה לבית המשפט העליון התקבל והעונש הוחמר ל- 18 חודשי מאסר בפועל. </w:t>
      </w:r>
    </w:p>
    <w:p w14:paraId="494343C1" w14:textId="77777777" w:rsidR="00330262" w:rsidRPr="00D155CB" w:rsidRDefault="00330262" w:rsidP="00330262">
      <w:pPr>
        <w:pStyle w:val="a9"/>
        <w:numPr>
          <w:ilvl w:val="0"/>
          <w:numId w:val="1"/>
        </w:numPr>
        <w:spacing w:before="240" w:after="240" w:line="360" w:lineRule="auto"/>
        <w:ind w:left="425"/>
        <w:jc w:val="both"/>
        <w:rPr>
          <w:rFonts w:ascii="Arial" w:hAnsi="Arial"/>
          <w:b/>
          <w:bCs/>
          <w:rtl/>
        </w:rPr>
      </w:pPr>
      <w:r>
        <w:rPr>
          <w:rFonts w:ascii="Arial" w:hAnsi="Arial" w:hint="cs"/>
          <w:rtl/>
        </w:rPr>
        <w:t>ב</w:t>
      </w:r>
      <w:hyperlink r:id="rId26" w:history="1">
        <w:r w:rsidR="00B96157" w:rsidRPr="00B96157">
          <w:rPr>
            <w:rFonts w:ascii="Arial" w:hAnsi="Arial"/>
            <w:color w:val="0000FF"/>
            <w:u w:val="single"/>
            <w:rtl/>
          </w:rPr>
          <w:t>עפ"ג 12888-03-22</w:t>
        </w:r>
      </w:hyperlink>
      <w:r w:rsidRPr="00D155CB">
        <w:rPr>
          <w:rFonts w:ascii="Arial" w:hAnsi="Arial" w:hint="cs"/>
          <w:rtl/>
        </w:rPr>
        <w:t xml:space="preserve"> </w:t>
      </w:r>
      <w:r w:rsidRPr="00D155CB">
        <w:rPr>
          <w:rFonts w:ascii="Arial" w:hAnsi="Arial" w:hint="cs"/>
          <w:b/>
          <w:bCs/>
          <w:rtl/>
        </w:rPr>
        <w:t>מדינת ישראל נ' אגבריה</w:t>
      </w:r>
      <w:r w:rsidRPr="00D155CB">
        <w:rPr>
          <w:rFonts w:ascii="Arial" w:hAnsi="Arial" w:hint="cs"/>
          <w:rtl/>
        </w:rPr>
        <w:t xml:space="preserve"> (07.11.22), אליו הפנתה המאשימה, המשיב הורשע בהחזקת אקדח טעון במחסנית ובה 6 דורים וכן 85 כדורי תחמושת. בית המשפט השלום קבע כי מתחם העונש ההולם נע בין 9-30 חודשי מאסר בפועל, ומחמת שיקולי שיקום חרג מהמתחם והשית על הנאשם עונש של 7 חודשי מאסר לריצוי בעבודות שירות. בית המשפט המחוזי קיבל תאת ערעור המדינה על קולת העונש וגזר על הנאשם עונש של 12 חודשי מאסר בפועל. </w:t>
      </w:r>
    </w:p>
    <w:p w14:paraId="348B2951" w14:textId="77777777" w:rsidR="00330262" w:rsidRDefault="00330262" w:rsidP="00330262">
      <w:pPr>
        <w:pStyle w:val="a9"/>
        <w:numPr>
          <w:ilvl w:val="0"/>
          <w:numId w:val="1"/>
        </w:numPr>
        <w:spacing w:before="240" w:after="240" w:line="360" w:lineRule="auto"/>
        <w:ind w:left="425"/>
        <w:jc w:val="both"/>
      </w:pPr>
      <w:r w:rsidRPr="00DD684F">
        <w:rPr>
          <w:rFonts w:ascii="Arial" w:hAnsi="Arial" w:hint="cs"/>
          <w:rtl/>
        </w:rPr>
        <w:t>ב</w:t>
      </w:r>
      <w:hyperlink r:id="rId27" w:history="1">
        <w:r w:rsidR="00B96157" w:rsidRPr="00B96157">
          <w:rPr>
            <w:rFonts w:ascii="Arial" w:hAnsi="Arial"/>
            <w:color w:val="0000FF"/>
            <w:u w:val="single"/>
            <w:rtl/>
          </w:rPr>
          <w:t>עפ"ג 4673-08-19</w:t>
        </w:r>
      </w:hyperlink>
      <w:r w:rsidRPr="00DD684F">
        <w:rPr>
          <w:rFonts w:ascii="Arial" w:hAnsi="Arial" w:hint="cs"/>
          <w:rtl/>
        </w:rPr>
        <w:t xml:space="preserve"> </w:t>
      </w:r>
      <w:r w:rsidRPr="00DD684F">
        <w:rPr>
          <w:rFonts w:ascii="Arial" w:hAnsi="Arial" w:hint="cs"/>
          <w:b/>
          <w:bCs/>
          <w:rtl/>
        </w:rPr>
        <w:t>אבו מוסא נ' מדינת ישראל</w:t>
      </w:r>
      <w:r w:rsidRPr="00DD684F">
        <w:rPr>
          <w:rFonts w:ascii="Arial" w:hAnsi="Arial" w:hint="cs"/>
          <w:rtl/>
        </w:rPr>
        <w:t xml:space="preserve"> (2.10.19) הנאשם הורשע לאחר הודאתו, בעבירה של החזקת נשק חם שלא כדין, בניגוד </w:t>
      </w:r>
      <w:hyperlink r:id="rId28" w:history="1">
        <w:r w:rsidR="009F2501" w:rsidRPr="009F2501">
          <w:rPr>
            <w:rFonts w:ascii="Arial" w:hAnsi="Arial"/>
            <w:color w:val="0000FF"/>
            <w:u w:val="single"/>
            <w:rtl/>
          </w:rPr>
          <w:t>לסעיף 144 (א)</w:t>
        </w:r>
      </w:hyperlink>
      <w:r w:rsidRPr="00DD684F">
        <w:rPr>
          <w:rFonts w:ascii="Arial" w:hAnsi="Arial" w:hint="cs"/>
          <w:rtl/>
        </w:rPr>
        <w:t xml:space="preserve"> רישא ל</w:t>
      </w:r>
      <w:hyperlink r:id="rId29" w:history="1">
        <w:r w:rsidR="00B96157" w:rsidRPr="00B96157">
          <w:rPr>
            <w:rFonts w:ascii="Arial" w:hAnsi="Arial"/>
            <w:color w:val="0000FF"/>
            <w:u w:val="single"/>
            <w:rtl/>
          </w:rPr>
          <w:t>חוק העונשין</w:t>
        </w:r>
      </w:hyperlink>
      <w:r w:rsidRPr="00DD684F">
        <w:rPr>
          <w:rFonts w:ascii="Arial" w:hAnsi="Arial" w:hint="cs"/>
          <w:rtl/>
        </w:rPr>
        <w:t xml:space="preserve">. הנאשם נתפס מחזיק נשק חם מסוג תת מקלע מאולתר, בחדרו, מוסלק מתחת למיטה. הנשק הגיע לידי הנאשם כעשרה ימים לפני המועד בו נתפס והחזיק בו בעבור אחר, שזהותו אינה ידועה למאשימה. בית משפט השלום קבע כי </w:t>
      </w:r>
      <w:r w:rsidRPr="00DD684F">
        <w:rPr>
          <w:rFonts w:ascii="Arial" w:hAnsi="Arial" w:hint="cs"/>
          <w:b/>
          <w:bCs/>
          <w:rtl/>
        </w:rPr>
        <w:t>מתחם העונש ההולם בכל הנוגע לאחזקת נשק אוטומטי מסוג רובה סער או תת מקלע נע בין שנה וחצי ועד שלוש שנות מאסר בפועל</w:t>
      </w:r>
      <w:r w:rsidRPr="00DD684F">
        <w:rPr>
          <w:rFonts w:ascii="Arial" w:hAnsi="Arial" w:hint="cs"/>
          <w:rtl/>
        </w:rPr>
        <w:t xml:space="preserve">. על הנאשם ללא עבר פלילי, הושת עונש של 18 חודשי מאסר בפועל וענישה נלווית. בית משפט המחוזי דחה את ערעור הנאשם לעניין העונש, תוך שאישר את מתחם העונש ההולם שקבע בית משפט קמא. </w:t>
      </w:r>
      <w:r w:rsidRPr="000B2168">
        <w:rPr>
          <w:rFonts w:hint="cs"/>
          <w:rtl/>
        </w:rPr>
        <w:t>ב</w:t>
      </w:r>
      <w:hyperlink r:id="rId30" w:history="1">
        <w:r w:rsidR="00B96157" w:rsidRPr="00B96157">
          <w:rPr>
            <w:color w:val="0000FF"/>
            <w:u w:val="single"/>
            <w:rtl/>
          </w:rPr>
          <w:t>ת"פ 52091-02-20</w:t>
        </w:r>
      </w:hyperlink>
      <w:r w:rsidRPr="000B2168">
        <w:rPr>
          <w:rFonts w:hint="cs"/>
          <w:rtl/>
        </w:rPr>
        <w:t xml:space="preserve"> </w:t>
      </w:r>
      <w:r w:rsidRPr="00DD684F">
        <w:rPr>
          <w:rFonts w:hint="eastAsia"/>
          <w:b/>
          <w:bCs/>
          <w:rtl/>
        </w:rPr>
        <w:t>מדינת</w:t>
      </w:r>
      <w:r w:rsidRPr="00DD684F">
        <w:rPr>
          <w:b/>
          <w:bCs/>
          <w:rtl/>
        </w:rPr>
        <w:t xml:space="preserve"> </w:t>
      </w:r>
      <w:r w:rsidRPr="00DD684F">
        <w:rPr>
          <w:rFonts w:hint="eastAsia"/>
          <w:b/>
          <w:bCs/>
          <w:rtl/>
        </w:rPr>
        <w:t>ישראל</w:t>
      </w:r>
      <w:r w:rsidRPr="00DD684F">
        <w:rPr>
          <w:b/>
          <w:bCs/>
          <w:rtl/>
        </w:rPr>
        <w:t xml:space="preserve"> </w:t>
      </w:r>
      <w:r w:rsidRPr="00DD684F">
        <w:rPr>
          <w:rFonts w:hint="eastAsia"/>
          <w:b/>
          <w:bCs/>
          <w:rtl/>
        </w:rPr>
        <w:t>נ</w:t>
      </w:r>
      <w:r w:rsidRPr="00DD684F">
        <w:rPr>
          <w:b/>
          <w:bCs/>
          <w:rtl/>
        </w:rPr>
        <w:t xml:space="preserve">' </w:t>
      </w:r>
      <w:r w:rsidRPr="00DD684F">
        <w:rPr>
          <w:rFonts w:hint="eastAsia"/>
          <w:b/>
          <w:bCs/>
          <w:rtl/>
        </w:rPr>
        <w:t>אל</w:t>
      </w:r>
      <w:r w:rsidRPr="00DD684F">
        <w:rPr>
          <w:b/>
          <w:bCs/>
          <w:rtl/>
        </w:rPr>
        <w:t xml:space="preserve"> </w:t>
      </w:r>
      <w:r w:rsidRPr="00DD684F">
        <w:rPr>
          <w:rFonts w:hint="eastAsia"/>
          <w:b/>
          <w:bCs/>
          <w:rtl/>
        </w:rPr>
        <w:t>אעסם</w:t>
      </w:r>
      <w:r w:rsidRPr="000B2168">
        <w:rPr>
          <w:rFonts w:hint="cs"/>
          <w:rtl/>
        </w:rPr>
        <w:t xml:space="preserve"> (15.3.21) </w:t>
      </w:r>
      <w:r w:rsidRPr="000B2168">
        <w:rPr>
          <w:rtl/>
        </w:rPr>
        <w:t xml:space="preserve">הנאשם </w:t>
      </w:r>
      <w:r w:rsidRPr="000B2168">
        <w:rPr>
          <w:rFonts w:hint="eastAsia"/>
          <w:rtl/>
        </w:rPr>
        <w:t>הורשע</w:t>
      </w:r>
      <w:r w:rsidRPr="000B2168">
        <w:rPr>
          <w:rtl/>
        </w:rPr>
        <w:t xml:space="preserve"> </w:t>
      </w:r>
      <w:r w:rsidRPr="000B2168">
        <w:rPr>
          <w:rFonts w:hint="eastAsia"/>
          <w:rtl/>
        </w:rPr>
        <w:t>בביצוע</w:t>
      </w:r>
      <w:r w:rsidRPr="000B2168">
        <w:rPr>
          <w:rtl/>
        </w:rPr>
        <w:t xml:space="preserve"> עבירת נשק (החזקה), בניגוד </w:t>
      </w:r>
      <w:hyperlink r:id="rId31" w:history="1">
        <w:r w:rsidR="009F2501" w:rsidRPr="009F2501">
          <w:rPr>
            <w:color w:val="0000FF"/>
            <w:u w:val="single"/>
            <w:rtl/>
          </w:rPr>
          <w:t>לסעיף 144 (א)</w:t>
        </w:r>
      </w:hyperlink>
      <w:r w:rsidR="00B96157">
        <w:rPr>
          <w:rtl/>
        </w:rPr>
        <w:t xml:space="preserve"> </w:t>
      </w:r>
      <w:r w:rsidRPr="000B2168">
        <w:rPr>
          <w:rtl/>
        </w:rPr>
        <w:t>רישא וסיפא ל</w:t>
      </w:r>
      <w:hyperlink r:id="rId32" w:history="1">
        <w:r w:rsidR="00B96157" w:rsidRPr="00B96157">
          <w:rPr>
            <w:color w:val="0000FF"/>
            <w:u w:val="single"/>
            <w:rtl/>
          </w:rPr>
          <w:t>חוק העונשין</w:t>
        </w:r>
      </w:hyperlink>
      <w:r w:rsidRPr="000B2168">
        <w:rPr>
          <w:rtl/>
        </w:rPr>
        <w:t xml:space="preserve">. </w:t>
      </w:r>
      <w:r w:rsidRPr="000B2168">
        <w:rPr>
          <w:rFonts w:hint="eastAsia"/>
          <w:rtl/>
        </w:rPr>
        <w:t>הנאשם</w:t>
      </w:r>
      <w:r w:rsidRPr="000B2168">
        <w:rPr>
          <w:rtl/>
        </w:rPr>
        <w:t xml:space="preserve"> קיבל</w:t>
      </w:r>
      <w:r>
        <w:rPr>
          <w:rtl/>
        </w:rPr>
        <w:t xml:space="preserve"> </w:t>
      </w:r>
      <w:r w:rsidRPr="000B2168">
        <w:rPr>
          <w:rtl/>
        </w:rPr>
        <w:t xml:space="preserve">לידיו נשק תת מקלע מאולתר 9 מ"מ ובנוסף, כ-20 קליעי 9 מ"מ. הנאשם החזיק את הנשק והתחמושת בארון במטבח ביתו. במהלך חיפוש בבית הנאשם איתרו השוטרים את הנשק והתחמושת בארון במטבח. </w:t>
      </w:r>
      <w:r w:rsidRPr="00DD684F">
        <w:rPr>
          <w:rFonts w:hint="eastAsia"/>
          <w:b/>
          <w:bCs/>
          <w:rtl/>
        </w:rPr>
        <w:t>נקבע</w:t>
      </w:r>
      <w:r w:rsidRPr="00DD684F">
        <w:rPr>
          <w:b/>
          <w:bCs/>
          <w:rtl/>
        </w:rPr>
        <w:t xml:space="preserve"> </w:t>
      </w:r>
      <w:r w:rsidRPr="00DD684F">
        <w:rPr>
          <w:rFonts w:hint="eastAsia"/>
          <w:b/>
          <w:bCs/>
          <w:rtl/>
        </w:rPr>
        <w:t>כי</w:t>
      </w:r>
      <w:r w:rsidRPr="00DD684F">
        <w:rPr>
          <w:b/>
          <w:bCs/>
          <w:rtl/>
        </w:rPr>
        <w:t xml:space="preserve"> </w:t>
      </w:r>
      <w:r w:rsidRPr="00DD684F">
        <w:rPr>
          <w:rFonts w:hint="eastAsia"/>
          <w:b/>
          <w:bCs/>
          <w:rtl/>
        </w:rPr>
        <w:t>מתחם</w:t>
      </w:r>
      <w:r w:rsidRPr="00DD684F">
        <w:rPr>
          <w:b/>
          <w:bCs/>
          <w:rtl/>
        </w:rPr>
        <w:t xml:space="preserve"> </w:t>
      </w:r>
      <w:r w:rsidRPr="00DD684F">
        <w:rPr>
          <w:rFonts w:hint="eastAsia"/>
          <w:b/>
          <w:bCs/>
          <w:rtl/>
        </w:rPr>
        <w:t>העונש</w:t>
      </w:r>
      <w:r w:rsidRPr="00DD684F">
        <w:rPr>
          <w:b/>
          <w:bCs/>
          <w:rtl/>
        </w:rPr>
        <w:t xml:space="preserve"> </w:t>
      </w:r>
      <w:r w:rsidRPr="00DD684F">
        <w:rPr>
          <w:rFonts w:hint="eastAsia"/>
          <w:b/>
          <w:bCs/>
          <w:rtl/>
        </w:rPr>
        <w:t>ההולם</w:t>
      </w:r>
      <w:r w:rsidRPr="00DD684F">
        <w:rPr>
          <w:b/>
          <w:bCs/>
          <w:rtl/>
        </w:rPr>
        <w:t xml:space="preserve"> </w:t>
      </w:r>
      <w:r w:rsidRPr="00DD684F">
        <w:rPr>
          <w:rFonts w:hint="eastAsia"/>
          <w:b/>
          <w:bCs/>
          <w:rtl/>
        </w:rPr>
        <w:t>נע</w:t>
      </w:r>
      <w:r w:rsidRPr="00DD684F">
        <w:rPr>
          <w:b/>
          <w:bCs/>
          <w:rtl/>
        </w:rPr>
        <w:t xml:space="preserve"> בין 18 </w:t>
      </w:r>
      <w:r w:rsidRPr="00DD684F">
        <w:rPr>
          <w:rFonts w:hint="eastAsia"/>
          <w:b/>
          <w:bCs/>
          <w:rtl/>
        </w:rPr>
        <w:t>ל</w:t>
      </w:r>
      <w:r w:rsidRPr="00DD684F">
        <w:rPr>
          <w:b/>
          <w:bCs/>
          <w:rtl/>
        </w:rPr>
        <w:t>- 36 חדשים</w:t>
      </w:r>
      <w:r w:rsidRPr="000B2168">
        <w:t>.</w:t>
      </w:r>
      <w:r w:rsidRPr="000B2168">
        <w:rPr>
          <w:rtl/>
        </w:rPr>
        <w:t xml:space="preserve"> על הנאשם הוטלו 18 חודשי מאסר בפועל וענישה נלווית.</w:t>
      </w:r>
      <w:r w:rsidRPr="00DD684F">
        <w:rPr>
          <w:rFonts w:cs="Times New Roman" w:hint="cs"/>
          <w:color w:val="000000"/>
          <w:sz w:val="27"/>
          <w:szCs w:val="27"/>
          <w:rtl/>
        </w:rPr>
        <w:t xml:space="preserve"> </w:t>
      </w:r>
      <w:r w:rsidRPr="000B2168">
        <w:rPr>
          <w:rtl/>
        </w:rPr>
        <w:t>(</w:t>
      </w:r>
      <w:r w:rsidRPr="000B2168">
        <w:rPr>
          <w:rFonts w:hint="eastAsia"/>
          <w:rtl/>
        </w:rPr>
        <w:t>ה</w:t>
      </w:r>
      <w:r w:rsidRPr="000B2168">
        <w:rPr>
          <w:rFonts w:hint="cs"/>
          <w:rtl/>
        </w:rPr>
        <w:t>ו</w:t>
      </w:r>
      <w:r w:rsidRPr="000B2168">
        <w:rPr>
          <w:rFonts w:hint="eastAsia"/>
          <w:rtl/>
        </w:rPr>
        <w:t>גש</w:t>
      </w:r>
      <w:r w:rsidRPr="000B2168">
        <w:rPr>
          <w:rtl/>
        </w:rPr>
        <w:t xml:space="preserve"> </w:t>
      </w:r>
      <w:r w:rsidRPr="000B2168">
        <w:rPr>
          <w:rFonts w:hint="eastAsia"/>
          <w:rtl/>
        </w:rPr>
        <w:t>ערעור</w:t>
      </w:r>
      <w:r w:rsidRPr="000B2168">
        <w:rPr>
          <w:rtl/>
        </w:rPr>
        <w:t xml:space="preserve"> </w:t>
      </w:r>
      <w:r w:rsidRPr="000B2168">
        <w:rPr>
          <w:rFonts w:hint="eastAsia"/>
          <w:rtl/>
        </w:rPr>
        <w:t>שהתקבל</w:t>
      </w:r>
      <w:r w:rsidRPr="000B2168">
        <w:rPr>
          <w:rtl/>
        </w:rPr>
        <w:t xml:space="preserve"> </w:t>
      </w:r>
      <w:r w:rsidRPr="000B2168">
        <w:rPr>
          <w:rFonts w:hint="eastAsia"/>
          <w:rtl/>
        </w:rPr>
        <w:t>חלקית</w:t>
      </w:r>
      <w:r>
        <w:rPr>
          <w:rtl/>
        </w:rPr>
        <w:t>,</w:t>
      </w:r>
      <w:r w:rsidRPr="000B2168">
        <w:rPr>
          <w:rFonts w:hint="cs"/>
          <w:rtl/>
        </w:rPr>
        <w:t xml:space="preserve"> אך רכיב המאסר בפועל נותר על קנו </w:t>
      </w:r>
      <w:hyperlink r:id="rId33" w:history="1">
        <w:r w:rsidR="00B96157" w:rsidRPr="00B96157">
          <w:rPr>
            <w:color w:val="0000FF"/>
            <w:u w:val="single"/>
            <w:rtl/>
          </w:rPr>
          <w:t>עפ"ג 54406-04-21</w:t>
        </w:r>
      </w:hyperlink>
      <w:r w:rsidRPr="000B2168">
        <w:rPr>
          <w:rtl/>
        </w:rPr>
        <w:t>).</w:t>
      </w:r>
    </w:p>
    <w:p w14:paraId="59BCD8F9" w14:textId="77777777" w:rsidR="00330262" w:rsidRDefault="00330262" w:rsidP="00330262">
      <w:pPr>
        <w:pStyle w:val="a9"/>
        <w:numPr>
          <w:ilvl w:val="0"/>
          <w:numId w:val="1"/>
        </w:numPr>
        <w:spacing w:before="240" w:after="240" w:line="360" w:lineRule="auto"/>
        <w:ind w:left="425"/>
        <w:jc w:val="both"/>
      </w:pPr>
      <w:r>
        <w:rPr>
          <w:rFonts w:hint="cs"/>
          <w:rtl/>
        </w:rPr>
        <w:t xml:space="preserve">בעפ"ג 7585-09-23 </w:t>
      </w:r>
      <w:r w:rsidRPr="00DD684F">
        <w:rPr>
          <w:rFonts w:hint="cs"/>
          <w:b/>
          <w:bCs/>
          <w:rtl/>
        </w:rPr>
        <w:t>בריק נ' מדינת ישראל</w:t>
      </w:r>
      <w:r>
        <w:rPr>
          <w:rFonts w:hint="cs"/>
          <w:rtl/>
        </w:rPr>
        <w:t xml:space="preserve"> ( 31.10.23) המערער הורשע בבית משפט השלום בביצוע עבירה של סיוע להחזקת אקדח ו- 400 כדורי תחמושת. כמו כן ביקש המערער לצרף תיק נוסף בו הורשע בביצוע עבירה של תקיפת עובד ציבור ואיומים. בית המשפט השלום קבע כי מתחם העונש ההולם בגין ביצוע עבירה של סיוע להחזקת נשק נע בין 8 ל- 24 חודשי מאסר בפועל ובגין תיק המצורף בין חודשיים ל- 12 חודשי מאסר בפועל והשית על הנאשם עונש כולל של 18 חודשי מאסר בפועל. בית המשפט המחוזי קיבל את ערעורו של המערער על חומר העונש והעמיד את עונשו על 15 חודשי מאסר בפועל. </w:t>
      </w:r>
    </w:p>
    <w:p w14:paraId="3CDCAC69" w14:textId="77777777" w:rsidR="00330262" w:rsidRPr="00F13E0E" w:rsidRDefault="00330262" w:rsidP="00330262">
      <w:pPr>
        <w:pStyle w:val="a9"/>
        <w:numPr>
          <w:ilvl w:val="0"/>
          <w:numId w:val="1"/>
        </w:numPr>
        <w:spacing w:before="240" w:after="240" w:line="360" w:lineRule="auto"/>
        <w:ind w:left="425"/>
        <w:jc w:val="both"/>
        <w:rPr>
          <w:rtl/>
        </w:rPr>
      </w:pPr>
      <w:r w:rsidRPr="00F13E0E">
        <w:rPr>
          <w:rFonts w:ascii="David" w:hAnsi="David"/>
          <w:rtl/>
        </w:rPr>
        <w:t>ב</w:t>
      </w:r>
      <w:hyperlink r:id="rId34" w:history="1">
        <w:r w:rsidR="00B96157" w:rsidRPr="00B96157">
          <w:rPr>
            <w:rFonts w:ascii="David" w:hAnsi="David"/>
            <w:color w:val="0000FF"/>
            <w:u w:val="single"/>
            <w:rtl/>
          </w:rPr>
          <w:t>ע"פ 4332/21</w:t>
        </w:r>
      </w:hyperlink>
      <w:r w:rsidRPr="00F13E0E">
        <w:rPr>
          <w:rFonts w:ascii="David" w:hAnsi="David"/>
          <w:rtl/>
        </w:rPr>
        <w:t xml:space="preserve"> </w:t>
      </w:r>
      <w:r w:rsidRPr="00F13E0E">
        <w:rPr>
          <w:rFonts w:ascii="David" w:hAnsi="David"/>
          <w:b/>
          <w:bCs/>
          <w:rtl/>
        </w:rPr>
        <w:t>עאסלה נ' מדינת ישראל</w:t>
      </w:r>
      <w:r w:rsidRPr="00F13E0E">
        <w:rPr>
          <w:rFonts w:ascii="David" w:hAnsi="David"/>
          <w:rtl/>
        </w:rPr>
        <w:t xml:space="preserve"> (20.2.22), אליו הפנה ב"כ הנאשם, המערער הורשע, לאחר הודאתו, בעבירה של החזקת נשק לפי </w:t>
      </w:r>
      <w:hyperlink r:id="rId35" w:history="1">
        <w:r w:rsidR="009F2501" w:rsidRPr="009F2501">
          <w:rPr>
            <w:rFonts w:ascii="David" w:hAnsi="David"/>
            <w:color w:val="0000FF"/>
            <w:u w:val="single"/>
            <w:rtl/>
          </w:rPr>
          <w:t>סעיף 144(א)</w:t>
        </w:r>
      </w:hyperlink>
      <w:r w:rsidRPr="00F13E0E">
        <w:rPr>
          <w:rFonts w:ascii="David" w:hAnsi="David"/>
          <w:rtl/>
        </w:rPr>
        <w:t xml:space="preserve"> רישא וסיפא ל</w:t>
      </w:r>
      <w:hyperlink r:id="rId36" w:history="1">
        <w:r w:rsidR="00B96157" w:rsidRPr="00B96157">
          <w:rPr>
            <w:rFonts w:ascii="David" w:hAnsi="David"/>
            <w:color w:val="0000FF"/>
            <w:u w:val="single"/>
            <w:rtl/>
          </w:rPr>
          <w:t>חוק העונשין</w:t>
        </w:r>
      </w:hyperlink>
      <w:r w:rsidRPr="00F13E0E">
        <w:rPr>
          <w:rFonts w:ascii="David" w:hAnsi="David"/>
          <w:rtl/>
        </w:rPr>
        <w:t xml:space="preserve">. המערער החזיק תת מקלע מאולתר מסוג קרלו ומחסנית, בלא רשות על פי דין להחזקתם, לאחר שעטף אותם בניילון נצמד ובמגבת, הכניסם לתוך תיק והסליק אותם מתחת לסלעים. המערער החזיק את הנשק והמחסנית במשך 3 חודשים בשדה הממוקם במרחק של מס' קילומטרים מביתו. </w:t>
      </w:r>
      <w:r w:rsidRPr="00F13E0E">
        <w:rPr>
          <w:rFonts w:ascii="David" w:hAnsi="David"/>
          <w:b/>
          <w:bCs/>
          <w:rtl/>
        </w:rPr>
        <w:t>בית המשפט המחוזי קבע כי מתחם העונש ההולם נע בין 22 ובין 48 חודשי מאסר בפועל</w:t>
      </w:r>
      <w:r w:rsidRPr="00F13E0E">
        <w:rPr>
          <w:rFonts w:ascii="David" w:hAnsi="David"/>
          <w:rtl/>
        </w:rPr>
        <w:t xml:space="preserve"> והשית על הנאשם עונש של 15 חודשי מאסר בפועל לאחר שחרג מהמתחם משיקולי שיקום. בית משפט העליון קיבל את ערעור המערער והשית עליו 9 חודשי מאסר לריצוי בעבודות שירות לאור הליך טיפולי משמעותי, אם כי צוין כי ככלל עבירות נשק מצדיקות מאסר של ממש. </w:t>
      </w:r>
    </w:p>
    <w:p w14:paraId="78CF1DD2" w14:textId="77777777" w:rsidR="00330262" w:rsidRPr="00F13E0E" w:rsidRDefault="00330262" w:rsidP="00330262">
      <w:pPr>
        <w:pStyle w:val="a9"/>
        <w:numPr>
          <w:ilvl w:val="0"/>
          <w:numId w:val="1"/>
        </w:numPr>
        <w:spacing w:before="240" w:after="240" w:line="360" w:lineRule="auto"/>
        <w:ind w:left="425"/>
        <w:jc w:val="both"/>
        <w:rPr>
          <w:rtl/>
        </w:rPr>
      </w:pPr>
      <w:r w:rsidRPr="00F13E0E">
        <w:rPr>
          <w:rFonts w:ascii="David" w:hAnsi="David"/>
          <w:rtl/>
        </w:rPr>
        <w:t>ב</w:t>
      </w:r>
      <w:hyperlink r:id="rId37" w:history="1">
        <w:r w:rsidR="00B96157" w:rsidRPr="00B96157">
          <w:rPr>
            <w:rFonts w:ascii="David" w:hAnsi="David"/>
            <w:color w:val="0000FF"/>
            <w:u w:val="single"/>
            <w:rtl/>
          </w:rPr>
          <w:t>עפ"ג 45331-04-23</w:t>
        </w:r>
      </w:hyperlink>
      <w:r w:rsidRPr="00F13E0E">
        <w:rPr>
          <w:rFonts w:ascii="David" w:hAnsi="David"/>
          <w:rtl/>
        </w:rPr>
        <w:t xml:space="preserve"> </w:t>
      </w:r>
      <w:r w:rsidRPr="00F13E0E">
        <w:rPr>
          <w:rFonts w:ascii="David" w:hAnsi="David"/>
          <w:b/>
          <w:bCs/>
          <w:rtl/>
        </w:rPr>
        <w:t>רבקה ביטון נ' מדינת ישראל</w:t>
      </w:r>
      <w:r w:rsidRPr="00F13E0E">
        <w:rPr>
          <w:rFonts w:ascii="David" w:hAnsi="David"/>
          <w:rtl/>
        </w:rPr>
        <w:t xml:space="preserve"> (21.12.23) אליו הפנה ב"כ הנאשם, המערערת החזיקה בביתה, אקדח גז/זיקוקים/הזנקה שהוסב לירי תחמושת בקליבר 9 מ"מ קצר, כשהוא מוסלק בתוך מזוודה שהייתה מונחת על שולחן בחדר המזווה בבית וכשהוא טעון במחסנית עם שבעה כדורים.</w:t>
      </w:r>
      <w:r>
        <w:rPr>
          <w:rFonts w:ascii="David" w:hAnsi="David" w:hint="cs"/>
          <w:rtl/>
        </w:rPr>
        <w:t xml:space="preserve"> בית המשפט </w:t>
      </w:r>
      <w:r w:rsidRPr="00F13E0E">
        <w:rPr>
          <w:rFonts w:ascii="David" w:hAnsi="David"/>
          <w:b/>
          <w:bCs/>
          <w:rtl/>
        </w:rPr>
        <w:t>קבע כי מתחם העונש ההולם נע בין 10 ל-24 חודשי מאסר בפועל, בצירוף ענישה נלווית</w:t>
      </w:r>
      <w:r w:rsidRPr="00F13E0E">
        <w:rPr>
          <w:rFonts w:ascii="David" w:hAnsi="David"/>
          <w:rtl/>
        </w:rPr>
        <w:t xml:space="preserve">. על המערערת נגזרו 10 חודשי מאסר בפועל ומאסר על תנאי. בערעור נקבע כי מתקיימות נסיבות המצדיקות סטייה ממתחם העונש ההולם נוכח נסיבותיה האישיות הקשות והמורכבות של המערערת. לפיכך הוחלט להטיל על המערערת תשעה חודשי מאסר בפועל בלא שתנוכה תקופת מעצרה שירוצו בדרך של עבודות שירות. יתר רכיבי גזר הדין נותרו על כנם. </w:t>
      </w:r>
    </w:p>
    <w:p w14:paraId="3CB7EDC9" w14:textId="77777777" w:rsidR="00330262" w:rsidRPr="00F13E0E" w:rsidRDefault="00330262" w:rsidP="00330262">
      <w:pPr>
        <w:pStyle w:val="a9"/>
        <w:numPr>
          <w:ilvl w:val="0"/>
          <w:numId w:val="1"/>
        </w:numPr>
        <w:spacing w:before="240" w:after="240" w:line="360" w:lineRule="auto"/>
        <w:ind w:left="425"/>
        <w:jc w:val="both"/>
        <w:rPr>
          <w:rtl/>
        </w:rPr>
      </w:pPr>
      <w:r w:rsidRPr="00F13E0E">
        <w:rPr>
          <w:rFonts w:ascii="David" w:hAnsi="David"/>
          <w:rtl/>
        </w:rPr>
        <w:t>ב</w:t>
      </w:r>
      <w:hyperlink r:id="rId38" w:history="1">
        <w:r w:rsidR="00B96157" w:rsidRPr="00B96157">
          <w:rPr>
            <w:rFonts w:ascii="David" w:hAnsi="David"/>
            <w:color w:val="0000FF"/>
            <w:u w:val="single"/>
            <w:rtl/>
          </w:rPr>
          <w:t>עפ"ג 33419-03-24</w:t>
        </w:r>
      </w:hyperlink>
      <w:r w:rsidRPr="00F13E0E">
        <w:rPr>
          <w:rFonts w:ascii="David" w:hAnsi="David"/>
          <w:rtl/>
        </w:rPr>
        <w:t xml:space="preserve"> </w:t>
      </w:r>
      <w:r w:rsidRPr="00F13E0E">
        <w:rPr>
          <w:rFonts w:ascii="David" w:hAnsi="David"/>
          <w:b/>
          <w:bCs/>
          <w:rtl/>
        </w:rPr>
        <w:t>מדינת ישראל נ' גרנאוי</w:t>
      </w:r>
      <w:r w:rsidRPr="00F13E0E">
        <w:rPr>
          <w:rFonts w:ascii="David" w:hAnsi="David"/>
          <w:rtl/>
        </w:rPr>
        <w:t xml:space="preserve"> (3.4.24) הנאשם הורשע בעבירה של החזקת אקדח חצי אוטומטי, קליבר 9 מ"מ פארבלום. </w:t>
      </w:r>
      <w:r w:rsidRPr="00F13E0E">
        <w:rPr>
          <w:rFonts w:ascii="David" w:hAnsi="David"/>
          <w:b/>
          <w:bCs/>
          <w:rtl/>
        </w:rPr>
        <w:t>נקבע כי מתחם העונש ההולם נע בין</w:t>
      </w:r>
      <w:r>
        <w:rPr>
          <w:rFonts w:ascii="David" w:hAnsi="David"/>
          <w:b/>
          <w:bCs/>
          <w:rtl/>
        </w:rPr>
        <w:t xml:space="preserve"> </w:t>
      </w:r>
      <w:r w:rsidRPr="00F13E0E">
        <w:rPr>
          <w:rFonts w:ascii="David" w:hAnsi="David"/>
          <w:b/>
          <w:bCs/>
          <w:rtl/>
        </w:rPr>
        <w:t>12 ל- 36 חודשי מאסר בפועל.</w:t>
      </w:r>
      <w:r w:rsidRPr="00F13E0E">
        <w:rPr>
          <w:rFonts w:ascii="David" w:hAnsi="David"/>
          <w:rtl/>
        </w:rPr>
        <w:t xml:space="preserve"> על הנאשם נגזרו 12 חודשי מאסר בפועל וענישה נלווית. המדינה ערערה על קולת העונש. בערעור נקבע כי מבלי לקבוע מסמרות לגבי מתחם העונש ההולם המתאים למקרה זה, נקבע כי העונש שבית המשפט הטיל, הגם שהוא מקל יחסית לעונשים המקובלים בנסיבות, איננו חורג במידה המצדיקה התערבות ערכאת הערעור</w:t>
      </w:r>
      <w:r w:rsidRPr="00F13E0E">
        <w:rPr>
          <w:rFonts w:ascii="David" w:hAnsi="David"/>
        </w:rPr>
        <w:t>.</w:t>
      </w:r>
    </w:p>
    <w:p w14:paraId="772A1274" w14:textId="77777777" w:rsidR="00330262" w:rsidRPr="00F13E0E" w:rsidRDefault="00330262" w:rsidP="00330262">
      <w:pPr>
        <w:pStyle w:val="a9"/>
        <w:numPr>
          <w:ilvl w:val="0"/>
          <w:numId w:val="1"/>
        </w:numPr>
        <w:spacing w:before="240" w:after="240" w:line="360" w:lineRule="auto"/>
        <w:ind w:left="425"/>
        <w:jc w:val="both"/>
        <w:rPr>
          <w:rtl/>
        </w:rPr>
      </w:pPr>
      <w:r w:rsidRPr="00F13E0E">
        <w:rPr>
          <w:rFonts w:ascii="David" w:hAnsi="David"/>
          <w:rtl/>
        </w:rPr>
        <w:t>ב</w:t>
      </w:r>
      <w:hyperlink r:id="rId39" w:history="1">
        <w:r w:rsidR="00B96157" w:rsidRPr="00B96157">
          <w:rPr>
            <w:rFonts w:ascii="David" w:hAnsi="David"/>
            <w:color w:val="0000FF"/>
            <w:u w:val="single"/>
            <w:rtl/>
          </w:rPr>
          <w:t>ת"פ 3106-09-24</w:t>
        </w:r>
      </w:hyperlink>
      <w:r w:rsidRPr="00F13E0E">
        <w:rPr>
          <w:rFonts w:ascii="David" w:hAnsi="David"/>
          <w:rtl/>
        </w:rPr>
        <w:t xml:space="preserve"> </w:t>
      </w:r>
      <w:r w:rsidRPr="00F13E0E">
        <w:rPr>
          <w:rFonts w:ascii="David" w:hAnsi="David"/>
          <w:b/>
          <w:bCs/>
          <w:rtl/>
        </w:rPr>
        <w:t>מדינת ישראל נ' עמאש</w:t>
      </w:r>
      <w:r w:rsidRPr="00F13E0E">
        <w:rPr>
          <w:rFonts w:ascii="David" w:hAnsi="David"/>
          <w:rtl/>
        </w:rPr>
        <w:t xml:space="preserve"> (23.12.24), אליו הפנה ב"כ הנאשם, הנאשם הורשע בעבירה של</w:t>
      </w:r>
      <w:r w:rsidR="00B96157">
        <w:rPr>
          <w:rFonts w:ascii="David" w:hAnsi="David"/>
          <w:rtl/>
        </w:rPr>
        <w:t xml:space="preserve"> </w:t>
      </w:r>
      <w:r w:rsidRPr="00F13E0E">
        <w:rPr>
          <w:rFonts w:ascii="David" w:hAnsi="David"/>
          <w:rtl/>
        </w:rPr>
        <w:t>סיוע להחזקת נשק בלא רשות על פי דין לפי</w:t>
      </w:r>
      <w:r w:rsidR="00B96157">
        <w:rPr>
          <w:rFonts w:ascii="David" w:hAnsi="David"/>
          <w:rtl/>
        </w:rPr>
        <w:t xml:space="preserve"> </w:t>
      </w:r>
      <w:hyperlink r:id="rId40" w:history="1">
        <w:r w:rsidR="009F2501" w:rsidRPr="009F2501">
          <w:rPr>
            <w:rFonts w:ascii="David" w:hAnsi="David"/>
            <w:color w:val="0000FF"/>
            <w:u w:val="single"/>
            <w:rtl/>
          </w:rPr>
          <w:t>סעיפים 31</w:t>
        </w:r>
      </w:hyperlink>
      <w:r w:rsidR="00B96157">
        <w:rPr>
          <w:rFonts w:ascii="David" w:hAnsi="David"/>
          <w:rtl/>
        </w:rPr>
        <w:t xml:space="preserve"> </w:t>
      </w:r>
      <w:r w:rsidRPr="00F13E0E">
        <w:rPr>
          <w:rFonts w:ascii="David" w:hAnsi="David"/>
          <w:rtl/>
        </w:rPr>
        <w:t>ו-</w:t>
      </w:r>
      <w:r w:rsidR="00B96157">
        <w:rPr>
          <w:rFonts w:ascii="David" w:hAnsi="David"/>
          <w:rtl/>
        </w:rPr>
        <w:t xml:space="preserve"> </w:t>
      </w:r>
      <w:hyperlink r:id="rId41" w:history="1">
        <w:r w:rsidR="009F2501" w:rsidRPr="009F2501">
          <w:rPr>
            <w:rFonts w:ascii="David" w:hAnsi="David"/>
            <w:color w:val="0000FF"/>
            <w:u w:val="single"/>
            <w:rtl/>
          </w:rPr>
          <w:t>144(א)</w:t>
        </w:r>
      </w:hyperlink>
      <w:r w:rsidR="00B96157">
        <w:rPr>
          <w:rFonts w:ascii="David" w:hAnsi="David"/>
          <w:rtl/>
        </w:rPr>
        <w:t xml:space="preserve"> </w:t>
      </w:r>
      <w:r w:rsidRPr="00F13E0E">
        <w:rPr>
          <w:rFonts w:ascii="David" w:hAnsi="David"/>
          <w:rtl/>
        </w:rPr>
        <w:t>רישא ל</w:t>
      </w:r>
      <w:hyperlink r:id="rId42" w:history="1">
        <w:r w:rsidR="00B96157" w:rsidRPr="00B96157">
          <w:rPr>
            <w:rFonts w:ascii="David" w:hAnsi="David"/>
            <w:color w:val="0000FF"/>
            <w:u w:val="single"/>
            <w:rtl/>
          </w:rPr>
          <w:t>חוק העונשין</w:t>
        </w:r>
      </w:hyperlink>
      <w:r w:rsidRPr="00F13E0E">
        <w:rPr>
          <w:rFonts w:ascii="David" w:hAnsi="David"/>
          <w:rtl/>
        </w:rPr>
        <w:t xml:space="preserve"> ובעבירה של</w:t>
      </w:r>
      <w:r w:rsidR="00B96157">
        <w:rPr>
          <w:rFonts w:ascii="David" w:hAnsi="David"/>
          <w:rtl/>
        </w:rPr>
        <w:t xml:space="preserve"> </w:t>
      </w:r>
      <w:r w:rsidRPr="00F13E0E">
        <w:rPr>
          <w:rFonts w:ascii="David" w:hAnsi="David"/>
          <w:rtl/>
        </w:rPr>
        <w:t>סיוע להחזקת אביזר או תחמושת שהם אינם חלק מהנשק לפי</w:t>
      </w:r>
      <w:r w:rsidR="00B96157">
        <w:rPr>
          <w:rFonts w:ascii="David" w:hAnsi="David"/>
          <w:rtl/>
        </w:rPr>
        <w:t xml:space="preserve"> </w:t>
      </w:r>
      <w:hyperlink r:id="rId43" w:history="1">
        <w:r w:rsidR="009F2501" w:rsidRPr="009F2501">
          <w:rPr>
            <w:rFonts w:ascii="David" w:hAnsi="David"/>
            <w:color w:val="0000FF"/>
            <w:u w:val="single"/>
            <w:rtl/>
          </w:rPr>
          <w:t>סעיפים 31</w:t>
        </w:r>
      </w:hyperlink>
      <w:r w:rsidR="00B96157">
        <w:rPr>
          <w:rFonts w:ascii="David" w:hAnsi="David"/>
          <w:rtl/>
        </w:rPr>
        <w:t xml:space="preserve"> </w:t>
      </w:r>
      <w:r w:rsidRPr="00F13E0E">
        <w:rPr>
          <w:rFonts w:ascii="David" w:hAnsi="David"/>
          <w:rtl/>
        </w:rPr>
        <w:t>ו-</w:t>
      </w:r>
      <w:r w:rsidR="00B96157">
        <w:rPr>
          <w:rFonts w:ascii="David" w:hAnsi="David"/>
          <w:rtl/>
        </w:rPr>
        <w:t xml:space="preserve"> </w:t>
      </w:r>
      <w:hyperlink r:id="rId44" w:history="1">
        <w:r w:rsidR="009F2501" w:rsidRPr="009F2501">
          <w:rPr>
            <w:rFonts w:ascii="David" w:hAnsi="David"/>
            <w:color w:val="0000FF"/>
            <w:u w:val="single"/>
            <w:rtl/>
          </w:rPr>
          <w:t>144(א)</w:t>
        </w:r>
      </w:hyperlink>
      <w:r w:rsidR="00B96157">
        <w:rPr>
          <w:rFonts w:ascii="David" w:hAnsi="David"/>
          <w:rtl/>
        </w:rPr>
        <w:t xml:space="preserve"> </w:t>
      </w:r>
      <w:r w:rsidRPr="00F13E0E">
        <w:rPr>
          <w:rFonts w:ascii="David" w:hAnsi="David"/>
          <w:rtl/>
        </w:rPr>
        <w:t>סיפא לחוק העונשין.</w:t>
      </w:r>
      <w:r>
        <w:rPr>
          <w:rFonts w:ascii="David" w:hAnsi="David"/>
          <w:rtl/>
        </w:rPr>
        <w:t xml:space="preserve"> </w:t>
      </w:r>
      <w:r w:rsidRPr="00F13E0E">
        <w:rPr>
          <w:rFonts w:ascii="David" w:hAnsi="David"/>
          <w:rtl/>
        </w:rPr>
        <w:t>בביתו של הנאשם נערך חיפוש כדין במהלכו התגלה כי הנאשם סייע לאדם אחר להחזיק על מדף ברזל שנמצא בכניסה לחדר השינה של הנאשם,</w:t>
      </w:r>
      <w:r w:rsidR="00B96157">
        <w:rPr>
          <w:rFonts w:ascii="David" w:hAnsi="David"/>
          <w:rtl/>
        </w:rPr>
        <w:t xml:space="preserve"> </w:t>
      </w:r>
      <w:r w:rsidRPr="00F13E0E">
        <w:rPr>
          <w:rFonts w:ascii="David" w:hAnsi="David"/>
          <w:rtl/>
        </w:rPr>
        <w:t>באקדח חצי אוטומטי מסוג</w:t>
      </w:r>
      <w:r w:rsidR="00B96157">
        <w:rPr>
          <w:rFonts w:ascii="David" w:hAnsi="David"/>
          <w:rtl/>
        </w:rPr>
        <w:t xml:space="preserve"> </w:t>
      </w:r>
      <w:r w:rsidRPr="00F13E0E">
        <w:rPr>
          <w:rFonts w:ascii="David" w:hAnsi="David"/>
        </w:rPr>
        <w:t>D.G.G</w:t>
      </w:r>
      <w:r w:rsidR="00B96157">
        <w:rPr>
          <w:rFonts w:ascii="David" w:hAnsi="David"/>
          <w:rtl/>
        </w:rPr>
        <w:t xml:space="preserve"> </w:t>
      </w:r>
      <w:r w:rsidRPr="00F13E0E">
        <w:rPr>
          <w:rFonts w:ascii="David" w:hAnsi="David"/>
          <w:rtl/>
        </w:rPr>
        <w:t xml:space="preserve">מודל 19 שבו מחסנית טעונה ב- 10 כדורי תחמושת בקוטר 9 מ"מ. </w:t>
      </w:r>
      <w:r w:rsidRPr="00F13E0E">
        <w:rPr>
          <w:rFonts w:ascii="David" w:hAnsi="David"/>
          <w:b/>
          <w:bCs/>
          <w:rtl/>
        </w:rPr>
        <w:t>נקבע כי מתחם העונש ההולם נע בין 6 חודשי מאסר שניתן לרצות בעבודות שירות ועד 15 חודשי מאסר בפועל, בצירוף ענישה נלווית</w:t>
      </w:r>
      <w:r w:rsidRPr="00F13E0E">
        <w:rPr>
          <w:rFonts w:ascii="David" w:hAnsi="David"/>
        </w:rPr>
        <w:t>.</w:t>
      </w:r>
      <w:r w:rsidRPr="00F13E0E">
        <w:rPr>
          <w:rFonts w:ascii="David" w:hAnsi="David"/>
          <w:rtl/>
        </w:rPr>
        <w:t xml:space="preserve"> על הנאשם נגזרו 7 חודשי מאסר בפועל וענישה נלווית. </w:t>
      </w:r>
    </w:p>
    <w:p w14:paraId="2412F590" w14:textId="77777777" w:rsidR="00330262" w:rsidRPr="00F13E0E" w:rsidRDefault="00330262" w:rsidP="00330262">
      <w:pPr>
        <w:pStyle w:val="a9"/>
        <w:numPr>
          <w:ilvl w:val="0"/>
          <w:numId w:val="1"/>
        </w:numPr>
        <w:spacing w:before="240" w:after="240" w:line="360" w:lineRule="auto"/>
        <w:ind w:left="425"/>
        <w:jc w:val="both"/>
        <w:rPr>
          <w:rtl/>
        </w:rPr>
      </w:pPr>
      <w:r w:rsidRPr="00F13E0E">
        <w:rPr>
          <w:rFonts w:ascii="David" w:hAnsi="David"/>
          <w:rtl/>
        </w:rPr>
        <w:t>ב</w:t>
      </w:r>
      <w:hyperlink r:id="rId45" w:history="1">
        <w:r w:rsidR="00B96157" w:rsidRPr="00B96157">
          <w:rPr>
            <w:rFonts w:ascii="David" w:hAnsi="David"/>
            <w:color w:val="0000FF"/>
            <w:u w:val="single"/>
            <w:rtl/>
          </w:rPr>
          <w:t>ת"פ 17839-04-22</w:t>
        </w:r>
      </w:hyperlink>
      <w:r w:rsidRPr="00F13E0E">
        <w:rPr>
          <w:rFonts w:ascii="David" w:hAnsi="David"/>
          <w:rtl/>
        </w:rPr>
        <w:t xml:space="preserve"> </w:t>
      </w:r>
      <w:r w:rsidRPr="00F13E0E">
        <w:rPr>
          <w:rFonts w:ascii="David" w:hAnsi="David"/>
          <w:b/>
          <w:bCs/>
          <w:rtl/>
        </w:rPr>
        <w:t>מדינת ישראל נ' נאסר</w:t>
      </w:r>
      <w:r w:rsidRPr="00F13E0E">
        <w:rPr>
          <w:rFonts w:ascii="David" w:hAnsi="David"/>
          <w:rtl/>
        </w:rPr>
        <w:t xml:space="preserve"> (8.10.24), אליו הפנה ב"כ הנאשם, הנאשם הורשע בעבירות של</w:t>
      </w:r>
      <w:r w:rsidR="00B96157">
        <w:rPr>
          <w:rFonts w:ascii="David" w:hAnsi="David"/>
          <w:rtl/>
        </w:rPr>
        <w:t xml:space="preserve"> </w:t>
      </w:r>
      <w:r w:rsidRPr="00F13E0E">
        <w:rPr>
          <w:rFonts w:ascii="David" w:hAnsi="David"/>
          <w:rtl/>
        </w:rPr>
        <w:t>החזקת נשק שלא כדין, על פי</w:t>
      </w:r>
      <w:r w:rsidR="00B96157">
        <w:rPr>
          <w:rFonts w:ascii="David" w:hAnsi="David"/>
          <w:rtl/>
        </w:rPr>
        <w:t xml:space="preserve"> </w:t>
      </w:r>
      <w:hyperlink r:id="rId46" w:history="1">
        <w:r w:rsidR="009F2501" w:rsidRPr="009F2501">
          <w:rPr>
            <w:rFonts w:ascii="David" w:hAnsi="David"/>
            <w:color w:val="0000FF"/>
            <w:u w:val="single"/>
            <w:rtl/>
          </w:rPr>
          <w:t>סעיף 144(א)</w:t>
        </w:r>
      </w:hyperlink>
      <w:r w:rsidR="00B96157">
        <w:rPr>
          <w:rFonts w:ascii="David" w:hAnsi="David"/>
          <w:rtl/>
        </w:rPr>
        <w:t xml:space="preserve"> </w:t>
      </w:r>
      <w:r w:rsidRPr="00F13E0E">
        <w:rPr>
          <w:rFonts w:ascii="David" w:hAnsi="David"/>
          <w:rtl/>
        </w:rPr>
        <w:t>רישא ל</w:t>
      </w:r>
      <w:hyperlink r:id="rId47" w:history="1">
        <w:r w:rsidR="00B96157" w:rsidRPr="00B96157">
          <w:rPr>
            <w:rFonts w:ascii="David" w:hAnsi="David"/>
            <w:color w:val="0000FF"/>
            <w:u w:val="single"/>
            <w:rtl/>
          </w:rPr>
          <w:t>חוק העונשין</w:t>
        </w:r>
      </w:hyperlink>
      <w:r w:rsidRPr="00F13E0E">
        <w:rPr>
          <w:rFonts w:ascii="David" w:hAnsi="David"/>
          <w:rtl/>
        </w:rPr>
        <w:t>, ושיבוש מהלכי משפט, על פי</w:t>
      </w:r>
      <w:r w:rsidR="00B96157">
        <w:rPr>
          <w:rFonts w:ascii="David" w:hAnsi="David"/>
          <w:rtl/>
        </w:rPr>
        <w:t xml:space="preserve"> </w:t>
      </w:r>
      <w:hyperlink r:id="rId48" w:history="1">
        <w:r w:rsidR="009F2501" w:rsidRPr="009F2501">
          <w:rPr>
            <w:rFonts w:ascii="David" w:hAnsi="David"/>
            <w:color w:val="0000FF"/>
            <w:u w:val="single"/>
            <w:rtl/>
          </w:rPr>
          <w:t>סעיף 244</w:t>
        </w:r>
      </w:hyperlink>
      <w:r w:rsidR="00B96157">
        <w:rPr>
          <w:rFonts w:ascii="David" w:hAnsi="David"/>
          <w:rtl/>
        </w:rPr>
        <w:t xml:space="preserve"> </w:t>
      </w:r>
      <w:r w:rsidRPr="00F13E0E">
        <w:rPr>
          <w:rFonts w:ascii="David" w:hAnsi="David"/>
          <w:rtl/>
        </w:rPr>
        <w:t>לחוק. הנאשם הגיע אל ביתו של ע'. באותן נסיבות, הוציא ע' אקדח חצי אוטומטי מסוג</w:t>
      </w:r>
      <w:r w:rsidR="00B96157">
        <w:rPr>
          <w:rFonts w:ascii="David" w:hAnsi="David"/>
          <w:rtl/>
        </w:rPr>
        <w:t xml:space="preserve"> </w:t>
      </w:r>
      <w:r w:rsidRPr="00F13E0E">
        <w:rPr>
          <w:rFonts w:ascii="David" w:hAnsi="David"/>
        </w:rPr>
        <w:t>FN</w:t>
      </w:r>
      <w:r>
        <w:rPr>
          <w:rFonts w:ascii="David" w:hAnsi="David"/>
          <w:rtl/>
        </w:rPr>
        <w:t xml:space="preserve"> </w:t>
      </w:r>
      <w:r>
        <w:rPr>
          <w:rFonts w:ascii="David" w:hAnsi="David" w:hint="cs"/>
          <w:rtl/>
        </w:rPr>
        <w:t xml:space="preserve"> </w:t>
      </w:r>
      <w:r w:rsidRPr="00F13E0E">
        <w:rPr>
          <w:rFonts w:ascii="David" w:hAnsi="David" w:hint="eastAsia"/>
          <w:rtl/>
        </w:rPr>
        <w:t>מס</w:t>
      </w:r>
      <w:r w:rsidRPr="00F13E0E">
        <w:rPr>
          <w:rFonts w:ascii="David" w:hAnsi="David"/>
          <w:rtl/>
        </w:rPr>
        <w:t xml:space="preserve">' </w:t>
      </w:r>
      <w:r w:rsidRPr="00F13E0E">
        <w:rPr>
          <w:rFonts w:ascii="David" w:hAnsi="David" w:hint="eastAsia"/>
          <w:rtl/>
        </w:rPr>
        <w:t>ומסר</w:t>
      </w:r>
      <w:r w:rsidRPr="00F13E0E">
        <w:rPr>
          <w:rFonts w:ascii="David" w:hAnsi="David"/>
          <w:rtl/>
        </w:rPr>
        <w:t xml:space="preserve"> </w:t>
      </w:r>
      <w:r w:rsidRPr="00F13E0E">
        <w:rPr>
          <w:rFonts w:ascii="David" w:hAnsi="David" w:hint="eastAsia"/>
          <w:rtl/>
        </w:rPr>
        <w:t>אותו</w:t>
      </w:r>
      <w:r w:rsidRPr="00F13E0E">
        <w:rPr>
          <w:rFonts w:ascii="David" w:hAnsi="David"/>
          <w:rtl/>
        </w:rPr>
        <w:t xml:space="preserve"> </w:t>
      </w:r>
      <w:r w:rsidRPr="00F13E0E">
        <w:rPr>
          <w:rFonts w:ascii="David" w:hAnsi="David" w:hint="eastAsia"/>
          <w:rtl/>
        </w:rPr>
        <w:t>לנאשם</w:t>
      </w:r>
      <w:r w:rsidRPr="00F13E0E">
        <w:rPr>
          <w:rFonts w:ascii="David" w:hAnsi="David"/>
        </w:rPr>
        <w:t>.</w:t>
      </w:r>
      <w:r w:rsidR="00B96157">
        <w:rPr>
          <w:rFonts w:ascii="David" w:hAnsi="David"/>
        </w:rPr>
        <w:t xml:space="preserve"> </w:t>
      </w:r>
      <w:r w:rsidRPr="00F13E0E">
        <w:rPr>
          <w:rFonts w:ascii="David" w:hAnsi="David"/>
          <w:rtl/>
        </w:rPr>
        <w:t>הנאשם החזיק באקדח, צילם אותו, ובהמשך</w:t>
      </w:r>
      <w:r w:rsidRPr="00F13E0E">
        <w:rPr>
          <w:rFonts w:ascii="David" w:hAnsi="David"/>
        </w:rPr>
        <w:t xml:space="preserve"> </w:t>
      </w:r>
      <w:r w:rsidRPr="00F13E0E">
        <w:rPr>
          <w:rFonts w:ascii="David" w:hAnsi="David"/>
          <w:rtl/>
        </w:rPr>
        <w:t>ניגב את טביעות האצבעות מהאקדח</w:t>
      </w:r>
      <w:r w:rsidRPr="00F13E0E">
        <w:rPr>
          <w:rFonts w:ascii="David" w:hAnsi="David"/>
        </w:rPr>
        <w:t xml:space="preserve">. </w:t>
      </w:r>
      <w:r w:rsidRPr="00F13E0E">
        <w:rPr>
          <w:rFonts w:ascii="David" w:hAnsi="David"/>
          <w:rtl/>
        </w:rPr>
        <w:t>במסגרת חיפוש על פי צו, נמצא אחיו של ע', מחזיק באקדח בביתו. נקבע</w:t>
      </w:r>
      <w:r w:rsidRPr="00F13E0E">
        <w:rPr>
          <w:rFonts w:ascii="David" w:hAnsi="David"/>
        </w:rPr>
        <w:t xml:space="preserve"> </w:t>
      </w:r>
      <w:r w:rsidRPr="00F13E0E">
        <w:rPr>
          <w:rFonts w:ascii="David" w:hAnsi="David"/>
          <w:b/>
          <w:bCs/>
          <w:rtl/>
        </w:rPr>
        <w:t>כי</w:t>
      </w:r>
      <w:r w:rsidR="00B96157">
        <w:rPr>
          <w:rFonts w:ascii="David" w:hAnsi="David"/>
          <w:b/>
          <w:bCs/>
        </w:rPr>
        <w:t xml:space="preserve"> </w:t>
      </w:r>
      <w:r w:rsidRPr="00F13E0E">
        <w:rPr>
          <w:rFonts w:ascii="David" w:hAnsi="David"/>
          <w:b/>
          <w:bCs/>
          <w:rtl/>
        </w:rPr>
        <w:t>החזקה לפרק זמן קצר, של נשק לא חוקי</w:t>
      </w:r>
      <w:r w:rsidRPr="00F13E0E">
        <w:rPr>
          <w:rFonts w:ascii="David" w:hAnsi="David"/>
          <w:b/>
          <w:bCs/>
        </w:rPr>
        <w:t xml:space="preserve"> </w:t>
      </w:r>
      <w:r w:rsidRPr="00F13E0E">
        <w:rPr>
          <w:rFonts w:ascii="David" w:hAnsi="David"/>
          <w:b/>
          <w:bCs/>
          <w:rtl/>
        </w:rPr>
        <w:t>מכתיבה</w:t>
      </w:r>
      <w:r w:rsidR="00B96157">
        <w:rPr>
          <w:rFonts w:ascii="David" w:hAnsi="David"/>
          <w:b/>
          <w:bCs/>
        </w:rPr>
        <w:t xml:space="preserve"> </w:t>
      </w:r>
      <w:r w:rsidRPr="00F13E0E">
        <w:rPr>
          <w:rFonts w:ascii="David" w:hAnsi="David"/>
          <w:b/>
          <w:bCs/>
          <w:rtl/>
        </w:rPr>
        <w:t>מתחם עונשי של 7 עד 18 חודשי מאסר בפועל, ולא בעבודות שירות</w:t>
      </w:r>
      <w:r w:rsidRPr="00F13E0E">
        <w:rPr>
          <w:rFonts w:ascii="David" w:hAnsi="David"/>
          <w:b/>
          <w:bCs/>
        </w:rPr>
        <w:t xml:space="preserve">, </w:t>
      </w:r>
      <w:r w:rsidRPr="00F13E0E">
        <w:rPr>
          <w:rFonts w:ascii="David" w:hAnsi="David"/>
          <w:b/>
          <w:bCs/>
          <w:rtl/>
        </w:rPr>
        <w:t>יחד עם ענישה נלווית</w:t>
      </w:r>
      <w:r w:rsidRPr="00F13E0E">
        <w:rPr>
          <w:rFonts w:ascii="David" w:hAnsi="David"/>
        </w:rPr>
        <w:t>.</w:t>
      </w:r>
      <w:r w:rsidRPr="00F13E0E">
        <w:rPr>
          <w:rFonts w:ascii="David" w:hAnsi="David"/>
          <w:rtl/>
        </w:rPr>
        <w:t xml:space="preserve"> על הנאשם נגזרו 8 חודשי מאסר בפועל וענישה נלווית. </w:t>
      </w:r>
    </w:p>
    <w:p w14:paraId="06634DE3" w14:textId="77777777" w:rsidR="00330262" w:rsidRPr="00F13E0E" w:rsidRDefault="00330262" w:rsidP="00330262">
      <w:pPr>
        <w:pStyle w:val="a9"/>
        <w:numPr>
          <w:ilvl w:val="0"/>
          <w:numId w:val="1"/>
        </w:numPr>
        <w:spacing w:before="240" w:after="240" w:line="360" w:lineRule="auto"/>
        <w:ind w:left="425"/>
        <w:jc w:val="both"/>
        <w:rPr>
          <w:rtl/>
        </w:rPr>
      </w:pPr>
      <w:r w:rsidRPr="00F13E0E">
        <w:rPr>
          <w:rFonts w:ascii="David" w:hAnsi="David"/>
          <w:rtl/>
        </w:rPr>
        <w:t>ב</w:t>
      </w:r>
      <w:hyperlink r:id="rId49" w:history="1">
        <w:r w:rsidR="00B96157" w:rsidRPr="00B96157">
          <w:rPr>
            <w:rFonts w:ascii="David" w:hAnsi="David"/>
            <w:color w:val="0000FF"/>
            <w:u w:val="single"/>
            <w:rtl/>
          </w:rPr>
          <w:t>ת"פ 20743-11-22</w:t>
        </w:r>
      </w:hyperlink>
      <w:r w:rsidRPr="00F13E0E">
        <w:rPr>
          <w:rFonts w:ascii="David" w:hAnsi="David"/>
          <w:rtl/>
        </w:rPr>
        <w:t xml:space="preserve"> </w:t>
      </w:r>
      <w:r w:rsidRPr="00F13E0E">
        <w:rPr>
          <w:rFonts w:ascii="David" w:hAnsi="David"/>
          <w:b/>
          <w:bCs/>
          <w:rtl/>
        </w:rPr>
        <w:t>מדינת ישראל נ' ג'בארין</w:t>
      </w:r>
      <w:r w:rsidRPr="00F13E0E">
        <w:rPr>
          <w:rFonts w:ascii="David" w:hAnsi="David"/>
          <w:rtl/>
        </w:rPr>
        <w:t xml:space="preserve"> (3.3.24), אליו הפנה ב"כ הנאשם, הנאשם הורשע בעבירות של החזקת נשק שלא כדין בניגוד</w:t>
      </w:r>
      <w:r w:rsidR="00B96157">
        <w:rPr>
          <w:rFonts w:ascii="David" w:hAnsi="David"/>
          <w:rtl/>
        </w:rPr>
        <w:t xml:space="preserve"> </w:t>
      </w:r>
      <w:hyperlink r:id="rId50" w:history="1">
        <w:r w:rsidR="009F2501" w:rsidRPr="009F2501">
          <w:rPr>
            <w:rFonts w:ascii="David" w:hAnsi="David"/>
            <w:color w:val="0000FF"/>
            <w:u w:val="single"/>
            <w:rtl/>
          </w:rPr>
          <w:t>לסעיף 144(א)</w:t>
        </w:r>
      </w:hyperlink>
      <w:r w:rsidR="00B96157">
        <w:rPr>
          <w:rFonts w:ascii="David" w:hAnsi="David"/>
          <w:rtl/>
        </w:rPr>
        <w:t xml:space="preserve"> </w:t>
      </w:r>
      <w:r w:rsidRPr="00F13E0E">
        <w:rPr>
          <w:rFonts w:ascii="David" w:hAnsi="David"/>
          <w:rtl/>
        </w:rPr>
        <w:t>רישא ל</w:t>
      </w:r>
      <w:hyperlink r:id="rId51" w:history="1">
        <w:r w:rsidR="00B96157" w:rsidRPr="00B96157">
          <w:rPr>
            <w:rFonts w:ascii="David" w:hAnsi="David"/>
            <w:color w:val="0000FF"/>
            <w:u w:val="single"/>
            <w:rtl/>
          </w:rPr>
          <w:t>חוק העונשין</w:t>
        </w:r>
      </w:hyperlink>
      <w:r w:rsidRPr="00F13E0E">
        <w:rPr>
          <w:rFonts w:ascii="David" w:hAnsi="David"/>
          <w:rtl/>
        </w:rPr>
        <w:t xml:space="preserve">, והחזקת חלק של נשק ותחמושת – בניגוד </w:t>
      </w:r>
      <w:hyperlink r:id="rId52" w:history="1">
        <w:r w:rsidR="009F2501" w:rsidRPr="009F2501">
          <w:rPr>
            <w:rFonts w:ascii="David" w:hAnsi="David"/>
            <w:color w:val="0000FF"/>
            <w:u w:val="single"/>
            <w:rtl/>
          </w:rPr>
          <w:t>לסעיף 144(א)</w:t>
        </w:r>
      </w:hyperlink>
      <w:r w:rsidR="00B96157">
        <w:rPr>
          <w:rFonts w:ascii="David" w:hAnsi="David"/>
          <w:rtl/>
        </w:rPr>
        <w:t xml:space="preserve"> </w:t>
      </w:r>
      <w:r w:rsidRPr="00F13E0E">
        <w:rPr>
          <w:rFonts w:ascii="David" w:hAnsi="David"/>
          <w:rtl/>
        </w:rPr>
        <w:t xml:space="preserve">סיפא לחוק העונשין. הנאשם נמצא מחזיק בסל מתחת לשולחן בסלון, בנשק מסוג זיגזאוור, שיש בכוחו לירות כדור ולהמית אדם. הנשק היה טעון במחסנית ובה 14 כדורי תחמושת מסוג 9 מ"מ. </w:t>
      </w:r>
      <w:r w:rsidRPr="00F13E0E">
        <w:rPr>
          <w:rFonts w:ascii="David" w:hAnsi="David"/>
          <w:b/>
          <w:bCs/>
          <w:rtl/>
        </w:rPr>
        <w:t>נקבע כי מתחם העונש ההולם נע בין 6 לבין 18 חודשי מאסר בפועל</w:t>
      </w:r>
      <w:r w:rsidR="00B96157">
        <w:rPr>
          <w:b/>
          <w:bCs/>
          <w:rtl/>
        </w:rPr>
        <w:t xml:space="preserve"> </w:t>
      </w:r>
      <w:r w:rsidRPr="00DA7FD8">
        <w:rPr>
          <w:b/>
          <w:bCs/>
          <w:rtl/>
        </w:rPr>
        <w:t>לצד ענישה צופה פני עתיד וקנס כספי</w:t>
      </w:r>
      <w:r w:rsidRPr="00F13E0E">
        <w:rPr>
          <w:rFonts w:ascii="David" w:hAnsi="David"/>
        </w:rPr>
        <w:t>.</w:t>
      </w:r>
      <w:r w:rsidRPr="00F13E0E">
        <w:rPr>
          <w:rFonts w:ascii="David" w:hAnsi="David"/>
          <w:rtl/>
        </w:rPr>
        <w:t xml:space="preserve"> </w:t>
      </w:r>
      <w:r w:rsidRPr="00F13E0E">
        <w:rPr>
          <w:rFonts w:ascii="David" w:hAnsi="David" w:hint="eastAsia"/>
          <w:rtl/>
        </w:rPr>
        <w:t>במקרה</w:t>
      </w:r>
      <w:r w:rsidRPr="00F13E0E">
        <w:rPr>
          <w:rFonts w:ascii="David" w:hAnsi="David"/>
          <w:rtl/>
        </w:rPr>
        <w:t xml:space="preserve"> </w:t>
      </w:r>
      <w:r w:rsidRPr="00F13E0E">
        <w:rPr>
          <w:rFonts w:ascii="David" w:hAnsi="David" w:hint="eastAsia"/>
          <w:rtl/>
        </w:rPr>
        <w:t>זה</w:t>
      </w:r>
      <w:r w:rsidRPr="00F13E0E">
        <w:rPr>
          <w:rFonts w:ascii="David" w:hAnsi="David"/>
          <w:rtl/>
        </w:rPr>
        <w:t xml:space="preserve"> </w:t>
      </w:r>
      <w:r w:rsidRPr="00F13E0E">
        <w:rPr>
          <w:rFonts w:ascii="David" w:hAnsi="David" w:hint="eastAsia"/>
          <w:rtl/>
        </w:rPr>
        <w:t>נקבע</w:t>
      </w:r>
      <w:r w:rsidRPr="00F13E0E">
        <w:rPr>
          <w:rFonts w:ascii="David" w:hAnsi="David"/>
          <w:rtl/>
        </w:rPr>
        <w:t xml:space="preserve"> </w:t>
      </w:r>
      <w:r w:rsidRPr="00F13E0E">
        <w:rPr>
          <w:rFonts w:ascii="David" w:hAnsi="David" w:hint="eastAsia"/>
          <w:rtl/>
        </w:rPr>
        <w:t>כי</w:t>
      </w:r>
      <w:r w:rsidRPr="00F13E0E">
        <w:rPr>
          <w:rFonts w:ascii="David" w:hAnsi="David"/>
          <w:rtl/>
        </w:rPr>
        <w:t xml:space="preserve"> </w:t>
      </w:r>
      <w:r w:rsidRPr="00F13E0E">
        <w:rPr>
          <w:rFonts w:ascii="David" w:hAnsi="David" w:hint="eastAsia"/>
          <w:rtl/>
        </w:rPr>
        <w:t>לאור</w:t>
      </w:r>
      <w:r w:rsidRPr="00F13E0E">
        <w:rPr>
          <w:rFonts w:ascii="David" w:hAnsi="David"/>
          <w:rtl/>
        </w:rPr>
        <w:t xml:space="preserve"> </w:t>
      </w:r>
      <w:r w:rsidRPr="00F13E0E">
        <w:rPr>
          <w:rFonts w:ascii="David" w:hAnsi="David" w:hint="eastAsia"/>
          <w:rtl/>
        </w:rPr>
        <w:t>הנסיבות</w:t>
      </w:r>
      <w:r w:rsidRPr="00F13E0E">
        <w:rPr>
          <w:rFonts w:ascii="David" w:hAnsi="David"/>
          <w:rtl/>
        </w:rPr>
        <w:t xml:space="preserve"> </w:t>
      </w:r>
      <w:r w:rsidRPr="00F13E0E">
        <w:rPr>
          <w:rFonts w:ascii="David" w:hAnsi="David" w:hint="eastAsia"/>
          <w:rtl/>
        </w:rPr>
        <w:t>החריגות</w:t>
      </w:r>
      <w:r w:rsidRPr="00F13E0E">
        <w:rPr>
          <w:rFonts w:ascii="David" w:hAnsi="David"/>
          <w:rtl/>
        </w:rPr>
        <w:t xml:space="preserve"> </w:t>
      </w:r>
      <w:r w:rsidRPr="00F13E0E">
        <w:rPr>
          <w:rFonts w:ascii="David" w:hAnsi="David" w:hint="eastAsia"/>
          <w:rtl/>
        </w:rPr>
        <w:t>והייחודיות</w:t>
      </w:r>
      <w:r w:rsidRPr="00F13E0E">
        <w:rPr>
          <w:rFonts w:ascii="David" w:hAnsi="David"/>
          <w:rtl/>
        </w:rPr>
        <w:t xml:space="preserve">, </w:t>
      </w:r>
      <w:r w:rsidRPr="00F13E0E">
        <w:rPr>
          <w:rFonts w:ascii="David" w:hAnsi="David" w:hint="eastAsia"/>
          <w:rtl/>
        </w:rPr>
        <w:t>מקרה</w:t>
      </w:r>
      <w:r w:rsidRPr="00F13E0E">
        <w:rPr>
          <w:rFonts w:ascii="David" w:hAnsi="David"/>
          <w:rtl/>
        </w:rPr>
        <w:t xml:space="preserve"> </w:t>
      </w:r>
      <w:r w:rsidRPr="00F13E0E">
        <w:rPr>
          <w:rFonts w:ascii="David" w:hAnsi="David" w:hint="eastAsia"/>
          <w:rtl/>
        </w:rPr>
        <w:t>זה</w:t>
      </w:r>
      <w:r w:rsidRPr="00F13E0E">
        <w:rPr>
          <w:rFonts w:ascii="David" w:hAnsi="David"/>
          <w:rtl/>
        </w:rPr>
        <w:t xml:space="preserve"> </w:t>
      </w:r>
      <w:r w:rsidRPr="00F13E0E">
        <w:rPr>
          <w:rFonts w:ascii="David" w:hAnsi="David" w:hint="eastAsia"/>
          <w:rtl/>
        </w:rPr>
        <w:t>אינו</w:t>
      </w:r>
      <w:r w:rsidRPr="00F13E0E">
        <w:rPr>
          <w:rFonts w:ascii="David" w:hAnsi="David"/>
          <w:rtl/>
        </w:rPr>
        <w:t xml:space="preserve"> </w:t>
      </w:r>
      <w:r w:rsidRPr="00F13E0E">
        <w:rPr>
          <w:rFonts w:ascii="David" w:hAnsi="David" w:hint="eastAsia"/>
          <w:rtl/>
        </w:rPr>
        <w:t>מצדיק</w:t>
      </w:r>
      <w:r w:rsidRPr="00F13E0E">
        <w:rPr>
          <w:rFonts w:ascii="David" w:hAnsi="David"/>
          <w:rtl/>
        </w:rPr>
        <w:t xml:space="preserve"> </w:t>
      </w:r>
      <w:r w:rsidRPr="00F13E0E">
        <w:rPr>
          <w:rFonts w:ascii="David" w:hAnsi="David" w:hint="eastAsia"/>
          <w:rtl/>
        </w:rPr>
        <w:t>הטלת</w:t>
      </w:r>
      <w:r w:rsidRPr="00F13E0E">
        <w:rPr>
          <w:rFonts w:ascii="David" w:hAnsi="David"/>
          <w:rtl/>
        </w:rPr>
        <w:t xml:space="preserve"> </w:t>
      </w:r>
      <w:r w:rsidRPr="00F13E0E">
        <w:rPr>
          <w:rFonts w:ascii="David" w:hAnsi="David" w:hint="eastAsia"/>
          <w:rtl/>
        </w:rPr>
        <w:t>ענישה</w:t>
      </w:r>
      <w:r w:rsidRPr="00F13E0E">
        <w:rPr>
          <w:rFonts w:ascii="David" w:hAnsi="David"/>
          <w:rtl/>
        </w:rPr>
        <w:t xml:space="preserve"> </w:t>
      </w:r>
      <w:r w:rsidRPr="00F13E0E">
        <w:rPr>
          <w:rFonts w:ascii="David" w:hAnsi="David" w:hint="eastAsia"/>
          <w:rtl/>
        </w:rPr>
        <w:t>מאחורי</w:t>
      </w:r>
      <w:r w:rsidRPr="00F13E0E">
        <w:rPr>
          <w:rFonts w:ascii="David" w:hAnsi="David"/>
          <w:rtl/>
        </w:rPr>
        <w:t xml:space="preserve"> </w:t>
      </w:r>
      <w:r w:rsidRPr="00F13E0E">
        <w:rPr>
          <w:rFonts w:ascii="David" w:hAnsi="David" w:hint="eastAsia"/>
          <w:rtl/>
        </w:rPr>
        <w:t>סורג</w:t>
      </w:r>
      <w:r w:rsidRPr="00F13E0E">
        <w:rPr>
          <w:rFonts w:ascii="David" w:hAnsi="David"/>
          <w:rtl/>
        </w:rPr>
        <w:t xml:space="preserve"> </w:t>
      </w:r>
      <w:r w:rsidRPr="00F13E0E">
        <w:rPr>
          <w:rFonts w:ascii="David" w:hAnsi="David" w:hint="eastAsia"/>
          <w:rtl/>
        </w:rPr>
        <w:t>ובריח</w:t>
      </w:r>
      <w:r w:rsidRPr="00F13E0E">
        <w:rPr>
          <w:rFonts w:ascii="David" w:hAnsi="David"/>
          <w:rtl/>
        </w:rPr>
        <w:t xml:space="preserve"> </w:t>
      </w:r>
      <w:r w:rsidRPr="00F13E0E">
        <w:rPr>
          <w:rFonts w:ascii="David" w:hAnsi="David" w:hint="eastAsia"/>
          <w:rtl/>
        </w:rPr>
        <w:t>וניתן</w:t>
      </w:r>
      <w:r w:rsidRPr="00F13E0E">
        <w:rPr>
          <w:rFonts w:ascii="David" w:hAnsi="David"/>
          <w:rtl/>
        </w:rPr>
        <w:t xml:space="preserve"> </w:t>
      </w:r>
      <w:r w:rsidRPr="00F13E0E">
        <w:rPr>
          <w:rFonts w:ascii="David" w:hAnsi="David" w:hint="eastAsia"/>
          <w:rtl/>
        </w:rPr>
        <w:t>להשיג</w:t>
      </w:r>
      <w:r w:rsidRPr="00F13E0E">
        <w:rPr>
          <w:rFonts w:ascii="David" w:hAnsi="David"/>
          <w:rtl/>
        </w:rPr>
        <w:t xml:space="preserve"> </w:t>
      </w:r>
      <w:r w:rsidRPr="00F13E0E">
        <w:rPr>
          <w:rFonts w:ascii="David" w:hAnsi="David" w:hint="eastAsia"/>
          <w:rtl/>
        </w:rPr>
        <w:t>את</w:t>
      </w:r>
      <w:r w:rsidRPr="00F13E0E">
        <w:rPr>
          <w:rFonts w:ascii="David" w:hAnsi="David"/>
          <w:rtl/>
        </w:rPr>
        <w:t xml:space="preserve"> </w:t>
      </w:r>
      <w:r w:rsidRPr="00F13E0E">
        <w:rPr>
          <w:rFonts w:ascii="David" w:hAnsi="David" w:hint="eastAsia"/>
          <w:rtl/>
        </w:rPr>
        <w:t>תכלית</w:t>
      </w:r>
      <w:r w:rsidRPr="00F13E0E">
        <w:rPr>
          <w:rFonts w:ascii="David" w:hAnsi="David"/>
          <w:rtl/>
        </w:rPr>
        <w:t xml:space="preserve"> </w:t>
      </w:r>
      <w:r w:rsidRPr="00F13E0E">
        <w:rPr>
          <w:rFonts w:ascii="David" w:hAnsi="David" w:hint="eastAsia"/>
          <w:rtl/>
        </w:rPr>
        <w:t>הענישה</w:t>
      </w:r>
      <w:r w:rsidRPr="00F13E0E">
        <w:rPr>
          <w:rFonts w:ascii="David" w:hAnsi="David"/>
          <w:rtl/>
        </w:rPr>
        <w:t xml:space="preserve"> </w:t>
      </w:r>
      <w:r w:rsidRPr="00F13E0E">
        <w:rPr>
          <w:rFonts w:ascii="David" w:hAnsi="David" w:hint="eastAsia"/>
          <w:rtl/>
        </w:rPr>
        <w:t>בדרך</w:t>
      </w:r>
      <w:r w:rsidRPr="00F13E0E">
        <w:rPr>
          <w:rFonts w:ascii="David" w:hAnsi="David"/>
          <w:rtl/>
        </w:rPr>
        <w:t xml:space="preserve"> </w:t>
      </w:r>
      <w:r w:rsidRPr="00F13E0E">
        <w:rPr>
          <w:rFonts w:ascii="David" w:hAnsi="David" w:hint="eastAsia"/>
          <w:rtl/>
        </w:rPr>
        <w:t>אחרת</w:t>
      </w:r>
      <w:r w:rsidRPr="00F13E0E">
        <w:rPr>
          <w:rFonts w:ascii="David" w:hAnsi="David"/>
          <w:rtl/>
        </w:rPr>
        <w:t xml:space="preserve">, </w:t>
      </w:r>
      <w:r w:rsidRPr="00F13E0E">
        <w:rPr>
          <w:rFonts w:ascii="David" w:hAnsi="David" w:hint="eastAsia"/>
          <w:rtl/>
        </w:rPr>
        <w:t>במאסר</w:t>
      </w:r>
      <w:r w:rsidRPr="00F13E0E">
        <w:rPr>
          <w:rFonts w:ascii="David" w:hAnsi="David"/>
          <w:rtl/>
        </w:rPr>
        <w:t xml:space="preserve"> </w:t>
      </w:r>
      <w:r w:rsidRPr="00F13E0E">
        <w:rPr>
          <w:rFonts w:ascii="David" w:hAnsi="David" w:hint="eastAsia"/>
          <w:rtl/>
        </w:rPr>
        <w:t>שיינשא</w:t>
      </w:r>
      <w:r w:rsidRPr="00F13E0E">
        <w:rPr>
          <w:rFonts w:ascii="David" w:hAnsi="David"/>
          <w:rtl/>
        </w:rPr>
        <w:t xml:space="preserve"> </w:t>
      </w:r>
      <w:r w:rsidRPr="00F13E0E">
        <w:rPr>
          <w:rFonts w:ascii="David" w:hAnsi="David" w:hint="eastAsia"/>
          <w:rtl/>
        </w:rPr>
        <w:t>בעבודות</w:t>
      </w:r>
      <w:r w:rsidRPr="00F13E0E">
        <w:rPr>
          <w:rFonts w:ascii="David" w:hAnsi="David"/>
          <w:rtl/>
        </w:rPr>
        <w:t xml:space="preserve"> </w:t>
      </w:r>
      <w:r w:rsidRPr="00F13E0E">
        <w:rPr>
          <w:rFonts w:ascii="David" w:hAnsi="David" w:hint="eastAsia"/>
          <w:rtl/>
        </w:rPr>
        <w:t>שירות</w:t>
      </w:r>
      <w:r w:rsidRPr="00F13E0E">
        <w:rPr>
          <w:rFonts w:ascii="David" w:hAnsi="David"/>
        </w:rPr>
        <w:t>.</w:t>
      </w:r>
      <w:r w:rsidRPr="00F13E0E">
        <w:rPr>
          <w:rFonts w:ascii="David" w:hAnsi="David"/>
          <w:rtl/>
        </w:rPr>
        <w:t xml:space="preserve"> על הנאשם נגזרו 6 חודשי מאסר לריצוי בעבודות שירות וענישה נלווית. </w:t>
      </w:r>
    </w:p>
    <w:p w14:paraId="2AAFB643" w14:textId="77777777" w:rsidR="00330262" w:rsidRPr="00F13E0E" w:rsidRDefault="00330262" w:rsidP="00330262">
      <w:pPr>
        <w:pStyle w:val="a9"/>
        <w:numPr>
          <w:ilvl w:val="0"/>
          <w:numId w:val="1"/>
        </w:numPr>
        <w:spacing w:before="240" w:after="240" w:line="360" w:lineRule="auto"/>
        <w:ind w:left="425"/>
        <w:jc w:val="both"/>
        <w:rPr>
          <w:rtl/>
        </w:rPr>
      </w:pPr>
      <w:r w:rsidRPr="00F13E0E">
        <w:rPr>
          <w:rFonts w:ascii="David" w:hAnsi="David"/>
          <w:rtl/>
        </w:rPr>
        <w:t>ב</w:t>
      </w:r>
      <w:hyperlink r:id="rId53" w:history="1">
        <w:r w:rsidR="00B96157" w:rsidRPr="00B96157">
          <w:rPr>
            <w:rFonts w:ascii="David" w:hAnsi="David"/>
            <w:color w:val="0000FF"/>
            <w:u w:val="single"/>
            <w:rtl/>
          </w:rPr>
          <w:t>ת"פ 36731-06-18</w:t>
        </w:r>
      </w:hyperlink>
      <w:r w:rsidRPr="00F13E0E">
        <w:rPr>
          <w:rFonts w:ascii="David" w:hAnsi="David"/>
          <w:rtl/>
        </w:rPr>
        <w:t xml:space="preserve"> </w:t>
      </w:r>
      <w:r w:rsidRPr="00F13E0E">
        <w:rPr>
          <w:rFonts w:ascii="David" w:hAnsi="David"/>
          <w:b/>
          <w:bCs/>
          <w:rtl/>
        </w:rPr>
        <w:t>מדינת ישראל נ' שאהין</w:t>
      </w:r>
      <w:r w:rsidRPr="00F13E0E">
        <w:rPr>
          <w:rFonts w:ascii="David" w:hAnsi="David"/>
          <w:rtl/>
        </w:rPr>
        <w:t xml:space="preserve"> (28.2.19), אליו הפנה ב"כ הנאשם, הורשע הנאשם בעבירות של החזקת נשק ותחמושת לפי </w:t>
      </w:r>
      <w:hyperlink r:id="rId54" w:history="1">
        <w:r w:rsidR="009F2501" w:rsidRPr="009F2501">
          <w:rPr>
            <w:color w:val="0000FF"/>
            <w:u w:val="single"/>
            <w:rtl/>
          </w:rPr>
          <w:t>סעיף 144(א)</w:t>
        </w:r>
      </w:hyperlink>
      <w:r w:rsidRPr="00F13E0E">
        <w:rPr>
          <w:rFonts w:ascii="David" w:hAnsi="David"/>
          <w:rtl/>
        </w:rPr>
        <w:t xml:space="preserve"> רישא וסיפא + </w:t>
      </w:r>
      <w:hyperlink r:id="rId55" w:history="1">
        <w:r w:rsidR="009F2501" w:rsidRPr="009F2501">
          <w:rPr>
            <w:color w:val="0000FF"/>
            <w:u w:val="single"/>
            <w:rtl/>
          </w:rPr>
          <w:t>סעיף 29</w:t>
        </w:r>
      </w:hyperlink>
      <w:r w:rsidRPr="00F13E0E">
        <w:rPr>
          <w:rFonts w:ascii="David" w:hAnsi="David"/>
          <w:rtl/>
        </w:rPr>
        <w:t xml:space="preserve"> ל</w:t>
      </w:r>
      <w:hyperlink r:id="rId56" w:history="1">
        <w:r w:rsidR="00B96157" w:rsidRPr="00B96157">
          <w:rPr>
            <w:rFonts w:ascii="David" w:hAnsi="David"/>
            <w:color w:val="0000FF"/>
            <w:u w:val="single"/>
            <w:rtl/>
          </w:rPr>
          <w:t>חוק העונשין</w:t>
        </w:r>
      </w:hyperlink>
      <w:r w:rsidRPr="00F13E0E">
        <w:rPr>
          <w:rFonts w:ascii="David" w:hAnsi="David"/>
          <w:rtl/>
        </w:rPr>
        <w:t>, וכן בעבירות של קשירת קשר לביצוע עוון ושינוי זהות של רכב או חלק של רכב. הנאשם קשר קשר עם שלושה אחרים לביצוע ירי בנשק מסוג קרלו בו החזיקו בזמנים שונים הנאשם והשלושה. לשם קידומו של הקשר מסרו אחרים לידי הנאשם את הנשק ובו מחסנית וכדורים. בהמשך נסעו למוסך לחלקי חילוף רכבים, פירקו את לוחית הרישוי של הרכב והחליפו אותן בשתי לוחיות זיהוי שונות. לאחר</w:t>
      </w:r>
      <w:r>
        <w:rPr>
          <w:rFonts w:ascii="David" w:hAnsi="David"/>
          <w:rtl/>
        </w:rPr>
        <w:t xml:space="preserve"> </w:t>
      </w:r>
      <w:r w:rsidRPr="00F13E0E">
        <w:rPr>
          <w:rFonts w:ascii="David" w:hAnsi="David"/>
          <w:rtl/>
        </w:rPr>
        <w:t xml:space="preserve">שהאחרים הגיעו סמוך לבית אליו התכוונו לירות דרך הנאשם את הנשק כדי לבצע ירי וכתוצאה מכך נפלט מהנשק צרור כדורים שפגע ברכב בו נסעו. </w:t>
      </w:r>
      <w:r w:rsidRPr="00F13E0E">
        <w:rPr>
          <w:rFonts w:ascii="David" w:hAnsi="David"/>
          <w:b/>
          <w:bCs/>
          <w:rtl/>
        </w:rPr>
        <w:t>בית המשפט המחוזי קבע מתחם ענישה הנע בין 12 ל- 18 חודשי מאסר בפועל</w:t>
      </w:r>
      <w:r w:rsidRPr="00F13E0E">
        <w:rPr>
          <w:rFonts w:ascii="David" w:hAnsi="David"/>
          <w:rtl/>
        </w:rPr>
        <w:t>, והשית על הנאשם- בעל עבר פלילי שאינו מכביד אך כולל הרשעה בעבירת נשק- 12 חודשי מאסר בפועל, צד עונשים נלווים. המערער חזר בו מערעורו וערעורו נדחה (</w:t>
      </w:r>
      <w:hyperlink r:id="rId57" w:history="1">
        <w:r w:rsidR="00B96157" w:rsidRPr="00B96157">
          <w:rPr>
            <w:rFonts w:ascii="David" w:hAnsi="David"/>
            <w:color w:val="0000FF"/>
            <w:u w:val="single"/>
            <w:rtl/>
          </w:rPr>
          <w:t>ע"פ 1659/19</w:t>
        </w:r>
      </w:hyperlink>
      <w:r w:rsidRPr="00F13E0E">
        <w:rPr>
          <w:rFonts w:ascii="David" w:hAnsi="David"/>
          <w:rtl/>
        </w:rPr>
        <w:t>).</w:t>
      </w:r>
    </w:p>
    <w:p w14:paraId="31EFF60B" w14:textId="77777777" w:rsidR="00330262" w:rsidRPr="00DA7FD8" w:rsidRDefault="00330262" w:rsidP="00330262">
      <w:pPr>
        <w:pStyle w:val="a9"/>
        <w:numPr>
          <w:ilvl w:val="0"/>
          <w:numId w:val="1"/>
        </w:numPr>
        <w:spacing w:before="240" w:after="240" w:line="360" w:lineRule="auto"/>
        <w:ind w:left="425"/>
        <w:jc w:val="both"/>
      </w:pPr>
      <w:r w:rsidRPr="00F13E0E">
        <w:rPr>
          <w:rFonts w:ascii="Arial" w:hAnsi="Arial" w:hint="eastAsia"/>
          <w:rtl/>
        </w:rPr>
        <w:t>ב</w:t>
      </w:r>
      <w:hyperlink r:id="rId58" w:history="1">
        <w:r w:rsidR="00B96157" w:rsidRPr="00B96157">
          <w:rPr>
            <w:rFonts w:ascii="Arial" w:hAnsi="Arial"/>
            <w:color w:val="0000FF"/>
            <w:u w:val="single"/>
            <w:rtl/>
          </w:rPr>
          <w:t>ת"פ 1363-04-22</w:t>
        </w:r>
      </w:hyperlink>
      <w:r w:rsidRPr="00F13E0E">
        <w:rPr>
          <w:rFonts w:ascii="Arial" w:hAnsi="Arial"/>
          <w:rtl/>
        </w:rPr>
        <w:t xml:space="preserve"> </w:t>
      </w:r>
      <w:r w:rsidRPr="00F13E0E">
        <w:rPr>
          <w:rFonts w:ascii="Arial" w:hAnsi="Arial" w:hint="eastAsia"/>
          <w:b/>
          <w:bCs/>
          <w:rtl/>
        </w:rPr>
        <w:t>מדינת</w:t>
      </w:r>
      <w:r w:rsidRPr="00F13E0E">
        <w:rPr>
          <w:rFonts w:ascii="Arial" w:hAnsi="Arial"/>
          <w:b/>
          <w:bCs/>
          <w:rtl/>
        </w:rPr>
        <w:t xml:space="preserve"> </w:t>
      </w:r>
      <w:r w:rsidRPr="00F13E0E">
        <w:rPr>
          <w:rFonts w:ascii="Arial" w:hAnsi="Arial" w:hint="eastAsia"/>
          <w:b/>
          <w:bCs/>
          <w:rtl/>
        </w:rPr>
        <w:t>ישראל</w:t>
      </w:r>
      <w:r w:rsidRPr="00F13E0E">
        <w:rPr>
          <w:rFonts w:ascii="Arial" w:hAnsi="Arial"/>
          <w:b/>
          <w:bCs/>
          <w:rtl/>
        </w:rPr>
        <w:t xml:space="preserve"> </w:t>
      </w:r>
      <w:r w:rsidRPr="00F13E0E">
        <w:rPr>
          <w:rFonts w:ascii="Arial" w:hAnsi="Arial" w:hint="eastAsia"/>
          <w:b/>
          <w:bCs/>
          <w:rtl/>
        </w:rPr>
        <w:t>נ</w:t>
      </w:r>
      <w:r w:rsidRPr="00F13E0E">
        <w:rPr>
          <w:rFonts w:ascii="Arial" w:hAnsi="Arial"/>
          <w:b/>
          <w:bCs/>
          <w:rtl/>
        </w:rPr>
        <w:t xml:space="preserve">' </w:t>
      </w:r>
      <w:r w:rsidRPr="00F13E0E">
        <w:rPr>
          <w:rFonts w:ascii="Arial" w:hAnsi="Arial" w:hint="eastAsia"/>
          <w:b/>
          <w:bCs/>
          <w:rtl/>
        </w:rPr>
        <w:t>גרבאן</w:t>
      </w:r>
      <w:r w:rsidRPr="00F13E0E">
        <w:rPr>
          <w:rFonts w:ascii="Arial" w:hAnsi="Arial"/>
          <w:rtl/>
        </w:rPr>
        <w:t xml:space="preserve"> (23.2.23), אליו הפנתה המאשימה. הנאשם הורשע בסיוע לאחר להחזקת תת</w:t>
      </w:r>
      <w:r>
        <w:rPr>
          <w:rFonts w:ascii="Arial" w:hAnsi="Arial"/>
          <w:rtl/>
        </w:rPr>
        <w:t xml:space="preserve"> </w:t>
      </w:r>
      <w:r w:rsidRPr="00F13E0E">
        <w:rPr>
          <w:rFonts w:ascii="Arial" w:hAnsi="Arial"/>
          <w:rtl/>
        </w:rPr>
        <w:t>מאו</w:t>
      </w:r>
      <w:r>
        <w:rPr>
          <w:rFonts w:ascii="Arial" w:hAnsi="Arial" w:hint="eastAsia"/>
          <w:rtl/>
        </w:rPr>
        <w:t>לתר</w:t>
      </w:r>
      <w:r>
        <w:rPr>
          <w:rFonts w:ascii="Arial" w:hAnsi="Arial"/>
          <w:rtl/>
        </w:rPr>
        <w:t xml:space="preserve"> </w:t>
      </w:r>
      <w:r>
        <w:rPr>
          <w:rFonts w:ascii="Arial" w:hAnsi="Arial" w:hint="eastAsia"/>
          <w:rtl/>
        </w:rPr>
        <w:t>מסוג</w:t>
      </w:r>
      <w:r>
        <w:rPr>
          <w:rFonts w:ascii="Arial" w:hAnsi="Arial"/>
          <w:rtl/>
        </w:rPr>
        <w:t xml:space="preserve"> </w:t>
      </w:r>
      <w:r>
        <w:rPr>
          <w:rFonts w:ascii="Arial" w:hAnsi="Arial" w:hint="eastAsia"/>
          <w:rtl/>
        </w:rPr>
        <w:t>קרלו</w:t>
      </w:r>
      <w:r w:rsidRPr="00F13E0E">
        <w:rPr>
          <w:rFonts w:ascii="Arial" w:hAnsi="Arial"/>
          <w:rtl/>
        </w:rPr>
        <w:t xml:space="preserve"> ומחסנית ריקה תואמת. </w:t>
      </w:r>
      <w:r w:rsidRPr="00F13E0E">
        <w:rPr>
          <w:rFonts w:ascii="Arial" w:hAnsi="Arial" w:hint="eastAsia"/>
          <w:b/>
          <w:bCs/>
          <w:rtl/>
        </w:rPr>
        <w:t>בית</w:t>
      </w:r>
      <w:r w:rsidRPr="00F13E0E">
        <w:rPr>
          <w:rFonts w:ascii="Arial" w:hAnsi="Arial"/>
          <w:b/>
          <w:bCs/>
          <w:rtl/>
        </w:rPr>
        <w:t xml:space="preserve"> </w:t>
      </w:r>
      <w:r w:rsidRPr="00F13E0E">
        <w:rPr>
          <w:rFonts w:ascii="Arial" w:hAnsi="Arial" w:hint="eastAsia"/>
          <w:b/>
          <w:bCs/>
          <w:rtl/>
        </w:rPr>
        <w:t>המשפט</w:t>
      </w:r>
      <w:r w:rsidRPr="00F13E0E">
        <w:rPr>
          <w:rFonts w:ascii="Arial" w:hAnsi="Arial"/>
          <w:b/>
          <w:bCs/>
          <w:rtl/>
        </w:rPr>
        <w:t xml:space="preserve"> </w:t>
      </w:r>
      <w:r w:rsidRPr="00F13E0E">
        <w:rPr>
          <w:rFonts w:ascii="Arial" w:hAnsi="Arial" w:hint="eastAsia"/>
          <w:b/>
          <w:bCs/>
          <w:rtl/>
        </w:rPr>
        <w:t>קבע</w:t>
      </w:r>
      <w:r w:rsidRPr="00F13E0E">
        <w:rPr>
          <w:rFonts w:ascii="Arial" w:hAnsi="Arial"/>
          <w:b/>
          <w:bCs/>
          <w:rtl/>
        </w:rPr>
        <w:t xml:space="preserve"> </w:t>
      </w:r>
      <w:r w:rsidRPr="00F13E0E">
        <w:rPr>
          <w:rFonts w:ascii="Arial" w:hAnsi="Arial" w:hint="eastAsia"/>
          <w:b/>
          <w:bCs/>
          <w:rtl/>
        </w:rPr>
        <w:t>כי</w:t>
      </w:r>
      <w:r w:rsidRPr="00F13E0E">
        <w:rPr>
          <w:rFonts w:ascii="Arial" w:hAnsi="Arial"/>
          <w:b/>
          <w:bCs/>
          <w:rtl/>
        </w:rPr>
        <w:t xml:space="preserve"> </w:t>
      </w:r>
      <w:r w:rsidRPr="00F13E0E">
        <w:rPr>
          <w:rFonts w:ascii="Arial" w:hAnsi="Arial" w:hint="eastAsia"/>
          <w:b/>
          <w:bCs/>
          <w:rtl/>
        </w:rPr>
        <w:t>מתחם</w:t>
      </w:r>
      <w:r w:rsidRPr="00F13E0E">
        <w:rPr>
          <w:rFonts w:ascii="Arial" w:hAnsi="Arial"/>
          <w:b/>
          <w:bCs/>
          <w:rtl/>
        </w:rPr>
        <w:t xml:space="preserve"> </w:t>
      </w:r>
      <w:r w:rsidRPr="00F13E0E">
        <w:rPr>
          <w:rFonts w:ascii="Arial" w:hAnsi="Arial" w:hint="eastAsia"/>
          <w:b/>
          <w:bCs/>
          <w:rtl/>
        </w:rPr>
        <w:t>עונש</w:t>
      </w:r>
      <w:r w:rsidRPr="00F13E0E">
        <w:rPr>
          <w:rFonts w:ascii="Arial" w:hAnsi="Arial"/>
          <w:b/>
          <w:bCs/>
          <w:rtl/>
        </w:rPr>
        <w:t xml:space="preserve"> </w:t>
      </w:r>
      <w:r w:rsidRPr="00F13E0E">
        <w:rPr>
          <w:rFonts w:ascii="Arial" w:hAnsi="Arial" w:hint="eastAsia"/>
          <w:b/>
          <w:bCs/>
          <w:rtl/>
        </w:rPr>
        <w:t>הולם</w:t>
      </w:r>
      <w:r w:rsidRPr="00F13E0E">
        <w:rPr>
          <w:rFonts w:ascii="Arial" w:hAnsi="Arial"/>
          <w:b/>
          <w:bCs/>
          <w:rtl/>
        </w:rPr>
        <w:t xml:space="preserve"> </w:t>
      </w:r>
      <w:r w:rsidRPr="00F13E0E">
        <w:rPr>
          <w:rFonts w:ascii="Arial" w:hAnsi="Arial" w:hint="eastAsia"/>
          <w:b/>
          <w:bCs/>
          <w:rtl/>
        </w:rPr>
        <w:t>בגין</w:t>
      </w:r>
      <w:r w:rsidRPr="00F13E0E">
        <w:rPr>
          <w:rFonts w:ascii="Arial" w:hAnsi="Arial"/>
          <w:b/>
          <w:bCs/>
          <w:rtl/>
        </w:rPr>
        <w:t xml:space="preserve"> </w:t>
      </w:r>
      <w:r w:rsidRPr="00F13E0E">
        <w:rPr>
          <w:rFonts w:ascii="Arial" w:hAnsi="Arial" w:hint="eastAsia"/>
          <w:b/>
          <w:bCs/>
          <w:rtl/>
        </w:rPr>
        <w:t>ביצוע</w:t>
      </w:r>
      <w:r w:rsidRPr="00F13E0E">
        <w:rPr>
          <w:rFonts w:ascii="Arial" w:hAnsi="Arial"/>
          <w:b/>
          <w:bCs/>
          <w:rtl/>
        </w:rPr>
        <w:t xml:space="preserve"> </w:t>
      </w:r>
      <w:r w:rsidRPr="00F13E0E">
        <w:rPr>
          <w:rFonts w:ascii="Arial" w:hAnsi="Arial" w:hint="eastAsia"/>
          <w:b/>
          <w:bCs/>
          <w:rtl/>
        </w:rPr>
        <w:t>עבירה</w:t>
      </w:r>
      <w:r w:rsidRPr="00F13E0E">
        <w:rPr>
          <w:rFonts w:ascii="Arial" w:hAnsi="Arial"/>
          <w:b/>
          <w:bCs/>
          <w:rtl/>
        </w:rPr>
        <w:t xml:space="preserve"> </w:t>
      </w:r>
      <w:r w:rsidRPr="00F13E0E">
        <w:rPr>
          <w:rFonts w:ascii="Arial" w:hAnsi="Arial" w:hint="eastAsia"/>
          <w:b/>
          <w:bCs/>
          <w:rtl/>
        </w:rPr>
        <w:t>מושלמת</w:t>
      </w:r>
      <w:r w:rsidRPr="00F13E0E">
        <w:rPr>
          <w:rFonts w:ascii="Arial" w:hAnsi="Arial"/>
          <w:b/>
          <w:bCs/>
          <w:rtl/>
        </w:rPr>
        <w:t xml:space="preserve"> </w:t>
      </w:r>
      <w:r w:rsidRPr="00F13E0E">
        <w:rPr>
          <w:rFonts w:ascii="Arial" w:hAnsi="Arial" w:hint="eastAsia"/>
          <w:b/>
          <w:bCs/>
          <w:rtl/>
        </w:rPr>
        <w:t>של</w:t>
      </w:r>
      <w:r w:rsidRPr="00F13E0E">
        <w:rPr>
          <w:rFonts w:ascii="Arial" w:hAnsi="Arial"/>
          <w:b/>
          <w:bCs/>
          <w:rtl/>
        </w:rPr>
        <w:t xml:space="preserve"> </w:t>
      </w:r>
      <w:r w:rsidRPr="00F13E0E">
        <w:rPr>
          <w:rFonts w:ascii="Arial" w:hAnsi="Arial" w:hint="eastAsia"/>
          <w:b/>
          <w:bCs/>
          <w:rtl/>
        </w:rPr>
        <w:t>החזקת</w:t>
      </w:r>
      <w:r w:rsidRPr="00F13E0E">
        <w:rPr>
          <w:rFonts w:ascii="Arial" w:hAnsi="Arial"/>
          <w:b/>
          <w:bCs/>
          <w:rtl/>
        </w:rPr>
        <w:t xml:space="preserve"> </w:t>
      </w:r>
      <w:r w:rsidRPr="00F13E0E">
        <w:rPr>
          <w:rFonts w:ascii="Arial" w:hAnsi="Arial" w:hint="eastAsia"/>
          <w:b/>
          <w:bCs/>
          <w:rtl/>
        </w:rPr>
        <w:t>נשק</w:t>
      </w:r>
      <w:r w:rsidRPr="00F13E0E">
        <w:rPr>
          <w:rFonts w:ascii="Arial" w:hAnsi="Arial"/>
          <w:b/>
          <w:bCs/>
          <w:rtl/>
        </w:rPr>
        <w:t xml:space="preserve"> </w:t>
      </w:r>
      <w:r w:rsidRPr="00F13E0E">
        <w:rPr>
          <w:rFonts w:ascii="Arial" w:hAnsi="Arial" w:hint="eastAsia"/>
          <w:b/>
          <w:bCs/>
          <w:rtl/>
        </w:rPr>
        <w:t>נע</w:t>
      </w:r>
      <w:r w:rsidRPr="00F13E0E">
        <w:rPr>
          <w:rFonts w:ascii="Arial" w:hAnsi="Arial"/>
          <w:b/>
          <w:bCs/>
          <w:rtl/>
        </w:rPr>
        <w:t xml:space="preserve"> </w:t>
      </w:r>
      <w:r w:rsidRPr="00F13E0E">
        <w:rPr>
          <w:rFonts w:ascii="Arial" w:hAnsi="Arial" w:hint="eastAsia"/>
          <w:b/>
          <w:bCs/>
          <w:rtl/>
        </w:rPr>
        <w:t>בין</w:t>
      </w:r>
      <w:r w:rsidRPr="00F13E0E">
        <w:rPr>
          <w:rFonts w:ascii="Arial" w:hAnsi="Arial"/>
          <w:b/>
          <w:bCs/>
          <w:rtl/>
        </w:rPr>
        <w:t xml:space="preserve"> 12 </w:t>
      </w:r>
      <w:r w:rsidRPr="00F13E0E">
        <w:rPr>
          <w:rFonts w:ascii="Arial" w:hAnsi="Arial" w:hint="eastAsia"/>
          <w:b/>
          <w:bCs/>
          <w:rtl/>
        </w:rPr>
        <w:t>ל</w:t>
      </w:r>
      <w:r w:rsidRPr="00F13E0E">
        <w:rPr>
          <w:rFonts w:ascii="Arial" w:hAnsi="Arial"/>
          <w:b/>
          <w:bCs/>
          <w:rtl/>
        </w:rPr>
        <w:t xml:space="preserve">- 30 </w:t>
      </w:r>
      <w:r w:rsidRPr="00F13E0E">
        <w:rPr>
          <w:rFonts w:ascii="Arial" w:hAnsi="Arial" w:hint="eastAsia"/>
          <w:b/>
          <w:bCs/>
          <w:rtl/>
        </w:rPr>
        <w:t>חודשי</w:t>
      </w:r>
      <w:r w:rsidRPr="00F13E0E">
        <w:rPr>
          <w:rFonts w:ascii="Arial" w:hAnsi="Arial"/>
          <w:b/>
          <w:bCs/>
          <w:rtl/>
        </w:rPr>
        <w:t xml:space="preserve"> </w:t>
      </w:r>
      <w:r w:rsidRPr="00F13E0E">
        <w:rPr>
          <w:rFonts w:ascii="Arial" w:hAnsi="Arial" w:hint="eastAsia"/>
          <w:b/>
          <w:bCs/>
          <w:rtl/>
        </w:rPr>
        <w:t>מאסר</w:t>
      </w:r>
      <w:r w:rsidRPr="00F13E0E">
        <w:rPr>
          <w:rFonts w:ascii="Arial" w:hAnsi="Arial"/>
          <w:b/>
          <w:bCs/>
          <w:rtl/>
        </w:rPr>
        <w:t xml:space="preserve"> </w:t>
      </w:r>
      <w:r w:rsidRPr="00F13E0E">
        <w:rPr>
          <w:rFonts w:ascii="Arial" w:hAnsi="Arial" w:hint="eastAsia"/>
          <w:b/>
          <w:bCs/>
          <w:rtl/>
        </w:rPr>
        <w:t>בפועל</w:t>
      </w:r>
      <w:r w:rsidRPr="00F13E0E">
        <w:rPr>
          <w:rFonts w:ascii="Arial" w:hAnsi="Arial"/>
          <w:rtl/>
        </w:rPr>
        <w:t xml:space="preserve">, </w:t>
      </w:r>
      <w:r w:rsidRPr="00F13E0E">
        <w:rPr>
          <w:rFonts w:ascii="Arial" w:hAnsi="Arial"/>
          <w:b/>
          <w:bCs/>
          <w:rtl/>
        </w:rPr>
        <w:t>אך בשים לב לעובדה כי הנאשם הורשע בסיוע להחזקת נשק המתחם הוא מחצית העונש.</w:t>
      </w:r>
      <w:r w:rsidRPr="00F13E0E">
        <w:rPr>
          <w:rFonts w:ascii="Arial" w:hAnsi="Arial"/>
          <w:rtl/>
        </w:rPr>
        <w:t xml:space="preserve"> על הנאשם, צעיר ללא עבר פלילי הושת עונש של 8 חודשי מאסר בפועל לצד ענישה נלוות. </w:t>
      </w:r>
    </w:p>
    <w:p w14:paraId="5DBEC555" w14:textId="77777777" w:rsidR="00330262" w:rsidRPr="000B2168" w:rsidRDefault="00330262" w:rsidP="00330262">
      <w:pPr>
        <w:pStyle w:val="a9"/>
        <w:spacing w:before="240" w:after="240" w:line="360" w:lineRule="auto"/>
        <w:ind w:left="425"/>
        <w:jc w:val="both"/>
        <w:rPr>
          <w:rtl/>
        </w:rPr>
      </w:pPr>
    </w:p>
    <w:p w14:paraId="7AA536B3" w14:textId="77777777" w:rsidR="00330262" w:rsidRPr="000B2168" w:rsidRDefault="00330262" w:rsidP="00330262">
      <w:pPr>
        <w:spacing w:before="240" w:after="240" w:line="360" w:lineRule="auto"/>
        <w:jc w:val="both"/>
        <w:rPr>
          <w:rFonts w:ascii="Arial" w:hAnsi="Arial"/>
        </w:rPr>
      </w:pPr>
      <w:r w:rsidRPr="000B2168">
        <w:rPr>
          <w:rFonts w:ascii="Arial" w:hAnsi="Arial"/>
          <w:rtl/>
        </w:rPr>
        <w:t xml:space="preserve">לאחר ששקלתי את מכלול השיקולים המעוגנים </w:t>
      </w:r>
      <w:hyperlink r:id="rId59" w:history="1">
        <w:r w:rsidR="009F2501" w:rsidRPr="009F2501">
          <w:rPr>
            <w:rFonts w:ascii="Arial" w:hAnsi="Arial"/>
            <w:color w:val="0000FF"/>
            <w:u w:val="single"/>
            <w:rtl/>
          </w:rPr>
          <w:t>בסעיף 40ג(א)</w:t>
        </w:r>
      </w:hyperlink>
      <w:r w:rsidRPr="000B2168">
        <w:rPr>
          <w:rFonts w:ascii="Arial" w:hAnsi="Arial"/>
          <w:rtl/>
        </w:rPr>
        <w:t xml:space="preserve"> ל</w:t>
      </w:r>
      <w:hyperlink r:id="rId60" w:history="1">
        <w:r w:rsidR="00B96157" w:rsidRPr="00B96157">
          <w:rPr>
            <w:rFonts w:ascii="Arial" w:hAnsi="Arial"/>
            <w:color w:val="0000FF"/>
            <w:u w:val="single"/>
            <w:rtl/>
          </w:rPr>
          <w:t>חוק העונשין</w:t>
        </w:r>
      </w:hyperlink>
      <w:r w:rsidRPr="000B2168">
        <w:rPr>
          <w:rFonts w:ascii="Arial" w:hAnsi="Arial"/>
          <w:rtl/>
        </w:rPr>
        <w:t xml:space="preserve">, </w:t>
      </w:r>
      <w:r>
        <w:rPr>
          <w:rFonts w:ascii="Arial" w:hAnsi="Arial" w:hint="cs"/>
          <w:rtl/>
        </w:rPr>
        <w:t>אני קובעת</w:t>
      </w:r>
      <w:r w:rsidRPr="000B2168">
        <w:rPr>
          <w:rFonts w:ascii="Arial" w:hAnsi="Arial"/>
          <w:rtl/>
        </w:rPr>
        <w:t xml:space="preserve"> כי </w:t>
      </w:r>
      <w:r w:rsidRPr="000B2168">
        <w:rPr>
          <w:rFonts w:ascii="Arial" w:hAnsi="Arial"/>
          <w:b/>
          <w:bCs/>
          <w:rtl/>
        </w:rPr>
        <w:t xml:space="preserve">מתחם העונש ההולם נע בין </w:t>
      </w:r>
      <w:r>
        <w:rPr>
          <w:rFonts w:ascii="Arial" w:hAnsi="Arial" w:hint="cs"/>
          <w:b/>
          <w:bCs/>
          <w:rtl/>
        </w:rPr>
        <w:t>8</w:t>
      </w:r>
      <w:r w:rsidRPr="000B2168">
        <w:rPr>
          <w:rFonts w:ascii="Arial" w:hAnsi="Arial"/>
          <w:b/>
          <w:bCs/>
          <w:rtl/>
        </w:rPr>
        <w:t xml:space="preserve"> </w:t>
      </w:r>
      <w:r>
        <w:rPr>
          <w:rFonts w:ascii="Arial" w:hAnsi="Arial" w:hint="cs"/>
          <w:b/>
          <w:bCs/>
          <w:rtl/>
        </w:rPr>
        <w:t>ל-</w:t>
      </w:r>
      <w:r w:rsidRPr="000B2168">
        <w:rPr>
          <w:rFonts w:ascii="Arial" w:hAnsi="Arial"/>
          <w:b/>
          <w:bCs/>
          <w:rtl/>
        </w:rPr>
        <w:t xml:space="preserve"> </w:t>
      </w:r>
      <w:r>
        <w:rPr>
          <w:rFonts w:ascii="Arial" w:hAnsi="Arial" w:hint="cs"/>
          <w:b/>
          <w:bCs/>
          <w:rtl/>
        </w:rPr>
        <w:t>20</w:t>
      </w:r>
      <w:r w:rsidRPr="000B2168">
        <w:rPr>
          <w:rFonts w:ascii="Arial" w:hAnsi="Arial"/>
          <w:b/>
          <w:bCs/>
          <w:rtl/>
        </w:rPr>
        <w:t xml:space="preserve"> חודשי מאסר בפועל, בצירוף ענישה נלווית</w:t>
      </w:r>
      <w:r w:rsidRPr="000B2168">
        <w:rPr>
          <w:rFonts w:ascii="Arial" w:hAnsi="Arial"/>
          <w:rtl/>
        </w:rPr>
        <w:t xml:space="preserve">. </w:t>
      </w:r>
    </w:p>
    <w:p w14:paraId="2F3075A7" w14:textId="77777777" w:rsidR="00330262" w:rsidRPr="000B2168" w:rsidRDefault="00330262" w:rsidP="00330262">
      <w:pPr>
        <w:spacing w:before="240" w:after="240" w:line="360" w:lineRule="auto"/>
        <w:jc w:val="both"/>
        <w:rPr>
          <w:b/>
          <w:bCs/>
          <w:rtl/>
        </w:rPr>
      </w:pPr>
      <w:r w:rsidRPr="000B2168">
        <w:rPr>
          <w:rFonts w:hint="cs"/>
          <w:b/>
          <w:bCs/>
          <w:rtl/>
        </w:rPr>
        <w:t>חריגה ממתחם העונש ההולם:</w:t>
      </w:r>
    </w:p>
    <w:p w14:paraId="711E4E9F" w14:textId="77777777" w:rsidR="00330262" w:rsidRPr="000B2168" w:rsidRDefault="00330262" w:rsidP="00330262">
      <w:pPr>
        <w:spacing w:before="240" w:after="240" w:line="360" w:lineRule="auto"/>
        <w:jc w:val="both"/>
        <w:rPr>
          <w:rFonts w:ascii="Arial" w:hAnsi="Arial"/>
          <w:b/>
          <w:bCs/>
          <w:sz w:val="26"/>
          <w:szCs w:val="26"/>
        </w:rPr>
      </w:pPr>
      <w:r w:rsidRPr="000B2168">
        <w:rPr>
          <w:rFonts w:ascii="Arial" w:hAnsi="Arial"/>
          <w:rtl/>
        </w:rPr>
        <w:t>בעניינו של הנאשם לא מצאתי נסיבות המצדיקות סטייה ממתחם העונש ההולם לא לחומרא ולא לקולא</w:t>
      </w:r>
      <w:r w:rsidRPr="000B2168">
        <w:rPr>
          <w:rFonts w:ascii="Arial" w:hAnsi="Arial"/>
          <w:sz w:val="26"/>
          <w:szCs w:val="26"/>
          <w:rtl/>
        </w:rPr>
        <w:t>.</w:t>
      </w:r>
    </w:p>
    <w:p w14:paraId="32BB2A7D" w14:textId="77777777" w:rsidR="00330262" w:rsidRPr="000B2168" w:rsidRDefault="00330262" w:rsidP="00330262">
      <w:pPr>
        <w:spacing w:before="240" w:after="240" w:line="360" w:lineRule="auto"/>
        <w:jc w:val="both"/>
        <w:rPr>
          <w:b/>
          <w:bCs/>
        </w:rPr>
      </w:pPr>
      <w:r w:rsidRPr="000B2168">
        <w:rPr>
          <w:b/>
          <w:bCs/>
          <w:rtl/>
        </w:rPr>
        <w:t xml:space="preserve">באשר לעונשו של הנאשם בתוך מתחם העונש ההולם שקבעתי לעיל: </w:t>
      </w:r>
    </w:p>
    <w:p w14:paraId="5159D9A5" w14:textId="77777777" w:rsidR="00330262" w:rsidRDefault="00330262" w:rsidP="00330262">
      <w:pPr>
        <w:spacing w:before="240" w:after="240" w:line="360" w:lineRule="auto"/>
        <w:jc w:val="both"/>
        <w:rPr>
          <w:rFonts w:ascii="Arial" w:hAnsi="Arial"/>
          <w:rtl/>
        </w:rPr>
      </w:pPr>
      <w:r>
        <w:rPr>
          <w:rFonts w:ascii="Arial" w:hAnsi="Arial" w:hint="cs"/>
          <w:rtl/>
        </w:rPr>
        <w:t xml:space="preserve">שקלתי לקולא את העובדה כי הנאשם הודה במסגרת דיון מוקד, מיד לאחר שכתב האישום תוקן ונטל אחריות על מעשיו. בהודאתו חסך הנאשם מזמנו השיפוטי של בית המשפט ומהצורך להעיד עדים רבים. </w:t>
      </w:r>
    </w:p>
    <w:p w14:paraId="7EFF7FC8" w14:textId="77777777" w:rsidR="00330262" w:rsidRDefault="00330262" w:rsidP="00330262">
      <w:pPr>
        <w:spacing w:before="240" w:after="240" w:line="360" w:lineRule="auto"/>
        <w:jc w:val="both"/>
        <w:rPr>
          <w:rFonts w:ascii="Arial" w:hAnsi="Arial"/>
          <w:rtl/>
        </w:rPr>
      </w:pPr>
      <w:r>
        <w:rPr>
          <w:rFonts w:ascii="Arial" w:hAnsi="Arial" w:hint="cs"/>
          <w:rtl/>
        </w:rPr>
        <w:t xml:space="preserve">כך גם התחשבתי בעובדה כי לחובתו של הנאשם, צעיר בן 23, אין עבר פלילי, למעט הרשעה בגין העדר משירות, וזוהי הפעם הראשונה שהוא נתון במעצר מאחורי סורג ובריח תקופה ארוכה. </w:t>
      </w:r>
    </w:p>
    <w:p w14:paraId="2AD60AA0" w14:textId="77777777" w:rsidR="00330262" w:rsidRDefault="00330262" w:rsidP="00330262">
      <w:pPr>
        <w:spacing w:before="240" w:after="240" w:line="360" w:lineRule="auto"/>
        <w:jc w:val="both"/>
        <w:rPr>
          <w:rFonts w:ascii="Arial" w:hAnsi="Arial"/>
          <w:rtl/>
        </w:rPr>
      </w:pPr>
      <w:r>
        <w:rPr>
          <w:rFonts w:ascii="Arial" w:hAnsi="Arial" w:hint="cs"/>
          <w:rtl/>
        </w:rPr>
        <w:t xml:space="preserve">כמו כן, בשים לב להיות עבירות בנשק "מכת מדינה" וההשלכות החמורות של עבירה זו על שלום הציבור, נתתי משקל גם לשיקולי הרתעת היחיד והרבים. </w:t>
      </w:r>
    </w:p>
    <w:p w14:paraId="70627669" w14:textId="77777777" w:rsidR="00330262" w:rsidRDefault="00330262" w:rsidP="00330262">
      <w:pPr>
        <w:spacing w:before="240" w:after="240" w:line="360" w:lineRule="auto"/>
        <w:jc w:val="both"/>
        <w:rPr>
          <w:rFonts w:ascii="Arial" w:hAnsi="Arial"/>
          <w:b/>
          <w:bCs/>
          <w:rtl/>
        </w:rPr>
      </w:pPr>
      <w:r>
        <w:rPr>
          <w:rFonts w:ascii="Arial" w:hAnsi="Arial"/>
          <w:b/>
          <w:bCs/>
          <w:rtl/>
        </w:rPr>
        <w:t xml:space="preserve">לאחר ששקלתי את כלל השיקולים המפורטים לעיל, אני גוזרת על הנאשם </w:t>
      </w:r>
      <w:r>
        <w:rPr>
          <w:rFonts w:ascii="Arial" w:hAnsi="Arial" w:hint="cs"/>
          <w:b/>
          <w:bCs/>
          <w:rtl/>
        </w:rPr>
        <w:t>את העונשים הבאים:</w:t>
      </w:r>
    </w:p>
    <w:p w14:paraId="0C6595A1" w14:textId="77777777" w:rsidR="00330262" w:rsidRDefault="00330262" w:rsidP="00330262">
      <w:pPr>
        <w:pStyle w:val="a9"/>
        <w:numPr>
          <w:ilvl w:val="0"/>
          <w:numId w:val="2"/>
        </w:numPr>
        <w:spacing w:before="240" w:after="240" w:line="360" w:lineRule="auto"/>
        <w:jc w:val="both"/>
        <w:rPr>
          <w:rFonts w:ascii="Arial" w:hAnsi="Arial"/>
          <w:b/>
          <w:bCs/>
          <w:sz w:val="26"/>
          <w:szCs w:val="26"/>
          <w:rtl/>
        </w:rPr>
      </w:pPr>
      <w:r>
        <w:rPr>
          <w:rFonts w:ascii="Arial" w:hAnsi="Arial" w:hint="cs"/>
          <w:rtl/>
        </w:rPr>
        <w:t>9 חודשי מאסר בפועל, מיום מעצרו בתאריך 19.8.24.</w:t>
      </w:r>
    </w:p>
    <w:p w14:paraId="302A0227" w14:textId="77777777" w:rsidR="00330262" w:rsidRDefault="00330262" w:rsidP="00330262">
      <w:pPr>
        <w:pStyle w:val="a9"/>
        <w:numPr>
          <w:ilvl w:val="0"/>
          <w:numId w:val="2"/>
        </w:numPr>
        <w:spacing w:before="240" w:after="240" w:line="360" w:lineRule="auto"/>
        <w:jc w:val="both"/>
        <w:rPr>
          <w:rFonts w:ascii="Arial" w:hAnsi="Arial"/>
          <w:b/>
          <w:bCs/>
          <w:sz w:val="26"/>
          <w:szCs w:val="26"/>
        </w:rPr>
      </w:pPr>
      <w:r>
        <w:rPr>
          <w:rFonts w:ascii="Arial" w:hAnsi="Arial" w:hint="cs"/>
          <w:rtl/>
        </w:rPr>
        <w:t xml:space="preserve">4 חודשי מאסר על תנאי למשך 3 שנים מיום שחרורו של הנאשם, והתנאי הוא כי הנאשם לא יעבור בתקופת התנאי עבירה בנשק או סיוע לעבירה בנשק, ויורשע בגינה. </w:t>
      </w:r>
    </w:p>
    <w:p w14:paraId="56A162A4" w14:textId="77777777" w:rsidR="00330262" w:rsidRPr="00DD684F" w:rsidRDefault="00330262" w:rsidP="00330262">
      <w:pPr>
        <w:pStyle w:val="a9"/>
        <w:numPr>
          <w:ilvl w:val="0"/>
          <w:numId w:val="2"/>
        </w:numPr>
        <w:spacing w:before="240" w:after="240" w:line="360" w:lineRule="auto"/>
        <w:jc w:val="both"/>
        <w:rPr>
          <w:rFonts w:ascii="Arial" w:hAnsi="Arial"/>
          <w:rtl/>
        </w:rPr>
      </w:pPr>
      <w:r w:rsidRPr="00DD684F">
        <w:rPr>
          <w:rFonts w:ascii="Arial" w:hAnsi="Arial" w:hint="cs"/>
          <w:rtl/>
        </w:rPr>
        <w:t xml:space="preserve">קנס בסך 3,000 או 15 יום מאסר תחתיו. הקנס ישולם תוך 90 יום מהיום. </w:t>
      </w:r>
    </w:p>
    <w:p w14:paraId="08520A91" w14:textId="77777777" w:rsidR="00330262" w:rsidRDefault="00330262" w:rsidP="00330262">
      <w:pPr>
        <w:spacing w:line="360" w:lineRule="auto"/>
        <w:ind w:firstLine="720"/>
        <w:jc w:val="both"/>
        <w:rPr>
          <w:b/>
          <w:bCs/>
        </w:rPr>
      </w:pPr>
      <w:r>
        <w:rPr>
          <w:rFonts w:hint="cs"/>
          <w:b/>
          <w:bCs/>
          <w:rtl/>
        </w:rPr>
        <w:t>הקנס ישולם לחשבון המרכז לגביית קנסות, אגרות והוצאות ברשות האכיפה והגבייה.</w:t>
      </w:r>
    </w:p>
    <w:p w14:paraId="4E6C201C" w14:textId="77777777" w:rsidR="00330262" w:rsidRDefault="00330262" w:rsidP="00330262">
      <w:pPr>
        <w:spacing w:line="360" w:lineRule="auto"/>
        <w:ind w:left="720"/>
        <w:jc w:val="both"/>
        <w:rPr>
          <w:b/>
          <w:bCs/>
        </w:rPr>
      </w:pPr>
      <w:r>
        <w:rPr>
          <w:rFonts w:hint="cs"/>
          <w:b/>
          <w:bCs/>
          <w:rtl/>
        </w:rPr>
        <w:t>ניתן לשלם את הקנס באחת הדרכים הבאות:</w:t>
      </w:r>
    </w:p>
    <w:p w14:paraId="2518BE4C" w14:textId="77777777" w:rsidR="00330262" w:rsidRDefault="00330262" w:rsidP="00330262">
      <w:pPr>
        <w:spacing w:line="360" w:lineRule="auto"/>
        <w:ind w:firstLine="720"/>
        <w:jc w:val="both"/>
        <w:rPr>
          <w:b/>
          <w:bCs/>
          <w:rtl/>
        </w:rPr>
      </w:pPr>
      <w:r>
        <w:rPr>
          <w:rFonts w:hint="cs"/>
          <w:b/>
          <w:bCs/>
          <w:rtl/>
        </w:rPr>
        <w:t xml:space="preserve">בכרטיס אשראי – באתר המקוון של רשות האכיפה והגבייה, </w:t>
      </w:r>
      <w:r>
        <w:rPr>
          <w:b/>
          <w:bCs/>
        </w:rPr>
        <w:t>www.eca.gov.il</w:t>
      </w:r>
      <w:r>
        <w:rPr>
          <w:b/>
          <w:bCs/>
          <w:rtl/>
        </w:rPr>
        <w:t xml:space="preserve"> </w:t>
      </w:r>
      <w:r>
        <w:rPr>
          <w:rFonts w:hint="cs"/>
          <w:b/>
          <w:bCs/>
          <w:rtl/>
        </w:rPr>
        <w:t xml:space="preserve"> </w:t>
      </w:r>
    </w:p>
    <w:p w14:paraId="41492135" w14:textId="77777777" w:rsidR="00330262" w:rsidRDefault="00330262" w:rsidP="00330262">
      <w:pPr>
        <w:spacing w:line="360" w:lineRule="auto"/>
        <w:ind w:firstLine="720"/>
        <w:jc w:val="both"/>
        <w:rPr>
          <w:b/>
          <w:bCs/>
        </w:rPr>
      </w:pPr>
      <w:r>
        <w:rPr>
          <w:rFonts w:hint="cs"/>
          <w:b/>
          <w:bCs/>
          <w:rtl/>
        </w:rPr>
        <w:t>במזומן בכל סניף של בנק הדואר – בהצגת תעודת זהות בלבד (אין צורך בשוברי תשלום).</w:t>
      </w:r>
    </w:p>
    <w:p w14:paraId="2D8BBF8D" w14:textId="77777777" w:rsidR="00330262" w:rsidRPr="00613F0D" w:rsidRDefault="00330262" w:rsidP="00330262"/>
    <w:p w14:paraId="65406122" w14:textId="77777777" w:rsidR="00330262" w:rsidRPr="00F13E0E" w:rsidRDefault="00330262" w:rsidP="00330262">
      <w:pPr>
        <w:spacing w:before="240" w:after="240" w:line="360" w:lineRule="auto"/>
        <w:jc w:val="both"/>
        <w:rPr>
          <w:rFonts w:ascii="Arial" w:hAnsi="Arial"/>
          <w:b/>
          <w:bCs/>
          <w:rtl/>
        </w:rPr>
      </w:pPr>
      <w:r w:rsidRPr="00F13E0E">
        <w:rPr>
          <w:rFonts w:ascii="Arial" w:hAnsi="Arial" w:hint="cs"/>
          <w:b/>
          <w:bCs/>
          <w:rtl/>
        </w:rPr>
        <w:t xml:space="preserve">אני מורה על חילוט הנשק, תחמושת ואבזרים לשק שנתפסו במסגרת תיק זה. </w:t>
      </w:r>
    </w:p>
    <w:p w14:paraId="71DB382E" w14:textId="77777777" w:rsidR="00330262" w:rsidRPr="00B96157" w:rsidRDefault="00B96157" w:rsidP="00330262">
      <w:pPr>
        <w:spacing w:before="240" w:after="240" w:line="360" w:lineRule="auto"/>
        <w:jc w:val="both"/>
        <w:rPr>
          <w:rFonts w:ascii="Arial" w:hAnsi="Arial"/>
          <w:b/>
          <w:bCs/>
          <w:color w:val="FFFFFF"/>
          <w:sz w:val="2"/>
          <w:szCs w:val="2"/>
          <w:u w:val="single"/>
          <w:rtl/>
        </w:rPr>
      </w:pPr>
      <w:r w:rsidRPr="00B96157">
        <w:rPr>
          <w:rFonts w:ascii="Arial" w:hAnsi="Arial"/>
          <w:b/>
          <w:bCs/>
          <w:color w:val="FFFFFF"/>
          <w:sz w:val="2"/>
          <w:szCs w:val="2"/>
          <w:u w:val="single"/>
          <w:rtl/>
        </w:rPr>
        <w:t>5129371</w:t>
      </w:r>
    </w:p>
    <w:p w14:paraId="02072CF5" w14:textId="77777777" w:rsidR="00330262" w:rsidRDefault="00B96157" w:rsidP="00330262">
      <w:pPr>
        <w:spacing w:before="240" w:after="240" w:line="360" w:lineRule="auto"/>
        <w:jc w:val="both"/>
        <w:rPr>
          <w:rFonts w:ascii="Arial" w:hAnsi="Arial"/>
          <w:b/>
          <w:bCs/>
          <w:u w:val="single"/>
          <w:rtl/>
        </w:rPr>
      </w:pPr>
      <w:r w:rsidRPr="00B96157">
        <w:rPr>
          <w:rFonts w:ascii="Arial" w:hAnsi="Arial"/>
          <w:b/>
          <w:bCs/>
          <w:color w:val="FFFFFF"/>
          <w:sz w:val="2"/>
          <w:szCs w:val="2"/>
          <w:u w:val="single"/>
          <w:rtl/>
        </w:rPr>
        <w:t>54678313</w:t>
      </w:r>
      <w:r w:rsidR="00330262">
        <w:rPr>
          <w:rFonts w:ascii="Arial" w:hAnsi="Arial"/>
          <w:b/>
          <w:bCs/>
          <w:u w:val="single"/>
          <w:rtl/>
        </w:rPr>
        <w:t xml:space="preserve">זכות ערעור תוך 45 יום מהיום לבית המשפט המחוזי בחיפה. </w:t>
      </w:r>
    </w:p>
    <w:p w14:paraId="68546A60" w14:textId="77777777" w:rsidR="00330262" w:rsidRPr="00786005" w:rsidRDefault="00330262" w:rsidP="00330262">
      <w:pPr>
        <w:spacing w:before="240" w:after="240" w:line="360" w:lineRule="auto"/>
        <w:jc w:val="both"/>
        <w:rPr>
          <w:rFonts w:ascii="Arial" w:hAnsi="Arial"/>
          <w:rtl/>
        </w:rPr>
      </w:pPr>
    </w:p>
    <w:p w14:paraId="0981C7A3" w14:textId="77777777" w:rsidR="00330262" w:rsidRPr="00F13E0E" w:rsidRDefault="00B96157" w:rsidP="00330262">
      <w:pPr>
        <w:spacing w:line="360" w:lineRule="auto"/>
        <w:jc w:val="both"/>
        <w:rPr>
          <w:rFonts w:ascii="Arial" w:hAnsi="Arial"/>
          <w:rtl/>
        </w:rPr>
      </w:pPr>
      <w:bookmarkStart w:id="7" w:name="Nitan"/>
      <w:r>
        <w:rPr>
          <w:rFonts w:ascii="Arial" w:hAnsi="Arial"/>
          <w:rtl/>
        </w:rPr>
        <w:t xml:space="preserve">ניתן היום, כ"ג טבת תשפ"ה, 23 ינואר 2025, במעמד הצדדים. </w:t>
      </w:r>
      <w:bookmarkEnd w:id="7"/>
      <w:r w:rsidR="00330262" w:rsidRPr="00F13E0E">
        <w:rPr>
          <w:rFonts w:ascii="Arial" w:hAnsi="Arial"/>
          <w:rtl/>
        </w:rPr>
        <w:tab/>
      </w:r>
      <w:r w:rsidR="00330262" w:rsidRPr="00F13E0E">
        <w:rPr>
          <w:rFonts w:ascii="Arial" w:hAnsi="Arial"/>
          <w:rtl/>
        </w:rPr>
        <w:tab/>
      </w:r>
      <w:r w:rsidR="00330262" w:rsidRPr="00F13E0E">
        <w:rPr>
          <w:rFonts w:ascii="Arial" w:hAnsi="Arial"/>
          <w:rtl/>
        </w:rPr>
        <w:tab/>
      </w:r>
      <w:r w:rsidR="00330262" w:rsidRPr="00F13E0E">
        <w:rPr>
          <w:rFonts w:ascii="Arial" w:hAnsi="Arial"/>
          <w:rtl/>
        </w:rPr>
        <w:tab/>
      </w:r>
      <w:r w:rsidR="00330262" w:rsidRPr="00F13E0E">
        <w:rPr>
          <w:rFonts w:ascii="Arial" w:hAnsi="Arial"/>
          <w:rtl/>
        </w:rPr>
        <w:tab/>
      </w:r>
      <w:r w:rsidR="00330262" w:rsidRPr="00F13E0E">
        <w:rPr>
          <w:rFonts w:ascii="Arial" w:hAnsi="Arial"/>
          <w:rtl/>
        </w:rPr>
        <w:tab/>
      </w:r>
      <w:r w:rsidR="00330262" w:rsidRPr="00F13E0E">
        <w:rPr>
          <w:rFonts w:ascii="Arial" w:hAnsi="Arial"/>
          <w:rtl/>
        </w:rPr>
        <w:tab/>
      </w:r>
      <w:r w:rsidR="00330262">
        <w:rPr>
          <w:rFonts w:ascii="Arial" w:hAnsi="Arial"/>
          <w:rtl/>
        </w:rPr>
        <w:t xml:space="preserve">  </w:t>
      </w:r>
      <w:r w:rsidR="00330262" w:rsidRPr="00F13E0E">
        <w:rPr>
          <w:rFonts w:ascii="Arial" w:hAnsi="Arial"/>
          <w:rtl/>
        </w:rPr>
        <w:t xml:space="preserve">     </w:t>
      </w:r>
    </w:p>
    <w:p w14:paraId="52D46BC4" w14:textId="77777777" w:rsidR="00330262" w:rsidRPr="00F13E0E" w:rsidRDefault="00330262" w:rsidP="00B96157">
      <w:pPr>
        <w:jc w:val="center"/>
      </w:pPr>
      <w:r>
        <w:rPr>
          <w:rFonts w:ascii="Arial" w:hAnsi="Arial"/>
          <w:rtl/>
        </w:rPr>
        <w:t xml:space="preserve"> </w:t>
      </w:r>
      <w:r w:rsidRPr="00F13E0E">
        <w:rPr>
          <w:rFonts w:ascii="Arial" w:hAnsi="Arial"/>
          <w:rtl/>
        </w:rPr>
        <w:t xml:space="preserve"> </w:t>
      </w:r>
      <w:r w:rsidRPr="00F13E0E">
        <w:rPr>
          <w:rFonts w:ascii="Arial" w:hAnsi="Arial"/>
          <w:rtl/>
        </w:rPr>
        <w:tab/>
      </w:r>
      <w:r w:rsidRPr="00F13E0E">
        <w:rPr>
          <w:rFonts w:ascii="Arial" w:hAnsi="Arial"/>
          <w:rtl/>
        </w:rPr>
        <w:tab/>
      </w:r>
      <w:r w:rsidRPr="00F13E0E">
        <w:rPr>
          <w:rFonts w:ascii="Arial" w:hAnsi="Arial"/>
          <w:rtl/>
        </w:rPr>
        <w:tab/>
      </w:r>
      <w:r w:rsidRPr="00F13E0E">
        <w:rPr>
          <w:rFonts w:ascii="Arial" w:hAnsi="Arial"/>
          <w:rtl/>
        </w:rPr>
        <w:tab/>
      </w:r>
      <w:r w:rsidRPr="00F13E0E">
        <w:rPr>
          <w:rFonts w:ascii="Arial" w:hAnsi="Arial"/>
          <w:rtl/>
        </w:rPr>
        <w:tab/>
      </w:r>
    </w:p>
    <w:p w14:paraId="3A3716D8" w14:textId="77777777" w:rsidR="00330262" w:rsidRPr="009F2501" w:rsidRDefault="009F2501" w:rsidP="00330262">
      <w:pPr>
        <w:jc w:val="center"/>
        <w:rPr>
          <w:rFonts w:ascii="Arial" w:hAnsi="Arial"/>
          <w:color w:val="FFFFFF"/>
          <w:sz w:val="2"/>
          <w:szCs w:val="2"/>
          <w:rtl/>
        </w:rPr>
      </w:pPr>
      <w:r w:rsidRPr="009F2501">
        <w:rPr>
          <w:rFonts w:ascii="Arial" w:hAnsi="Arial"/>
          <w:color w:val="FFFFFF"/>
          <w:sz w:val="2"/>
          <w:szCs w:val="2"/>
          <w:rtl/>
        </w:rPr>
        <w:t>5129371</w:t>
      </w:r>
    </w:p>
    <w:p w14:paraId="6E7431BC" w14:textId="77777777" w:rsidR="00CC6C45" w:rsidRPr="009F2501" w:rsidRDefault="009F2501" w:rsidP="00B96157">
      <w:pPr>
        <w:keepNext/>
        <w:rPr>
          <w:rFonts w:ascii="David" w:hAnsi="David"/>
          <w:color w:val="FFFFFF"/>
          <w:sz w:val="2"/>
          <w:szCs w:val="2"/>
          <w:rtl/>
        </w:rPr>
      </w:pPr>
      <w:r w:rsidRPr="009F2501">
        <w:rPr>
          <w:rFonts w:ascii="David" w:hAnsi="David"/>
          <w:color w:val="FFFFFF"/>
          <w:sz w:val="2"/>
          <w:szCs w:val="2"/>
          <w:rtl/>
        </w:rPr>
        <w:t>54678313</w:t>
      </w:r>
    </w:p>
    <w:p w14:paraId="7AA4EE42" w14:textId="77777777" w:rsidR="00B96157" w:rsidRDefault="00B96157" w:rsidP="00B96157">
      <w:pPr>
        <w:rPr>
          <w:rtl/>
        </w:rPr>
      </w:pPr>
    </w:p>
    <w:p w14:paraId="245548A6" w14:textId="77777777" w:rsidR="00B96157" w:rsidRDefault="00B96157" w:rsidP="00B96157">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76D0C6B8" w14:textId="77777777" w:rsidR="009F2501" w:rsidRPr="009F2501" w:rsidRDefault="009F2501" w:rsidP="009F2501">
      <w:pPr>
        <w:keepNext/>
        <w:rPr>
          <w:rFonts w:ascii="David" w:hAnsi="David"/>
          <w:color w:val="000000"/>
          <w:sz w:val="22"/>
          <w:szCs w:val="22"/>
          <w:rtl/>
        </w:rPr>
      </w:pPr>
    </w:p>
    <w:p w14:paraId="42646672" w14:textId="77777777" w:rsidR="009F2501" w:rsidRPr="009F2501" w:rsidRDefault="009F2501" w:rsidP="009F2501">
      <w:pPr>
        <w:keepNext/>
        <w:rPr>
          <w:rFonts w:ascii="David" w:hAnsi="David"/>
          <w:color w:val="000000"/>
          <w:sz w:val="22"/>
          <w:szCs w:val="22"/>
          <w:rtl/>
        </w:rPr>
      </w:pPr>
      <w:r w:rsidRPr="009F2501">
        <w:rPr>
          <w:rFonts w:ascii="David" w:hAnsi="David"/>
          <w:color w:val="000000"/>
          <w:sz w:val="22"/>
          <w:szCs w:val="22"/>
          <w:rtl/>
        </w:rPr>
        <w:t>מריה פיקוס בוגדאנוב 54678313-/</w:t>
      </w:r>
    </w:p>
    <w:p w14:paraId="20BB08F2" w14:textId="77777777" w:rsidR="00B96157" w:rsidRPr="00B96157" w:rsidRDefault="009F2501" w:rsidP="009F2501">
      <w:pPr>
        <w:rPr>
          <w:color w:val="0000FF"/>
          <w:u w:val="single"/>
        </w:rPr>
      </w:pPr>
      <w:r w:rsidRPr="009F2501">
        <w:rPr>
          <w:color w:val="000000"/>
          <w:u w:val="single"/>
          <w:rtl/>
        </w:rPr>
        <w:t>נוסח מסמך זה כפוף לשינויי ניסוח ועריכה</w:t>
      </w:r>
    </w:p>
    <w:sectPr w:rsidR="00B96157" w:rsidRPr="00B96157" w:rsidSect="009F2501">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C77FA" w14:textId="77777777" w:rsidR="00073999" w:rsidRDefault="00073999" w:rsidP="00CF11BF">
      <w:r>
        <w:separator/>
      </w:r>
    </w:p>
  </w:endnote>
  <w:endnote w:type="continuationSeparator" w:id="0">
    <w:p w14:paraId="736A43AD" w14:textId="77777777" w:rsidR="00073999" w:rsidRDefault="00073999" w:rsidP="00CF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9EA50" w14:textId="77777777" w:rsidR="009F2501" w:rsidRDefault="009F2501" w:rsidP="009F250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5FEE62A" w14:textId="77777777" w:rsidR="00310E64" w:rsidRPr="009F2501" w:rsidRDefault="009F2501" w:rsidP="009F2501">
    <w:pPr>
      <w:pStyle w:val="a5"/>
      <w:pBdr>
        <w:top w:val="single" w:sz="4" w:space="1" w:color="auto"/>
        <w:between w:val="single" w:sz="4" w:space="0" w:color="auto"/>
      </w:pBdr>
      <w:spacing w:after="60"/>
      <w:jc w:val="center"/>
      <w:rPr>
        <w:rFonts w:ascii="FrankRuehl" w:hAnsi="FrankRuehl" w:cs="FrankRuehl"/>
        <w:color w:val="000000"/>
      </w:rPr>
    </w:pPr>
    <w:r w:rsidRPr="009F250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79BE5" w14:textId="77777777" w:rsidR="009F2501" w:rsidRDefault="009F2501" w:rsidP="009F250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7BCA">
      <w:rPr>
        <w:rFonts w:ascii="FrankRuehl" w:hAnsi="FrankRuehl" w:cs="FrankRuehl"/>
        <w:noProof/>
        <w:rtl/>
      </w:rPr>
      <w:t>1</w:t>
    </w:r>
    <w:r>
      <w:rPr>
        <w:rFonts w:ascii="FrankRuehl" w:hAnsi="FrankRuehl" w:cs="FrankRuehl"/>
        <w:rtl/>
      </w:rPr>
      <w:fldChar w:fldCharType="end"/>
    </w:r>
  </w:p>
  <w:p w14:paraId="2FC46401" w14:textId="77777777" w:rsidR="00310E64" w:rsidRPr="009F2501" w:rsidRDefault="009F2501" w:rsidP="009F2501">
    <w:pPr>
      <w:pStyle w:val="a5"/>
      <w:pBdr>
        <w:top w:val="single" w:sz="4" w:space="1" w:color="auto"/>
        <w:between w:val="single" w:sz="4" w:space="0" w:color="auto"/>
      </w:pBdr>
      <w:spacing w:after="60"/>
      <w:jc w:val="center"/>
      <w:rPr>
        <w:rFonts w:ascii="FrankRuehl" w:hAnsi="FrankRuehl" w:cs="FrankRuehl"/>
        <w:color w:val="000000"/>
      </w:rPr>
    </w:pPr>
    <w:r w:rsidRPr="009F2501">
      <w:rPr>
        <w:rFonts w:ascii="FrankRuehl" w:hAnsi="FrankRuehl" w:cs="FrankRuehl"/>
        <w:color w:val="000000"/>
      </w:rPr>
      <w:pict w14:anchorId="6F4DC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5E8DB" w14:textId="77777777" w:rsidR="00073999" w:rsidRDefault="00073999" w:rsidP="00CF11BF">
      <w:r>
        <w:separator/>
      </w:r>
    </w:p>
  </w:footnote>
  <w:footnote w:type="continuationSeparator" w:id="0">
    <w:p w14:paraId="7F857553" w14:textId="77777777" w:rsidR="00073999" w:rsidRDefault="00073999" w:rsidP="00CF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DCE74" w14:textId="77777777" w:rsidR="00B96157" w:rsidRPr="009F2501" w:rsidRDefault="009F2501" w:rsidP="009F25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3548-09-24</w:t>
    </w:r>
    <w:r>
      <w:rPr>
        <w:rFonts w:ascii="David" w:hAnsi="David"/>
        <w:color w:val="000000"/>
        <w:sz w:val="22"/>
        <w:szCs w:val="22"/>
        <w:rtl/>
      </w:rPr>
      <w:tab/>
      <w:t xml:space="preserve"> מדינת ישראל נ' מרואן שרוף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7DF46" w14:textId="77777777" w:rsidR="00B96157" w:rsidRPr="009F2501" w:rsidRDefault="009F2501" w:rsidP="009F25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3548-09-24</w:t>
    </w:r>
    <w:r>
      <w:rPr>
        <w:rFonts w:ascii="David" w:hAnsi="David"/>
        <w:color w:val="000000"/>
        <w:sz w:val="22"/>
        <w:szCs w:val="22"/>
        <w:rtl/>
      </w:rPr>
      <w:tab/>
      <w:t xml:space="preserve"> מדינת ישראל נ' מרואן שרוף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0800B7"/>
    <w:multiLevelType w:val="hybridMultilevel"/>
    <w:tmpl w:val="6108F6F0"/>
    <w:lvl w:ilvl="0" w:tplc="E856A902">
      <w:start w:val="1"/>
      <w:numFmt w:val="bullet"/>
      <w:lvlText w:val=""/>
      <w:lvlJc w:val="left"/>
      <w:pPr>
        <w:ind w:left="720" w:hanging="360"/>
      </w:pPr>
      <w:rPr>
        <w:rFonts w:ascii="Symbol" w:hAnsi="Symbol"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49276C2"/>
    <w:multiLevelType w:val="hybridMultilevel"/>
    <w:tmpl w:val="96CCAA6A"/>
    <w:lvl w:ilvl="0" w:tplc="247ADC14">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41392366">
    <w:abstractNumId w:val="0"/>
  </w:num>
  <w:num w:numId="2" w16cid:durableId="4466580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0262"/>
    <w:rsid w:val="00073999"/>
    <w:rsid w:val="00310E64"/>
    <w:rsid w:val="00322869"/>
    <w:rsid w:val="00330262"/>
    <w:rsid w:val="00593AD3"/>
    <w:rsid w:val="00707BCA"/>
    <w:rsid w:val="009F2501"/>
    <w:rsid w:val="00B96157"/>
    <w:rsid w:val="00C96A6E"/>
    <w:rsid w:val="00CC6C45"/>
    <w:rsid w:val="00CF11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E3B7BC"/>
  <w15:chartTrackingRefBased/>
  <w15:docId w15:val="{3ECF015F-2268-4735-A90D-3E62689B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026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30262"/>
    <w:pPr>
      <w:tabs>
        <w:tab w:val="center" w:pos="4153"/>
        <w:tab w:val="right" w:pos="8306"/>
      </w:tabs>
    </w:pPr>
  </w:style>
  <w:style w:type="character" w:customStyle="1" w:styleId="a4">
    <w:name w:val="כותרת עליונה תו"/>
    <w:link w:val="a3"/>
    <w:rsid w:val="00330262"/>
    <w:rPr>
      <w:rFonts w:ascii="Times New Roman" w:eastAsia="Times New Roman" w:hAnsi="Times New Roman" w:cs="David"/>
      <w:sz w:val="24"/>
      <w:szCs w:val="24"/>
    </w:rPr>
  </w:style>
  <w:style w:type="paragraph" w:styleId="a5">
    <w:name w:val="footer"/>
    <w:basedOn w:val="a"/>
    <w:link w:val="a6"/>
    <w:rsid w:val="00330262"/>
    <w:pPr>
      <w:tabs>
        <w:tab w:val="center" w:pos="4153"/>
        <w:tab w:val="right" w:pos="8306"/>
      </w:tabs>
    </w:pPr>
  </w:style>
  <w:style w:type="character" w:customStyle="1" w:styleId="a6">
    <w:name w:val="כותרת תחתונה תו"/>
    <w:link w:val="a5"/>
    <w:rsid w:val="00330262"/>
    <w:rPr>
      <w:rFonts w:ascii="Times New Roman" w:eastAsia="Times New Roman" w:hAnsi="Times New Roman" w:cs="David"/>
      <w:sz w:val="24"/>
      <w:szCs w:val="24"/>
    </w:rPr>
  </w:style>
  <w:style w:type="table" w:styleId="a7">
    <w:name w:val="Table Grid"/>
    <w:basedOn w:val="a1"/>
    <w:rsid w:val="0033026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30262"/>
  </w:style>
  <w:style w:type="character" w:styleId="Hyperlink">
    <w:name w:val="Hyperlink"/>
    <w:rsid w:val="00330262"/>
    <w:rPr>
      <w:color w:val="0563C1"/>
      <w:u w:val="single"/>
    </w:rPr>
  </w:style>
  <w:style w:type="paragraph" w:styleId="a9">
    <w:name w:val="List Paragraph"/>
    <w:basedOn w:val="a"/>
    <w:link w:val="aa"/>
    <w:qFormat/>
    <w:rsid w:val="00330262"/>
    <w:pPr>
      <w:ind w:left="720"/>
      <w:contextualSpacing/>
    </w:pPr>
  </w:style>
  <w:style w:type="character" w:customStyle="1" w:styleId="aa">
    <w:name w:val="פיסקת רשימה תו"/>
    <w:link w:val="a9"/>
    <w:locked/>
    <w:rsid w:val="00330262"/>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8378067" TargetMode="External"/><Relationship Id="rId21" Type="http://schemas.openxmlformats.org/officeDocument/2006/relationships/hyperlink" Target="http://www.nevo.co.il/case/29591873" TargetMode="External"/><Relationship Id="rId34" Type="http://schemas.openxmlformats.org/officeDocument/2006/relationships/hyperlink" Target="http://www.nevo.co.il/case/27721185"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law/70301/29" TargetMode="External"/><Relationship Id="rId63"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573417"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29"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9611509" TargetMode="External"/><Relationship Id="rId40" Type="http://schemas.openxmlformats.org/officeDocument/2006/relationships/hyperlink" Target="http://www.nevo.co.il/law/70301/31" TargetMode="External"/><Relationship Id="rId45" Type="http://schemas.openxmlformats.org/officeDocument/2006/relationships/hyperlink" Target="http://www.nevo.co.il/case/28509754" TargetMode="External"/><Relationship Id="rId53" Type="http://schemas.openxmlformats.org/officeDocument/2006/relationships/hyperlink" Target="http://www.nevo.co.il/case/24308349" TargetMode="External"/><Relationship Id="rId58" Type="http://schemas.openxmlformats.org/officeDocument/2006/relationships/hyperlink" Target="http://www.nevo.co.il/case/28450570"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case/28883087" TargetMode="External"/><Relationship Id="rId14" Type="http://schemas.openxmlformats.org/officeDocument/2006/relationships/hyperlink" Target="http://www.nevo.co.il/law/70301/31" TargetMode="External"/><Relationship Id="rId22" Type="http://schemas.openxmlformats.org/officeDocument/2006/relationships/hyperlink" Target="http://www.nevo.co.il/case/28513828" TargetMode="External"/><Relationship Id="rId27" Type="http://schemas.openxmlformats.org/officeDocument/2006/relationships/hyperlink" Target="http://www.nevo.co.il/case/25923515" TargetMode="External"/><Relationship Id="rId30" Type="http://schemas.openxmlformats.org/officeDocument/2006/relationships/hyperlink" Target="http://www.nevo.co.il/case/26478630"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law/70301/31" TargetMode="External"/><Relationship Id="rId48" Type="http://schemas.openxmlformats.org/officeDocument/2006/relationships/hyperlink" Target="http://www.nevo.co.il/law/70301/244" TargetMode="External"/><Relationship Id="rId56" Type="http://schemas.openxmlformats.org/officeDocument/2006/relationships/hyperlink" Target="http://www.nevo.co.il/law/70301" TargetMode="External"/><Relationship Id="rId64"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244" TargetMode="External"/><Relationship Id="rId17" Type="http://schemas.openxmlformats.org/officeDocument/2006/relationships/hyperlink" Target="http://www.nevo.co.il/case/6834904"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7573270" TargetMode="External"/><Relationship Id="rId38" Type="http://schemas.openxmlformats.org/officeDocument/2006/relationships/hyperlink" Target="http://www.nevo.co.il/case/30523152" TargetMode="External"/><Relationship Id="rId46" Type="http://schemas.openxmlformats.org/officeDocument/2006/relationships/hyperlink" Target="http://www.nevo.co.il/law/70301/144.a" TargetMode="External"/><Relationship Id="rId59" Type="http://schemas.openxmlformats.org/officeDocument/2006/relationships/hyperlink" Target="http://www.nevo.co.il/law/70301/40c.a" TargetMode="External"/><Relationship Id="rId67" Type="http://schemas.openxmlformats.org/officeDocument/2006/relationships/theme" Target="theme/theme1.xml"/><Relationship Id="rId20" Type="http://schemas.openxmlformats.org/officeDocument/2006/relationships/hyperlink" Target="http://www.nevo.co.il/case/28697218" TargetMode="External"/><Relationship Id="rId41" Type="http://schemas.openxmlformats.org/officeDocument/2006/relationships/hyperlink" Target="http://www.nevo.co.il/law/70301/144.a" TargetMode="External"/><Relationship Id="rId54" Type="http://schemas.openxmlformats.org/officeDocument/2006/relationships/hyperlink" Target="http://www.nevo.co.il/law/70301/144.a"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9120662" TargetMode="External"/><Relationship Id="rId57" Type="http://schemas.openxmlformats.org/officeDocument/2006/relationships/hyperlink" Target="http://www.nevo.co.il/case/25512384"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law/70301/144.a" TargetMode="External"/><Relationship Id="rId60" Type="http://schemas.openxmlformats.org/officeDocument/2006/relationships/hyperlink" Target="http://www.nevo.co.il/law/70301"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case/28378067" TargetMode="External"/><Relationship Id="rId39" Type="http://schemas.openxmlformats.org/officeDocument/2006/relationships/hyperlink" Target="http://www.nevo.co.il/case/3305474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3345</Words>
  <Characters>16727</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20032</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7995492</vt:i4>
      </vt:variant>
      <vt:variant>
        <vt:i4>159</vt:i4>
      </vt:variant>
      <vt:variant>
        <vt:i4>0</vt:i4>
      </vt:variant>
      <vt:variant>
        <vt:i4>5</vt:i4>
      </vt:variant>
      <vt:variant>
        <vt:lpwstr>http://www.nevo.co.il/law/70301</vt:lpwstr>
      </vt:variant>
      <vt:variant>
        <vt:lpwstr/>
      </vt:variant>
      <vt:variant>
        <vt:i4>4915202</vt:i4>
      </vt:variant>
      <vt:variant>
        <vt:i4>156</vt:i4>
      </vt:variant>
      <vt:variant>
        <vt:i4>0</vt:i4>
      </vt:variant>
      <vt:variant>
        <vt:i4>5</vt:i4>
      </vt:variant>
      <vt:variant>
        <vt:lpwstr>http://www.nevo.co.il/law/70301/40c.a</vt:lpwstr>
      </vt:variant>
      <vt:variant>
        <vt:lpwstr/>
      </vt:variant>
      <vt:variant>
        <vt:i4>3211388</vt:i4>
      </vt:variant>
      <vt:variant>
        <vt:i4>153</vt:i4>
      </vt:variant>
      <vt:variant>
        <vt:i4>0</vt:i4>
      </vt:variant>
      <vt:variant>
        <vt:i4>5</vt:i4>
      </vt:variant>
      <vt:variant>
        <vt:lpwstr>http://www.nevo.co.il/case/28450570</vt:lpwstr>
      </vt:variant>
      <vt:variant>
        <vt:lpwstr/>
      </vt:variant>
      <vt:variant>
        <vt:i4>3997811</vt:i4>
      </vt:variant>
      <vt:variant>
        <vt:i4>150</vt:i4>
      </vt:variant>
      <vt:variant>
        <vt:i4>0</vt:i4>
      </vt:variant>
      <vt:variant>
        <vt:i4>5</vt:i4>
      </vt:variant>
      <vt:variant>
        <vt:lpwstr>http://www.nevo.co.il/case/25512384</vt:lpwstr>
      </vt:variant>
      <vt:variant>
        <vt:lpwstr/>
      </vt:variant>
      <vt:variant>
        <vt:i4>7995492</vt:i4>
      </vt:variant>
      <vt:variant>
        <vt:i4>147</vt:i4>
      </vt:variant>
      <vt:variant>
        <vt:i4>0</vt:i4>
      </vt:variant>
      <vt:variant>
        <vt:i4>5</vt:i4>
      </vt:variant>
      <vt:variant>
        <vt:lpwstr>http://www.nevo.co.il/law/70301</vt:lpwstr>
      </vt:variant>
      <vt:variant>
        <vt:lpwstr/>
      </vt:variant>
      <vt:variant>
        <vt:i4>7077991</vt:i4>
      </vt:variant>
      <vt:variant>
        <vt:i4>144</vt:i4>
      </vt:variant>
      <vt:variant>
        <vt:i4>0</vt:i4>
      </vt:variant>
      <vt:variant>
        <vt:i4>5</vt:i4>
      </vt:variant>
      <vt:variant>
        <vt:lpwstr>http://www.nevo.co.il/law/70301/29</vt:lpwstr>
      </vt:variant>
      <vt:variant>
        <vt:lpwstr/>
      </vt:variant>
      <vt:variant>
        <vt:i4>5177424</vt:i4>
      </vt:variant>
      <vt:variant>
        <vt:i4>141</vt:i4>
      </vt:variant>
      <vt:variant>
        <vt:i4>0</vt:i4>
      </vt:variant>
      <vt:variant>
        <vt:i4>5</vt:i4>
      </vt:variant>
      <vt:variant>
        <vt:lpwstr>http://www.nevo.co.il/law/70301/144.a</vt:lpwstr>
      </vt:variant>
      <vt:variant>
        <vt:lpwstr/>
      </vt:variant>
      <vt:variant>
        <vt:i4>3997811</vt:i4>
      </vt:variant>
      <vt:variant>
        <vt:i4>138</vt:i4>
      </vt:variant>
      <vt:variant>
        <vt:i4>0</vt:i4>
      </vt:variant>
      <vt:variant>
        <vt:i4>5</vt:i4>
      </vt:variant>
      <vt:variant>
        <vt:lpwstr>http://www.nevo.co.il/case/24308349</vt:lpwstr>
      </vt:variant>
      <vt:variant>
        <vt:lpwstr/>
      </vt:variant>
      <vt:variant>
        <vt:i4>5177424</vt:i4>
      </vt:variant>
      <vt:variant>
        <vt:i4>135</vt:i4>
      </vt:variant>
      <vt:variant>
        <vt:i4>0</vt:i4>
      </vt:variant>
      <vt:variant>
        <vt:i4>5</vt:i4>
      </vt:variant>
      <vt:variant>
        <vt:lpwstr>http://www.nevo.co.il/law/70301/144.a</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5177424</vt:i4>
      </vt:variant>
      <vt:variant>
        <vt:i4>129</vt:i4>
      </vt:variant>
      <vt:variant>
        <vt:i4>0</vt:i4>
      </vt:variant>
      <vt:variant>
        <vt:i4>5</vt:i4>
      </vt:variant>
      <vt:variant>
        <vt:lpwstr>http://www.nevo.co.il/law/70301/144.a</vt:lpwstr>
      </vt:variant>
      <vt:variant>
        <vt:lpwstr/>
      </vt:variant>
      <vt:variant>
        <vt:i4>3473529</vt:i4>
      </vt:variant>
      <vt:variant>
        <vt:i4>126</vt:i4>
      </vt:variant>
      <vt:variant>
        <vt:i4>0</vt:i4>
      </vt:variant>
      <vt:variant>
        <vt:i4>5</vt:i4>
      </vt:variant>
      <vt:variant>
        <vt:lpwstr>http://www.nevo.co.il/case/29120662</vt:lpwstr>
      </vt:variant>
      <vt:variant>
        <vt:lpwstr/>
      </vt:variant>
      <vt:variant>
        <vt:i4>6357095</vt:i4>
      </vt:variant>
      <vt:variant>
        <vt:i4>123</vt:i4>
      </vt:variant>
      <vt:variant>
        <vt:i4>0</vt:i4>
      </vt:variant>
      <vt:variant>
        <vt:i4>5</vt:i4>
      </vt:variant>
      <vt:variant>
        <vt:lpwstr>http://www.nevo.co.il/law/70301/244</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5177424</vt:i4>
      </vt:variant>
      <vt:variant>
        <vt:i4>117</vt:i4>
      </vt:variant>
      <vt:variant>
        <vt:i4>0</vt:i4>
      </vt:variant>
      <vt:variant>
        <vt:i4>5</vt:i4>
      </vt:variant>
      <vt:variant>
        <vt:lpwstr>http://www.nevo.co.il/law/70301/144.a</vt:lpwstr>
      </vt:variant>
      <vt:variant>
        <vt:lpwstr/>
      </vt:variant>
      <vt:variant>
        <vt:i4>3866747</vt:i4>
      </vt:variant>
      <vt:variant>
        <vt:i4>114</vt:i4>
      </vt:variant>
      <vt:variant>
        <vt:i4>0</vt:i4>
      </vt:variant>
      <vt:variant>
        <vt:i4>5</vt:i4>
      </vt:variant>
      <vt:variant>
        <vt:lpwstr>http://www.nevo.co.il/case/28509754</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6553702</vt:i4>
      </vt:variant>
      <vt:variant>
        <vt:i4>108</vt:i4>
      </vt:variant>
      <vt:variant>
        <vt:i4>0</vt:i4>
      </vt:variant>
      <vt:variant>
        <vt:i4>5</vt:i4>
      </vt:variant>
      <vt:variant>
        <vt:lpwstr>http://www.nevo.co.il/law/70301/31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5177424</vt:i4>
      </vt:variant>
      <vt:variant>
        <vt:i4>102</vt:i4>
      </vt:variant>
      <vt:variant>
        <vt:i4>0</vt:i4>
      </vt:variant>
      <vt:variant>
        <vt:i4>5</vt:i4>
      </vt:variant>
      <vt:variant>
        <vt:lpwstr>http://www.nevo.co.il/law/70301/144.a</vt:lpwstr>
      </vt:variant>
      <vt:variant>
        <vt:lpwstr/>
      </vt:variant>
      <vt:variant>
        <vt:i4>6553702</vt:i4>
      </vt:variant>
      <vt:variant>
        <vt:i4>99</vt:i4>
      </vt:variant>
      <vt:variant>
        <vt:i4>0</vt:i4>
      </vt:variant>
      <vt:variant>
        <vt:i4>5</vt:i4>
      </vt:variant>
      <vt:variant>
        <vt:lpwstr>http://www.nevo.co.il/law/70301/31</vt:lpwstr>
      </vt:variant>
      <vt:variant>
        <vt:lpwstr/>
      </vt:variant>
      <vt:variant>
        <vt:i4>3342453</vt:i4>
      </vt:variant>
      <vt:variant>
        <vt:i4>96</vt:i4>
      </vt:variant>
      <vt:variant>
        <vt:i4>0</vt:i4>
      </vt:variant>
      <vt:variant>
        <vt:i4>5</vt:i4>
      </vt:variant>
      <vt:variant>
        <vt:lpwstr>http://www.nevo.co.il/case/33054745</vt:lpwstr>
      </vt:variant>
      <vt:variant>
        <vt:lpwstr/>
      </vt:variant>
      <vt:variant>
        <vt:i4>3145847</vt:i4>
      </vt:variant>
      <vt:variant>
        <vt:i4>93</vt:i4>
      </vt:variant>
      <vt:variant>
        <vt:i4>0</vt:i4>
      </vt:variant>
      <vt:variant>
        <vt:i4>5</vt:i4>
      </vt:variant>
      <vt:variant>
        <vt:lpwstr>http://www.nevo.co.il/case/30523152</vt:lpwstr>
      </vt:variant>
      <vt:variant>
        <vt:lpwstr/>
      </vt:variant>
      <vt:variant>
        <vt:i4>3473529</vt:i4>
      </vt:variant>
      <vt:variant>
        <vt:i4>90</vt:i4>
      </vt:variant>
      <vt:variant>
        <vt:i4>0</vt:i4>
      </vt:variant>
      <vt:variant>
        <vt:i4>5</vt:i4>
      </vt:variant>
      <vt:variant>
        <vt:lpwstr>http://www.nevo.co.il/case/29611509</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3932272</vt:i4>
      </vt:variant>
      <vt:variant>
        <vt:i4>81</vt:i4>
      </vt:variant>
      <vt:variant>
        <vt:i4>0</vt:i4>
      </vt:variant>
      <vt:variant>
        <vt:i4>5</vt:i4>
      </vt:variant>
      <vt:variant>
        <vt:lpwstr>http://www.nevo.co.il/case/27721185</vt:lpwstr>
      </vt:variant>
      <vt:variant>
        <vt:lpwstr/>
      </vt:variant>
      <vt:variant>
        <vt:i4>3342454</vt:i4>
      </vt:variant>
      <vt:variant>
        <vt:i4>78</vt:i4>
      </vt:variant>
      <vt:variant>
        <vt:i4>0</vt:i4>
      </vt:variant>
      <vt:variant>
        <vt:i4>5</vt:i4>
      </vt:variant>
      <vt:variant>
        <vt:lpwstr>http://www.nevo.co.il/case/27573270</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3997811</vt:i4>
      </vt:variant>
      <vt:variant>
        <vt:i4>69</vt:i4>
      </vt:variant>
      <vt:variant>
        <vt:i4>0</vt:i4>
      </vt:variant>
      <vt:variant>
        <vt:i4>5</vt:i4>
      </vt:variant>
      <vt:variant>
        <vt:lpwstr>http://www.nevo.co.il/case/26478630</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3735670</vt:i4>
      </vt:variant>
      <vt:variant>
        <vt:i4>60</vt:i4>
      </vt:variant>
      <vt:variant>
        <vt:i4>0</vt:i4>
      </vt:variant>
      <vt:variant>
        <vt:i4>5</vt:i4>
      </vt:variant>
      <vt:variant>
        <vt:lpwstr>http://www.nevo.co.il/case/25923515</vt:lpwstr>
      </vt:variant>
      <vt:variant>
        <vt:lpwstr/>
      </vt:variant>
      <vt:variant>
        <vt:i4>4128891</vt:i4>
      </vt:variant>
      <vt:variant>
        <vt:i4>57</vt:i4>
      </vt:variant>
      <vt:variant>
        <vt:i4>0</vt:i4>
      </vt:variant>
      <vt:variant>
        <vt:i4>5</vt:i4>
      </vt:variant>
      <vt:variant>
        <vt:lpwstr>http://www.nevo.co.il/case/28378067</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3211388</vt:i4>
      </vt:variant>
      <vt:variant>
        <vt:i4>42</vt:i4>
      </vt:variant>
      <vt:variant>
        <vt:i4>0</vt:i4>
      </vt:variant>
      <vt:variant>
        <vt:i4>5</vt:i4>
      </vt:variant>
      <vt:variant>
        <vt:lpwstr>http://www.nevo.co.il/case/29591873</vt:lpwstr>
      </vt:variant>
      <vt:variant>
        <vt:lpwstr/>
      </vt:variant>
      <vt:variant>
        <vt:i4>3276919</vt:i4>
      </vt:variant>
      <vt:variant>
        <vt:i4>39</vt:i4>
      </vt:variant>
      <vt:variant>
        <vt:i4>0</vt:i4>
      </vt:variant>
      <vt:variant>
        <vt:i4>5</vt:i4>
      </vt:variant>
      <vt:variant>
        <vt:lpwstr>http://www.nevo.co.il/case/28697218</vt:lpwstr>
      </vt:variant>
      <vt:variant>
        <vt:lpwstr/>
      </vt:variant>
      <vt:variant>
        <vt:i4>3211380</vt:i4>
      </vt:variant>
      <vt:variant>
        <vt:i4>36</vt:i4>
      </vt:variant>
      <vt:variant>
        <vt:i4>0</vt:i4>
      </vt:variant>
      <vt:variant>
        <vt:i4>5</vt:i4>
      </vt:variant>
      <vt:variant>
        <vt:lpwstr>http://www.nevo.co.il/case/28883087</vt:lpwstr>
      </vt:variant>
      <vt:variant>
        <vt:lpwstr/>
      </vt:variant>
      <vt:variant>
        <vt:i4>4128891</vt:i4>
      </vt:variant>
      <vt:variant>
        <vt:i4>33</vt:i4>
      </vt:variant>
      <vt:variant>
        <vt:i4>0</vt:i4>
      </vt:variant>
      <vt:variant>
        <vt:i4>5</vt:i4>
      </vt:variant>
      <vt:variant>
        <vt:lpwstr>http://www.nevo.co.il/case/28378067</vt:lpwstr>
      </vt:variant>
      <vt:variant>
        <vt:lpwstr/>
      </vt:variant>
      <vt:variant>
        <vt:i4>3670136</vt:i4>
      </vt:variant>
      <vt:variant>
        <vt:i4>30</vt:i4>
      </vt:variant>
      <vt:variant>
        <vt:i4>0</vt:i4>
      </vt:variant>
      <vt:variant>
        <vt:i4>5</vt:i4>
      </vt:variant>
      <vt:variant>
        <vt:lpwstr>http://www.nevo.co.il/case/6834904</vt:lpwstr>
      </vt:variant>
      <vt:variant>
        <vt:lpwstr/>
      </vt:variant>
      <vt:variant>
        <vt:i4>3211379</vt:i4>
      </vt:variant>
      <vt:variant>
        <vt:i4>27</vt:i4>
      </vt:variant>
      <vt:variant>
        <vt:i4>0</vt:i4>
      </vt:variant>
      <vt:variant>
        <vt:i4>5</vt:i4>
      </vt:variant>
      <vt:variant>
        <vt:lpwstr>http://www.nevo.co.il/case/5573417</vt:lpwstr>
      </vt:variant>
      <vt:variant>
        <vt:lpwstr/>
      </vt:variant>
      <vt:variant>
        <vt:i4>7995492</vt:i4>
      </vt:variant>
      <vt:variant>
        <vt:i4>24</vt:i4>
      </vt:variant>
      <vt:variant>
        <vt:i4>0</vt:i4>
      </vt:variant>
      <vt:variant>
        <vt:i4>5</vt:i4>
      </vt:variant>
      <vt:variant>
        <vt:lpwstr>http://www.nevo.co.il/law/70301</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2025-02-28T15:36:00Z</dcterms:created>
  <dcterms:modified xsi:type="dcterms:W3CDTF">2025-02-28T15:36:00Z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3548</vt:lpwstr>
  </property>
  <property fmtid="{D5CDD505-2E9C-101B-9397-08002B2CF9AE}" pid="6" name="NEWPARTB">
    <vt:lpwstr>09</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מרואן שרוף</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20250123</vt:lpwstr>
  </property>
  <property fmtid="{D5CDD505-2E9C-101B-9397-08002B2CF9AE}" pid="13" name="TYPE_N_DATE">
    <vt:lpwstr>38020250123</vt:lpwstr>
  </property>
  <property fmtid="{D5CDD505-2E9C-101B-9397-08002B2CF9AE}" pid="14" name="CASESLISTTMP1">
    <vt:lpwstr>5573417;6834904;28378067:2;28883087;28697218;29591873;28513828;25923515;26478630;27573270;27721185;29611509;30523152;33054745;28509754;29120662;24308349;25512384;28450570</vt:lpwstr>
  </property>
  <property fmtid="{D5CDD505-2E9C-101B-9397-08002B2CF9AE}" pid="15" name="CASENOTES1">
    <vt:lpwstr>ProcID=135&amp;PartA=7585&amp;PartB=09&amp;PartC=23</vt:lpwstr>
  </property>
  <property fmtid="{D5CDD505-2E9C-101B-9397-08002B2CF9AE}" pid="16" name="CASENOTES2">
    <vt:lpwstr>ProcID=133;209&amp;PartA=1332&amp;PartC=04</vt:lpwstr>
  </property>
  <property fmtid="{D5CDD505-2E9C-101B-9397-08002B2CF9AE}" pid="17" name="WORDNUMPAGES">
    <vt:lpwstr>9</vt:lpwstr>
  </property>
  <property fmtid="{D5CDD505-2E9C-101B-9397-08002B2CF9AE}" pid="18" name="TYPE_ABS_DATE">
    <vt:lpwstr>380020250123</vt:lpwstr>
  </property>
  <property fmtid="{D5CDD505-2E9C-101B-9397-08002B2CF9AE}" pid="19" name="ISABSTRACT">
    <vt:lpwstr>Y</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70301/144.a:11;031:3;029:2;244;040c.a</vt:lpwstr>
  </property>
</Properties>
</file>