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B421FB" w:rsidRPr="007F7937" w14:paraId="5A52C600" w14:textId="77777777" w:rsidTr="00AB30D0">
        <w:trPr>
          <w:trHeight w:hRule="exact" w:val="418"/>
          <w:jc w:val="center"/>
        </w:trPr>
        <w:tc>
          <w:tcPr>
            <w:tcW w:w="8721" w:type="dxa"/>
            <w:gridSpan w:val="2"/>
          </w:tcPr>
          <w:p w14:paraId="46E856B2" w14:textId="77777777" w:rsidR="00B421FB" w:rsidRPr="007F7937" w:rsidRDefault="00B421FB" w:rsidP="00DE031E">
            <w:pPr>
              <w:pStyle w:val="a4"/>
              <w:jc w:val="center"/>
              <w:rPr>
                <w:rFonts w:ascii="Tahoma" w:hAnsi="Tahoma" w:cs="Tahoma"/>
                <w:color w:val="000080"/>
                <w:rtl/>
              </w:rPr>
            </w:pPr>
            <w:r w:rsidRPr="007F7937">
              <w:rPr>
                <w:rFonts w:ascii="Tahoma" w:hAnsi="Tahoma" w:cs="Tahoma"/>
                <w:b/>
                <w:bCs/>
                <w:color w:val="000080"/>
                <w:rtl/>
              </w:rPr>
              <w:t>בית משפט השלום בבאר שבע</w:t>
            </w:r>
          </w:p>
        </w:tc>
      </w:tr>
      <w:tr w:rsidR="00B421FB" w:rsidRPr="007F7937" w14:paraId="18277666" w14:textId="77777777" w:rsidTr="00AB30D0">
        <w:trPr>
          <w:trHeight w:val="337"/>
          <w:jc w:val="center"/>
        </w:trPr>
        <w:tc>
          <w:tcPr>
            <w:tcW w:w="5057" w:type="dxa"/>
          </w:tcPr>
          <w:p w14:paraId="3482D7F3" w14:textId="77777777" w:rsidR="00B421FB" w:rsidRPr="007F7937" w:rsidRDefault="00B421FB" w:rsidP="00DE031E">
            <w:pPr>
              <w:rPr>
                <w:rFonts w:cs="FrankRuehl"/>
                <w:sz w:val="28"/>
                <w:szCs w:val="28"/>
                <w:rtl/>
              </w:rPr>
            </w:pPr>
            <w:r w:rsidRPr="007F7937">
              <w:rPr>
                <w:rFonts w:cs="FrankRuehl"/>
                <w:sz w:val="28"/>
                <w:szCs w:val="28"/>
                <w:rtl/>
              </w:rPr>
              <w:t>ת"פ</w:t>
            </w:r>
            <w:r w:rsidRPr="007F7937">
              <w:rPr>
                <w:rFonts w:cs="FrankRuehl" w:hint="cs"/>
                <w:sz w:val="28"/>
                <w:szCs w:val="28"/>
                <w:rtl/>
              </w:rPr>
              <w:t xml:space="preserve"> </w:t>
            </w:r>
            <w:r w:rsidRPr="007F7937">
              <w:rPr>
                <w:rFonts w:cs="FrankRuehl"/>
                <w:sz w:val="28"/>
                <w:szCs w:val="28"/>
                <w:rtl/>
              </w:rPr>
              <w:t>53220-09-24</w:t>
            </w:r>
            <w:r w:rsidRPr="007F7937">
              <w:rPr>
                <w:rFonts w:cs="FrankRuehl" w:hint="cs"/>
                <w:sz w:val="28"/>
                <w:szCs w:val="28"/>
                <w:rtl/>
              </w:rPr>
              <w:t xml:space="preserve"> </w:t>
            </w:r>
            <w:r w:rsidRPr="007F7937">
              <w:rPr>
                <w:rFonts w:cs="FrankRuehl"/>
                <w:sz w:val="28"/>
                <w:szCs w:val="28"/>
                <w:rtl/>
              </w:rPr>
              <w:t>מדינת ישראל נ' אבו סעד(עציר)</w:t>
            </w:r>
          </w:p>
          <w:p w14:paraId="1AA358FA" w14:textId="77777777" w:rsidR="00B421FB" w:rsidRPr="007F7937" w:rsidRDefault="00B421FB" w:rsidP="00DE031E">
            <w:pPr>
              <w:pStyle w:val="a4"/>
              <w:rPr>
                <w:rFonts w:cs="FrankRuehl"/>
                <w:sz w:val="28"/>
                <w:szCs w:val="28"/>
                <w:rtl/>
              </w:rPr>
            </w:pPr>
          </w:p>
        </w:tc>
        <w:tc>
          <w:tcPr>
            <w:tcW w:w="3664" w:type="dxa"/>
          </w:tcPr>
          <w:p w14:paraId="07991E2E" w14:textId="77777777" w:rsidR="00B421FB" w:rsidRPr="007F7937" w:rsidRDefault="00B421FB" w:rsidP="00DE031E">
            <w:pPr>
              <w:pStyle w:val="a4"/>
              <w:jc w:val="right"/>
              <w:rPr>
                <w:rFonts w:cs="FrankRuehl"/>
                <w:sz w:val="28"/>
                <w:szCs w:val="28"/>
                <w:rtl/>
              </w:rPr>
            </w:pPr>
          </w:p>
        </w:tc>
      </w:tr>
    </w:tbl>
    <w:p w14:paraId="3CF5D68F" w14:textId="77777777" w:rsidR="00B421FB" w:rsidRPr="007F7937" w:rsidRDefault="00B421FB" w:rsidP="00B421FB">
      <w:pPr>
        <w:pStyle w:val="a4"/>
        <w:rPr>
          <w:rtl/>
        </w:rPr>
      </w:pPr>
      <w:r w:rsidRPr="007F7937">
        <w:rPr>
          <w:rFonts w:hint="cs"/>
          <w:rtl/>
        </w:rPr>
        <w:t xml:space="preserve"> </w:t>
      </w:r>
    </w:p>
    <w:p w14:paraId="3E350BEF" w14:textId="77777777" w:rsidR="00B421FB" w:rsidRPr="007F7937" w:rsidRDefault="00B421FB" w:rsidP="00B421FB">
      <w:pPr>
        <w:rPr>
          <w:rtl/>
        </w:rPr>
      </w:pPr>
    </w:p>
    <w:p w14:paraId="14179D74" w14:textId="77777777" w:rsidR="00B421FB" w:rsidRPr="007F7937" w:rsidRDefault="00B421FB" w:rsidP="00B421FB">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B421FB" w:rsidRPr="007F7937" w14:paraId="3A4C45A3" w14:textId="77777777" w:rsidTr="00B421FB">
        <w:trPr>
          <w:trHeight w:val="295"/>
          <w:jc w:val="center"/>
        </w:trPr>
        <w:tc>
          <w:tcPr>
            <w:tcW w:w="923" w:type="dxa"/>
            <w:tcBorders>
              <w:top w:val="nil"/>
              <w:left w:val="nil"/>
              <w:bottom w:val="nil"/>
              <w:right w:val="nil"/>
            </w:tcBorders>
            <w:shd w:val="clear" w:color="auto" w:fill="auto"/>
          </w:tcPr>
          <w:p w14:paraId="69002582" w14:textId="77777777" w:rsidR="00B421FB" w:rsidRPr="007F7937" w:rsidRDefault="00B421FB" w:rsidP="00B421FB">
            <w:pPr>
              <w:jc w:val="both"/>
              <w:rPr>
                <w:rFonts w:ascii="David" w:hAnsi="David"/>
                <w:sz w:val="26"/>
                <w:szCs w:val="26"/>
              </w:rPr>
            </w:pPr>
            <w:r w:rsidRPr="007F7937">
              <w:rPr>
                <w:rFonts w:ascii="David" w:hAnsi="David" w:hint="cs"/>
                <w:sz w:val="26"/>
                <w:szCs w:val="26"/>
                <w:rtl/>
              </w:rPr>
              <w:t>ל</w:t>
            </w:r>
            <w:r w:rsidRPr="007F7937">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45ABD92C" w14:textId="77777777" w:rsidR="00B421FB" w:rsidRPr="007F7937" w:rsidRDefault="00B421FB" w:rsidP="00DE031E">
            <w:pPr>
              <w:rPr>
                <w:rFonts w:ascii="David" w:hAnsi="David"/>
                <w:b/>
                <w:bCs/>
                <w:sz w:val="26"/>
                <w:szCs w:val="26"/>
                <w:rtl/>
              </w:rPr>
            </w:pPr>
            <w:r w:rsidRPr="007F7937">
              <w:rPr>
                <w:rFonts w:ascii="David" w:hAnsi="David"/>
                <w:b/>
                <w:bCs/>
                <w:sz w:val="26"/>
                <w:szCs w:val="26"/>
                <w:rtl/>
              </w:rPr>
              <w:t>כבוד השופט, סגן הנשיא  אבישי כהן</w:t>
            </w:r>
          </w:p>
          <w:p w14:paraId="6CB74ADE" w14:textId="77777777" w:rsidR="00B421FB" w:rsidRPr="007F7937" w:rsidRDefault="00B421FB" w:rsidP="00DE031E">
            <w:pPr>
              <w:rPr>
                <w:rFonts w:ascii="David" w:hAnsi="David"/>
                <w:sz w:val="26"/>
                <w:szCs w:val="26"/>
                <w:rtl/>
              </w:rPr>
            </w:pPr>
          </w:p>
          <w:p w14:paraId="4EC01757" w14:textId="77777777" w:rsidR="00B421FB" w:rsidRPr="007F7937" w:rsidRDefault="00B421FB" w:rsidP="00B421FB">
            <w:pPr>
              <w:jc w:val="both"/>
              <w:rPr>
                <w:rFonts w:ascii="David" w:hAnsi="David"/>
                <w:sz w:val="26"/>
                <w:szCs w:val="26"/>
              </w:rPr>
            </w:pPr>
          </w:p>
        </w:tc>
      </w:tr>
      <w:tr w:rsidR="00B421FB" w:rsidRPr="007F7937" w14:paraId="4A575360" w14:textId="77777777" w:rsidTr="00B421FB">
        <w:trPr>
          <w:trHeight w:val="355"/>
          <w:jc w:val="center"/>
        </w:trPr>
        <w:tc>
          <w:tcPr>
            <w:tcW w:w="923" w:type="dxa"/>
            <w:tcBorders>
              <w:top w:val="nil"/>
              <w:left w:val="nil"/>
              <w:bottom w:val="nil"/>
              <w:right w:val="nil"/>
            </w:tcBorders>
            <w:shd w:val="clear" w:color="auto" w:fill="auto"/>
          </w:tcPr>
          <w:p w14:paraId="1B1860AC" w14:textId="77777777" w:rsidR="00B421FB" w:rsidRPr="007F7937" w:rsidRDefault="00B421FB" w:rsidP="00B421FB">
            <w:pPr>
              <w:jc w:val="both"/>
              <w:rPr>
                <w:rFonts w:ascii="David" w:hAnsi="David"/>
                <w:sz w:val="26"/>
                <w:szCs w:val="26"/>
              </w:rPr>
            </w:pPr>
            <w:bookmarkStart w:id="0" w:name="FirstAppellant"/>
            <w:bookmarkStart w:id="1" w:name="FirstLawyer"/>
            <w:bookmarkStart w:id="2" w:name="LastJudge"/>
            <w:bookmarkEnd w:id="2"/>
            <w:r w:rsidRPr="007F7937">
              <w:rPr>
                <w:rFonts w:ascii="David" w:hAnsi="David"/>
                <w:sz w:val="26"/>
                <w:szCs w:val="26"/>
                <w:rtl/>
              </w:rPr>
              <w:t>בעניין:</w:t>
            </w:r>
          </w:p>
        </w:tc>
        <w:tc>
          <w:tcPr>
            <w:tcW w:w="3219" w:type="dxa"/>
            <w:tcBorders>
              <w:top w:val="nil"/>
              <w:left w:val="nil"/>
              <w:bottom w:val="nil"/>
              <w:right w:val="nil"/>
            </w:tcBorders>
            <w:shd w:val="clear" w:color="auto" w:fill="auto"/>
          </w:tcPr>
          <w:p w14:paraId="114173E3" w14:textId="77777777" w:rsidR="00B421FB" w:rsidRPr="007F7937" w:rsidRDefault="00B421FB" w:rsidP="00B421FB">
            <w:pPr>
              <w:suppressLineNumbers/>
            </w:pPr>
            <w:r w:rsidRPr="007F7937">
              <w:rPr>
                <w:rFonts w:ascii="Arial" w:hAnsi="Arial" w:hint="cs"/>
                <w:b/>
                <w:bCs/>
                <w:sz w:val="26"/>
                <w:szCs w:val="26"/>
                <w:rtl/>
              </w:rPr>
              <w:t>ה</w:t>
            </w:r>
            <w:r w:rsidRPr="007F7937">
              <w:rPr>
                <w:rFonts w:ascii="Arial" w:hAnsi="Arial"/>
                <w:b/>
                <w:bCs/>
                <w:sz w:val="26"/>
                <w:szCs w:val="26"/>
                <w:rtl/>
              </w:rPr>
              <w:t>מאשימה</w:t>
            </w:r>
          </w:p>
          <w:p w14:paraId="1707974C" w14:textId="77777777" w:rsidR="00B421FB" w:rsidRPr="007F7937" w:rsidRDefault="00B421FB" w:rsidP="00DE031E">
            <w:pPr>
              <w:rPr>
                <w:rFonts w:ascii="David" w:hAnsi="David"/>
                <w:sz w:val="26"/>
                <w:szCs w:val="26"/>
              </w:rPr>
            </w:pPr>
          </w:p>
        </w:tc>
        <w:tc>
          <w:tcPr>
            <w:tcW w:w="4678" w:type="dxa"/>
            <w:tcBorders>
              <w:top w:val="nil"/>
              <w:left w:val="nil"/>
              <w:bottom w:val="nil"/>
              <w:right w:val="nil"/>
            </w:tcBorders>
            <w:shd w:val="clear" w:color="auto" w:fill="auto"/>
            <w:vAlign w:val="center"/>
          </w:tcPr>
          <w:p w14:paraId="1943EB32" w14:textId="77777777" w:rsidR="00B421FB" w:rsidRPr="007F7937" w:rsidRDefault="00B421FB" w:rsidP="00B421FB">
            <w:pPr>
              <w:suppressLineNumbers/>
              <w:rPr>
                <w:rFonts w:ascii="Arial" w:hAnsi="Arial"/>
                <w:b/>
                <w:bCs/>
                <w:sz w:val="26"/>
                <w:szCs w:val="26"/>
                <w:rtl/>
              </w:rPr>
            </w:pPr>
            <w:r w:rsidRPr="007F7937">
              <w:rPr>
                <w:rFonts w:ascii="Arial" w:hAnsi="Arial"/>
                <w:b/>
                <w:bCs/>
                <w:sz w:val="26"/>
                <w:szCs w:val="26"/>
                <w:rtl/>
              </w:rPr>
              <w:t>מדינת ישראל</w:t>
            </w:r>
            <w:r w:rsidRPr="007F7937">
              <w:rPr>
                <w:rFonts w:ascii="Arial" w:hAnsi="Arial" w:hint="cs"/>
                <w:b/>
                <w:bCs/>
                <w:sz w:val="26"/>
                <w:szCs w:val="26"/>
                <w:rtl/>
              </w:rPr>
              <w:t xml:space="preserve"> </w:t>
            </w:r>
          </w:p>
          <w:p w14:paraId="5DA2938F" w14:textId="77777777" w:rsidR="00B421FB" w:rsidRPr="007F7937" w:rsidRDefault="00B421FB" w:rsidP="00B421FB">
            <w:pPr>
              <w:suppressLineNumbers/>
            </w:pPr>
            <w:r w:rsidRPr="007F7937">
              <w:rPr>
                <w:rFonts w:ascii="Arial" w:hAnsi="Arial"/>
                <w:b/>
                <w:bCs/>
                <w:sz w:val="26"/>
                <w:szCs w:val="26"/>
                <w:rtl/>
              </w:rPr>
              <w:t>ע"י ב"כ עו"</w:t>
            </w:r>
            <w:r w:rsidRPr="007F7937">
              <w:rPr>
                <w:rFonts w:ascii="Arial" w:hAnsi="Arial" w:hint="cs"/>
                <w:b/>
                <w:bCs/>
                <w:sz w:val="26"/>
                <w:szCs w:val="26"/>
                <w:rtl/>
              </w:rPr>
              <w:t>ד זוהר נאור ועו"ד צחי לוי</w:t>
            </w:r>
          </w:p>
          <w:p w14:paraId="4103D035" w14:textId="77777777" w:rsidR="00B421FB" w:rsidRPr="007F7937" w:rsidRDefault="00B421FB" w:rsidP="00DE031E">
            <w:pPr>
              <w:rPr>
                <w:rFonts w:ascii="David" w:hAnsi="David"/>
                <w:sz w:val="26"/>
                <w:szCs w:val="26"/>
              </w:rPr>
            </w:pPr>
          </w:p>
        </w:tc>
      </w:tr>
      <w:bookmarkEnd w:id="0"/>
      <w:bookmarkEnd w:id="1"/>
      <w:tr w:rsidR="00B421FB" w:rsidRPr="007F7937" w14:paraId="384BFEDC" w14:textId="77777777" w:rsidTr="00B421FB">
        <w:trPr>
          <w:trHeight w:val="355"/>
          <w:jc w:val="center"/>
        </w:trPr>
        <w:tc>
          <w:tcPr>
            <w:tcW w:w="923" w:type="dxa"/>
            <w:tcBorders>
              <w:top w:val="nil"/>
              <w:left w:val="nil"/>
              <w:bottom w:val="nil"/>
              <w:right w:val="nil"/>
            </w:tcBorders>
            <w:shd w:val="clear" w:color="auto" w:fill="auto"/>
          </w:tcPr>
          <w:p w14:paraId="132666B7" w14:textId="77777777" w:rsidR="00B421FB" w:rsidRPr="007F7937" w:rsidRDefault="00B421FB" w:rsidP="00B421FB">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433F2FFB" w14:textId="77777777" w:rsidR="00B421FB" w:rsidRPr="007F7937" w:rsidRDefault="00B421FB" w:rsidP="00B421FB">
            <w:pPr>
              <w:jc w:val="center"/>
              <w:rPr>
                <w:rFonts w:ascii="David" w:hAnsi="David"/>
                <w:b/>
                <w:bCs/>
                <w:sz w:val="26"/>
                <w:szCs w:val="26"/>
                <w:rtl/>
              </w:rPr>
            </w:pPr>
          </w:p>
          <w:p w14:paraId="6A207E2F" w14:textId="77777777" w:rsidR="00B421FB" w:rsidRPr="007F7937" w:rsidRDefault="00B421FB" w:rsidP="00B421FB">
            <w:pPr>
              <w:jc w:val="center"/>
              <w:rPr>
                <w:rFonts w:ascii="David" w:hAnsi="David"/>
                <w:b/>
                <w:bCs/>
                <w:sz w:val="26"/>
                <w:szCs w:val="26"/>
                <w:rtl/>
              </w:rPr>
            </w:pPr>
            <w:r w:rsidRPr="007F7937">
              <w:rPr>
                <w:rFonts w:ascii="David" w:hAnsi="David"/>
                <w:b/>
                <w:bCs/>
                <w:sz w:val="26"/>
                <w:szCs w:val="26"/>
                <w:rtl/>
              </w:rPr>
              <w:t>נגד</w:t>
            </w:r>
          </w:p>
          <w:p w14:paraId="7B95AE48" w14:textId="77777777" w:rsidR="00B421FB" w:rsidRPr="007F7937" w:rsidRDefault="00B421FB" w:rsidP="00B421FB">
            <w:pPr>
              <w:jc w:val="both"/>
              <w:rPr>
                <w:rFonts w:ascii="David" w:hAnsi="David"/>
                <w:sz w:val="26"/>
                <w:szCs w:val="26"/>
              </w:rPr>
            </w:pPr>
          </w:p>
        </w:tc>
      </w:tr>
      <w:tr w:rsidR="00B421FB" w:rsidRPr="007F7937" w14:paraId="161D110D" w14:textId="77777777" w:rsidTr="00B421FB">
        <w:trPr>
          <w:trHeight w:val="355"/>
          <w:jc w:val="center"/>
        </w:trPr>
        <w:tc>
          <w:tcPr>
            <w:tcW w:w="923" w:type="dxa"/>
            <w:tcBorders>
              <w:top w:val="nil"/>
              <w:left w:val="nil"/>
              <w:bottom w:val="nil"/>
              <w:right w:val="nil"/>
            </w:tcBorders>
            <w:shd w:val="clear" w:color="auto" w:fill="auto"/>
          </w:tcPr>
          <w:p w14:paraId="567D1DC1" w14:textId="77777777" w:rsidR="00B421FB" w:rsidRPr="007F7937" w:rsidRDefault="00B421FB" w:rsidP="00DE031E">
            <w:pPr>
              <w:rPr>
                <w:rFonts w:ascii="David" w:hAnsi="David"/>
                <w:sz w:val="26"/>
                <w:szCs w:val="26"/>
                <w:rtl/>
              </w:rPr>
            </w:pPr>
          </w:p>
        </w:tc>
        <w:tc>
          <w:tcPr>
            <w:tcW w:w="3219" w:type="dxa"/>
            <w:tcBorders>
              <w:top w:val="nil"/>
              <w:left w:val="nil"/>
              <w:bottom w:val="nil"/>
              <w:right w:val="nil"/>
            </w:tcBorders>
            <w:shd w:val="clear" w:color="auto" w:fill="auto"/>
          </w:tcPr>
          <w:p w14:paraId="18EB5B2B" w14:textId="77777777" w:rsidR="00B421FB" w:rsidRPr="007F7937" w:rsidRDefault="00B421FB" w:rsidP="00DE031E">
            <w:pPr>
              <w:rPr>
                <w:rFonts w:ascii="Arial" w:hAnsi="Arial"/>
                <w:b/>
                <w:bCs/>
                <w:sz w:val="26"/>
                <w:szCs w:val="26"/>
                <w:rtl/>
              </w:rPr>
            </w:pPr>
            <w:r w:rsidRPr="007F7937">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1815433C" w14:textId="77777777" w:rsidR="00B421FB" w:rsidRPr="007F7937" w:rsidRDefault="00B421FB" w:rsidP="00B421FB">
            <w:pPr>
              <w:suppressLineNumbers/>
              <w:rPr>
                <w:rFonts w:ascii="Arial" w:hAnsi="Arial"/>
                <w:b/>
                <w:bCs/>
                <w:sz w:val="26"/>
                <w:szCs w:val="26"/>
                <w:rtl/>
              </w:rPr>
            </w:pPr>
            <w:r w:rsidRPr="007F7937">
              <w:rPr>
                <w:rFonts w:ascii="Arial" w:hAnsi="Arial"/>
                <w:b/>
                <w:bCs/>
                <w:sz w:val="26"/>
                <w:szCs w:val="26"/>
                <w:rtl/>
              </w:rPr>
              <w:t xml:space="preserve">באסל אבו סעד (עציר) – הובא </w:t>
            </w:r>
            <w:r w:rsidRPr="007F7937">
              <w:rPr>
                <w:rFonts w:ascii="Arial" w:hAnsi="Arial" w:hint="cs"/>
                <w:b/>
                <w:bCs/>
                <w:sz w:val="26"/>
                <w:szCs w:val="26"/>
                <w:rtl/>
              </w:rPr>
              <w:t xml:space="preserve">ע"י שב"ס </w:t>
            </w:r>
          </w:p>
          <w:p w14:paraId="02C11AA2" w14:textId="77777777" w:rsidR="00B421FB" w:rsidRPr="007F7937" w:rsidRDefault="00B421FB" w:rsidP="00B421FB">
            <w:pPr>
              <w:suppressLineNumbers/>
            </w:pPr>
            <w:r w:rsidRPr="007F7937">
              <w:rPr>
                <w:rFonts w:ascii="Arial" w:hAnsi="Arial"/>
                <w:b/>
                <w:bCs/>
                <w:sz w:val="26"/>
                <w:szCs w:val="26"/>
                <w:rtl/>
              </w:rPr>
              <w:t>ע"י ב"כ עו"</w:t>
            </w:r>
            <w:r w:rsidRPr="007F7937">
              <w:rPr>
                <w:rFonts w:ascii="Arial" w:hAnsi="Arial" w:hint="cs"/>
                <w:b/>
                <w:bCs/>
                <w:sz w:val="26"/>
                <w:szCs w:val="26"/>
                <w:rtl/>
              </w:rPr>
              <w:t>ד זקי אלעוברה</w:t>
            </w:r>
          </w:p>
          <w:p w14:paraId="4527776B" w14:textId="77777777" w:rsidR="00B421FB" w:rsidRPr="007F7937" w:rsidRDefault="00B421FB" w:rsidP="00DE031E">
            <w:pPr>
              <w:rPr>
                <w:rFonts w:ascii="David" w:hAnsi="David"/>
                <w:sz w:val="26"/>
                <w:szCs w:val="26"/>
              </w:rPr>
            </w:pPr>
          </w:p>
        </w:tc>
      </w:tr>
    </w:tbl>
    <w:p w14:paraId="7423EDA5" w14:textId="77777777" w:rsidR="007F7937" w:rsidRPr="007F7937" w:rsidRDefault="007F7937" w:rsidP="007F7937">
      <w:pPr>
        <w:spacing w:before="120" w:after="120" w:line="240" w:lineRule="exact"/>
        <w:ind w:left="283" w:hanging="283"/>
        <w:jc w:val="both"/>
        <w:rPr>
          <w:rFonts w:ascii="FrankRuehl" w:hAnsi="FrankRuehl" w:cs="FrankRuehl"/>
          <w:rtl/>
        </w:rPr>
      </w:pPr>
    </w:p>
    <w:p w14:paraId="2160CF8D" w14:textId="77777777" w:rsidR="007F7937" w:rsidRPr="007F7937" w:rsidRDefault="007F7937" w:rsidP="007F7937">
      <w:pPr>
        <w:rPr>
          <w:sz w:val="26"/>
          <w:szCs w:val="26"/>
          <w:rtl/>
        </w:rPr>
      </w:pPr>
    </w:p>
    <w:p w14:paraId="1A070A66" w14:textId="77777777" w:rsidR="00AB30D0" w:rsidRPr="00AB30D0" w:rsidRDefault="00AB30D0" w:rsidP="00AB30D0">
      <w:pPr>
        <w:spacing w:before="120" w:after="120" w:line="240" w:lineRule="exact"/>
        <w:ind w:left="283" w:hanging="283"/>
        <w:jc w:val="both"/>
        <w:rPr>
          <w:rFonts w:ascii="FrankRuehl" w:hAnsi="FrankRuehl" w:cs="FrankRuehl"/>
          <w:rtl/>
        </w:rPr>
      </w:pPr>
      <w:bookmarkStart w:id="3" w:name="LawTable"/>
      <w:bookmarkEnd w:id="3"/>
    </w:p>
    <w:p w14:paraId="1B26AB0C" w14:textId="77777777" w:rsidR="00AB30D0" w:rsidRPr="00AB30D0" w:rsidRDefault="00AB30D0" w:rsidP="00AB30D0">
      <w:pPr>
        <w:spacing w:before="120" w:after="120" w:line="240" w:lineRule="exact"/>
        <w:ind w:left="283" w:hanging="283"/>
        <w:jc w:val="both"/>
        <w:rPr>
          <w:rFonts w:ascii="FrankRuehl" w:hAnsi="FrankRuehl" w:cs="FrankRuehl"/>
          <w:rtl/>
        </w:rPr>
      </w:pPr>
      <w:r w:rsidRPr="00AB30D0">
        <w:rPr>
          <w:rFonts w:ascii="FrankRuehl" w:hAnsi="FrankRuehl" w:cs="FrankRuehl"/>
          <w:rtl/>
        </w:rPr>
        <w:t xml:space="preserve">חקיקה שאוזכרה: </w:t>
      </w:r>
    </w:p>
    <w:p w14:paraId="357CA37B" w14:textId="77777777" w:rsidR="00AB30D0" w:rsidRPr="00AB30D0" w:rsidRDefault="00AB30D0" w:rsidP="00AB30D0">
      <w:pPr>
        <w:spacing w:before="120" w:after="120" w:line="240" w:lineRule="exact"/>
        <w:ind w:left="283" w:hanging="283"/>
        <w:jc w:val="both"/>
        <w:rPr>
          <w:rFonts w:ascii="FrankRuehl" w:hAnsi="FrankRuehl" w:cs="FrankRuehl"/>
          <w:color w:val="0000FF"/>
          <w:rtl/>
        </w:rPr>
      </w:pPr>
      <w:hyperlink r:id="rId7" w:history="1">
        <w:r w:rsidRPr="00AB30D0">
          <w:rPr>
            <w:rStyle w:val="Hyperlink"/>
            <w:rFonts w:ascii="FrankRuehl" w:hAnsi="FrankRuehl" w:cs="FrankRuehl"/>
            <w:u w:val="none"/>
            <w:rtl/>
          </w:rPr>
          <w:t>חוק העונשין, תשל"ז-1977</w:t>
        </w:r>
      </w:hyperlink>
      <w:r w:rsidRPr="00AB30D0">
        <w:rPr>
          <w:rFonts w:ascii="FrankRuehl" w:hAnsi="FrankRuehl" w:cs="FrankRuehl"/>
          <w:color w:val="0000FF"/>
          <w:rtl/>
        </w:rPr>
        <w:t xml:space="preserve">: סע'  </w:t>
      </w:r>
      <w:hyperlink r:id="rId8" w:history="1">
        <w:r w:rsidRPr="00AB30D0">
          <w:rPr>
            <w:rStyle w:val="Hyperlink"/>
            <w:rFonts w:ascii="FrankRuehl" w:hAnsi="FrankRuehl" w:cs="FrankRuehl"/>
            <w:u w:val="none"/>
          </w:rPr>
          <w:t xml:space="preserve">40 </w:t>
        </w:r>
        <w:r w:rsidRPr="00AB30D0">
          <w:rPr>
            <w:rStyle w:val="Hyperlink"/>
            <w:rFonts w:ascii="FrankRuehl" w:hAnsi="FrankRuehl" w:cs="FrankRuehl"/>
            <w:u w:val="none"/>
            <w:rtl/>
          </w:rPr>
          <w:t>ט</w:t>
        </w:r>
        <w:r w:rsidRPr="00AB30D0">
          <w:rPr>
            <w:rStyle w:val="Hyperlink"/>
            <w:rFonts w:ascii="FrankRuehl" w:hAnsi="FrankRuehl" w:cs="FrankRuehl"/>
            <w:u w:val="none"/>
          </w:rPr>
          <w:t>'</w:t>
        </w:r>
      </w:hyperlink>
      <w:r w:rsidRPr="00AB30D0">
        <w:rPr>
          <w:rFonts w:ascii="FrankRuehl" w:hAnsi="FrankRuehl" w:cs="FrankRuehl"/>
          <w:color w:val="0000FF"/>
          <w:rtl/>
        </w:rPr>
        <w:t xml:space="preserve">, </w:t>
      </w:r>
      <w:hyperlink r:id="rId9" w:history="1">
        <w:r w:rsidRPr="00AB30D0">
          <w:rPr>
            <w:rStyle w:val="Hyperlink"/>
            <w:rFonts w:ascii="FrankRuehl" w:hAnsi="FrankRuehl" w:cs="FrankRuehl"/>
            <w:u w:val="none"/>
          </w:rPr>
          <w:t xml:space="preserve">144 </w:t>
        </w:r>
      </w:hyperlink>
      <w:r w:rsidRPr="00AB30D0">
        <w:rPr>
          <w:rFonts w:ascii="FrankRuehl" w:hAnsi="FrankRuehl" w:cs="FrankRuehl"/>
          <w:color w:val="0000FF"/>
          <w:rtl/>
        </w:rPr>
        <w:t xml:space="preserve">(א), </w:t>
      </w:r>
      <w:hyperlink r:id="rId10" w:history="1">
        <w:r w:rsidRPr="00AB30D0">
          <w:rPr>
            <w:rStyle w:val="Hyperlink"/>
            <w:rFonts w:ascii="FrankRuehl" w:hAnsi="FrankRuehl" w:cs="FrankRuehl"/>
            <w:u w:val="none"/>
          </w:rPr>
          <w:t xml:space="preserve">40 </w:t>
        </w:r>
        <w:r w:rsidRPr="00AB30D0">
          <w:rPr>
            <w:rStyle w:val="Hyperlink"/>
            <w:rFonts w:ascii="FrankRuehl" w:hAnsi="FrankRuehl" w:cs="FrankRuehl"/>
            <w:u w:val="none"/>
            <w:rtl/>
          </w:rPr>
          <w:t>יא</w:t>
        </w:r>
        <w:r w:rsidRPr="00AB30D0">
          <w:rPr>
            <w:rStyle w:val="Hyperlink"/>
            <w:rFonts w:ascii="FrankRuehl" w:hAnsi="FrankRuehl" w:cs="FrankRuehl"/>
            <w:u w:val="none"/>
          </w:rPr>
          <w:t>'</w:t>
        </w:r>
      </w:hyperlink>
    </w:p>
    <w:p w14:paraId="09988166" w14:textId="77777777" w:rsidR="00AB30D0" w:rsidRPr="00AB30D0" w:rsidRDefault="00AB30D0" w:rsidP="00AB30D0">
      <w:pPr>
        <w:spacing w:before="120" w:after="120" w:line="240" w:lineRule="exact"/>
        <w:ind w:left="283" w:hanging="283"/>
        <w:jc w:val="both"/>
        <w:rPr>
          <w:rFonts w:ascii="FrankRuehl" w:hAnsi="FrankRuehl" w:cs="FrankRuehl"/>
          <w:color w:val="0000FF"/>
          <w:rtl/>
        </w:rPr>
      </w:pPr>
      <w:hyperlink r:id="rId11" w:history="1">
        <w:r w:rsidRPr="00AB30D0">
          <w:rPr>
            <w:rStyle w:val="Hyperlink"/>
            <w:rFonts w:ascii="FrankRuehl" w:hAnsi="FrankRuehl" w:cs="FrankRuehl"/>
            <w:u w:val="none"/>
            <w:rtl/>
          </w:rPr>
          <w:t>פקודת סדר הדין הפלילי (מעצר וחיפוש) [נוסח חדש], תשכ"ט-1969</w:t>
        </w:r>
      </w:hyperlink>
      <w:r w:rsidRPr="00AB30D0">
        <w:rPr>
          <w:rFonts w:ascii="FrankRuehl" w:hAnsi="FrankRuehl" w:cs="FrankRuehl"/>
          <w:color w:val="0000FF"/>
          <w:rtl/>
        </w:rPr>
        <w:t xml:space="preserve">: סע'  </w:t>
      </w:r>
      <w:hyperlink r:id="rId12" w:history="1">
        <w:r w:rsidRPr="00AB30D0">
          <w:rPr>
            <w:rStyle w:val="Hyperlink"/>
            <w:rFonts w:ascii="FrankRuehl" w:hAnsi="FrankRuehl" w:cs="FrankRuehl"/>
            <w:u w:val="none"/>
          </w:rPr>
          <w:t>39</w:t>
        </w:r>
      </w:hyperlink>
    </w:p>
    <w:p w14:paraId="3AA8E61E" w14:textId="77777777" w:rsidR="00B421FB" w:rsidRDefault="00B421FB" w:rsidP="00AB30D0">
      <w:pPr>
        <w:rPr>
          <w:rFonts w:hint="cs"/>
          <w:sz w:val="26"/>
          <w:szCs w:val="26"/>
          <w:rtl/>
        </w:rPr>
      </w:pPr>
      <w:bookmarkStart w:id="4" w:name="LawTable_End"/>
      <w:bookmarkEnd w:id="4"/>
    </w:p>
    <w:p w14:paraId="7C90F259" w14:textId="77777777" w:rsidR="00AB30D0" w:rsidRDefault="00AB30D0" w:rsidP="00AB30D0">
      <w:pPr>
        <w:rPr>
          <w:rFonts w:hint="cs"/>
          <w:sz w:val="26"/>
          <w:szCs w:val="26"/>
          <w:rtl/>
        </w:rPr>
      </w:pPr>
    </w:p>
    <w:p w14:paraId="5FAE3E49" w14:textId="77777777" w:rsidR="00AB30D0" w:rsidRDefault="00AB30D0" w:rsidP="00AB30D0">
      <w:pPr>
        <w:rPr>
          <w:rFonts w:hint="cs"/>
          <w:sz w:val="26"/>
          <w:szCs w:val="26"/>
          <w:rtl/>
        </w:rPr>
      </w:pPr>
    </w:p>
    <w:p w14:paraId="3A985D66" w14:textId="77777777" w:rsidR="00AB30D0" w:rsidRPr="00AB30D0" w:rsidRDefault="00AB30D0" w:rsidP="00AB30D0">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421FB" w14:paraId="43A130AE" w14:textId="77777777" w:rsidTr="00B421FB">
        <w:trPr>
          <w:trHeight w:val="355"/>
          <w:jc w:val="center"/>
        </w:trPr>
        <w:tc>
          <w:tcPr>
            <w:tcW w:w="8820" w:type="dxa"/>
            <w:tcBorders>
              <w:top w:val="nil"/>
              <w:left w:val="nil"/>
              <w:bottom w:val="nil"/>
              <w:right w:val="nil"/>
            </w:tcBorders>
            <w:shd w:val="clear" w:color="auto" w:fill="auto"/>
          </w:tcPr>
          <w:p w14:paraId="0243D498" w14:textId="77777777" w:rsidR="007F7937" w:rsidRPr="007F7937" w:rsidRDefault="007F7937" w:rsidP="007F7937">
            <w:pPr>
              <w:jc w:val="center"/>
              <w:rPr>
                <w:rFonts w:ascii="David" w:hAnsi="David"/>
                <w:b/>
                <w:bCs/>
                <w:sz w:val="32"/>
                <w:szCs w:val="32"/>
                <w:u w:val="single"/>
                <w:rtl/>
              </w:rPr>
            </w:pPr>
            <w:bookmarkStart w:id="5" w:name="PsakDin" w:colFirst="0" w:colLast="0"/>
            <w:r w:rsidRPr="007F7937">
              <w:rPr>
                <w:rFonts w:ascii="David" w:hAnsi="David"/>
                <w:b/>
                <w:bCs/>
                <w:sz w:val="32"/>
                <w:szCs w:val="32"/>
                <w:u w:val="single"/>
                <w:rtl/>
              </w:rPr>
              <w:t>גזר דין</w:t>
            </w:r>
          </w:p>
          <w:p w14:paraId="7F3F8A14" w14:textId="77777777" w:rsidR="00B421FB" w:rsidRPr="007F7937" w:rsidRDefault="00B421FB" w:rsidP="007F7937">
            <w:pPr>
              <w:jc w:val="center"/>
              <w:rPr>
                <w:rFonts w:ascii="David" w:hAnsi="David"/>
                <w:bCs/>
                <w:sz w:val="32"/>
                <w:szCs w:val="32"/>
                <w:u w:val="single"/>
                <w:rtl/>
              </w:rPr>
            </w:pPr>
          </w:p>
        </w:tc>
      </w:tr>
      <w:bookmarkEnd w:id="5"/>
    </w:tbl>
    <w:p w14:paraId="19D56718" w14:textId="77777777" w:rsidR="00B421FB" w:rsidRPr="000F2247" w:rsidRDefault="00B421FB" w:rsidP="00B421FB">
      <w:pPr>
        <w:rPr>
          <w:rFonts w:ascii="Arial" w:hAnsi="Arial"/>
          <w:b/>
          <w:bCs/>
          <w:sz w:val="26"/>
          <w:szCs w:val="26"/>
          <w:rtl/>
        </w:rPr>
      </w:pPr>
    </w:p>
    <w:p w14:paraId="2AE0BC11" w14:textId="77777777" w:rsidR="00B421FB" w:rsidRPr="000F2247" w:rsidRDefault="00B421FB" w:rsidP="00B421FB">
      <w:pPr>
        <w:rPr>
          <w:rFonts w:ascii="Arial" w:hAnsi="Arial"/>
          <w:b/>
          <w:bCs/>
          <w:sz w:val="26"/>
          <w:szCs w:val="26"/>
          <w:rtl/>
        </w:rPr>
      </w:pPr>
      <w:bookmarkStart w:id="6" w:name="ABSTRACT_START"/>
      <w:bookmarkEnd w:id="6"/>
    </w:p>
    <w:p w14:paraId="0A9BA26F" w14:textId="77777777" w:rsidR="00B421FB" w:rsidRDefault="00B421FB" w:rsidP="00B421FB">
      <w:pPr>
        <w:numPr>
          <w:ilvl w:val="0"/>
          <w:numId w:val="1"/>
        </w:numPr>
        <w:spacing w:after="120" w:line="360" w:lineRule="auto"/>
        <w:jc w:val="both"/>
        <w:rPr>
          <w:rFonts w:ascii="David" w:hAnsi="David"/>
          <w:color w:val="000000"/>
          <w:rtl/>
        </w:rPr>
      </w:pPr>
      <w:r>
        <w:rPr>
          <w:rFonts w:ascii="David" w:hAnsi="David"/>
          <w:color w:val="000000"/>
          <w:rtl/>
        </w:rPr>
        <w:t xml:space="preserve">הנאשם הורשע בהתאם להודאתו בעובדות כתב האישום המתוקן בעבירה של </w:t>
      </w:r>
      <w:r>
        <w:rPr>
          <w:rFonts w:ascii="David" w:hAnsi="David"/>
          <w:b/>
          <w:bCs/>
          <w:color w:val="000000"/>
          <w:rtl/>
        </w:rPr>
        <w:t>החזקת תחמושת</w:t>
      </w:r>
      <w:r>
        <w:rPr>
          <w:rFonts w:ascii="David" w:hAnsi="David"/>
          <w:color w:val="000000"/>
          <w:rtl/>
        </w:rPr>
        <w:t xml:space="preserve">, לפי סעיף </w:t>
      </w:r>
      <w:hyperlink r:id="rId13" w:history="1">
        <w:r w:rsidR="00AB30D0" w:rsidRPr="00AB30D0">
          <w:rPr>
            <w:rStyle w:val="Hyperlink"/>
            <w:rFonts w:ascii="David" w:hAnsi="David"/>
            <w:color w:val="0000FF"/>
            <w:rtl/>
          </w:rPr>
          <w:t>144 (א)</w:t>
        </w:r>
      </w:hyperlink>
      <w:r>
        <w:rPr>
          <w:rFonts w:ascii="David" w:hAnsi="David"/>
          <w:color w:val="000000"/>
          <w:rtl/>
        </w:rPr>
        <w:t xml:space="preserve"> סיפא  ל</w:t>
      </w:r>
      <w:hyperlink r:id="rId14" w:history="1">
        <w:r w:rsidR="007F7937" w:rsidRPr="007F7937">
          <w:rPr>
            <w:rFonts w:ascii="David" w:hAnsi="David"/>
            <w:color w:val="0000FF"/>
            <w:u w:val="single"/>
            <w:rtl/>
          </w:rPr>
          <w:t>חוק העונשין</w:t>
        </w:r>
      </w:hyperlink>
      <w:r>
        <w:rPr>
          <w:rFonts w:ascii="David" w:hAnsi="David"/>
          <w:color w:val="000000"/>
          <w:rtl/>
        </w:rPr>
        <w:t>, תשל"ז-1977.</w:t>
      </w:r>
    </w:p>
    <w:p w14:paraId="0FB33007" w14:textId="77777777" w:rsidR="00B421FB" w:rsidRDefault="00B421FB" w:rsidP="00B421FB">
      <w:pPr>
        <w:numPr>
          <w:ilvl w:val="0"/>
          <w:numId w:val="1"/>
        </w:numPr>
        <w:spacing w:after="120" w:line="360" w:lineRule="auto"/>
        <w:jc w:val="both"/>
        <w:rPr>
          <w:rFonts w:ascii="David" w:hAnsi="David"/>
          <w:color w:val="000000"/>
        </w:rPr>
      </w:pPr>
      <w:r>
        <w:rPr>
          <w:rFonts w:ascii="David" w:hAnsi="David"/>
          <w:color w:val="000000"/>
          <w:rtl/>
        </w:rPr>
        <w:t xml:space="preserve">על-פי המתואר בעובדות כתב האישום המתוקן, </w:t>
      </w:r>
      <w:r>
        <w:rPr>
          <w:rFonts w:ascii="David" w:hAnsi="David"/>
          <w:b/>
          <w:bCs/>
          <w:color w:val="000000"/>
          <w:rtl/>
        </w:rPr>
        <w:t xml:space="preserve">ביום 30.08.24 הגיע הנאשם למעבר מיתר בעודו נוהג ברכב אשר בבעלותו, במעמד זה נמצא הנאשם מחזיק במושב האחורי של הרכב ארגז תחמושת שהכיל קופסאות ובתוכן 500 כדורים מסוג 5.56 מ"מ וכן החזיק בתא המטען של הרכב 2 ארגזי תחמושת נוספים, שבכל אחד מהם 990 כדורים מסוג 5.56 מ"מ.   </w:t>
      </w:r>
    </w:p>
    <w:p w14:paraId="68463CC1" w14:textId="77777777" w:rsidR="00B421FB" w:rsidRDefault="00B421FB" w:rsidP="00B421FB">
      <w:pPr>
        <w:numPr>
          <w:ilvl w:val="0"/>
          <w:numId w:val="1"/>
        </w:numPr>
        <w:spacing w:after="120" w:line="360" w:lineRule="auto"/>
        <w:jc w:val="both"/>
        <w:rPr>
          <w:rFonts w:ascii="David" w:hAnsi="David"/>
          <w:b/>
          <w:bCs/>
          <w:color w:val="000000"/>
          <w:u w:val="single"/>
        </w:rPr>
      </w:pPr>
      <w:bookmarkStart w:id="7" w:name="ABSTRACT_END"/>
      <w:bookmarkEnd w:id="7"/>
      <w:r>
        <w:rPr>
          <w:rFonts w:ascii="David" w:hAnsi="David"/>
          <w:color w:val="000000"/>
          <w:rtl/>
        </w:rPr>
        <w:t xml:space="preserve">בתאריך 13.01.25 הציגו הצדדים הסדר דיוני לפיו הוגש כתב אישום מתוקן, הנאשם הודה והורשע בכתב האישום המתוקן. לא הוצגו הסכמות עונשיות.  </w:t>
      </w:r>
    </w:p>
    <w:p w14:paraId="6995AB80" w14:textId="77777777" w:rsidR="00B421FB" w:rsidRDefault="00B421FB" w:rsidP="00B421FB">
      <w:pPr>
        <w:spacing w:after="120" w:line="360" w:lineRule="auto"/>
        <w:jc w:val="both"/>
        <w:rPr>
          <w:bCs/>
          <w:u w:val="single"/>
          <w:rtl/>
          <w:lang w:eastAsia="he-IL"/>
        </w:rPr>
      </w:pPr>
    </w:p>
    <w:p w14:paraId="2DE14337" w14:textId="77777777" w:rsidR="00B421FB" w:rsidRDefault="00B421FB" w:rsidP="00B421FB">
      <w:pPr>
        <w:spacing w:after="120" w:line="360" w:lineRule="auto"/>
        <w:jc w:val="both"/>
        <w:rPr>
          <w:bCs/>
          <w:u w:val="single"/>
          <w:lang w:eastAsia="he-IL"/>
        </w:rPr>
      </w:pPr>
      <w:r>
        <w:rPr>
          <w:bCs/>
          <w:u w:val="single"/>
          <w:rtl/>
          <w:lang w:eastAsia="he-IL"/>
        </w:rPr>
        <w:t>טיעוני הצדדים</w:t>
      </w:r>
    </w:p>
    <w:p w14:paraId="35DC562B" w14:textId="77777777" w:rsidR="00B421FB" w:rsidRDefault="00B421FB" w:rsidP="00B421FB">
      <w:pPr>
        <w:numPr>
          <w:ilvl w:val="0"/>
          <w:numId w:val="1"/>
        </w:numPr>
        <w:spacing w:after="120" w:line="360" w:lineRule="auto"/>
        <w:jc w:val="both"/>
        <w:rPr>
          <w:rFonts w:ascii="David" w:hAnsi="David"/>
          <w:color w:val="000000"/>
          <w:rtl/>
        </w:rPr>
      </w:pPr>
      <w:r>
        <w:rPr>
          <w:rFonts w:ascii="David" w:hAnsi="David"/>
          <w:color w:val="000000"/>
          <w:rtl/>
        </w:rPr>
        <w:t xml:space="preserve">המאשימה עמדה על נסיבות כתב האישום, הערכים המוגנים שנפגעו ומידת הפגיעה בהם, המאשימה ציינה שמדובר במעשה מתוכנן במסגרתו העמיד הנאשם את רכבו לצורך ביצוע העבירה, המאשימה הדגישה את הכמות הרבה של הכדורים שהחזיק הנאשם אשר הצריכו שינוע באמצעות כלי תחבורה. המאשימה ציינה שחלק מארגזי התחמושת הוטמנו בתא המטען כדי למנוע גילויים. לטענת המאשימה מטרתו של הנאשם הייתה להעביר הכדורים לשטחי יהודה ושומרון. המאשימה הדגישה הנזק שעלול היה להיגרם לולא הנאשם היה מעביר התחמושת במחסום, כאשר במקרה החמור הייתה מועברת התחמושת לגורמים ביטחוניים עוינים ובמקרה הקל לגורמים עבריינים. המאשימה עתרה לקביעת מתחם ענישה הנע בין 14 ל 28 חודשי מאסר בפועל והפנתה לפסיקה. המאשימה ציינה כי הנאשם נעדר עבר פלילי, לא הוגש תסקיר בעניינו. לפיכך, עתרה למקם עונשו בשליש התחתון של המתחם ולהטיל עליו מאסר בפועל בצירוף ענישה נלווית הכולל פסילה בפועל ופסילה על תנאי. </w:t>
      </w:r>
    </w:p>
    <w:p w14:paraId="60E28A82" w14:textId="77777777" w:rsidR="00B421FB" w:rsidRDefault="00B421FB" w:rsidP="00B421FB">
      <w:pPr>
        <w:spacing w:line="360" w:lineRule="auto"/>
        <w:ind w:left="720"/>
        <w:jc w:val="both"/>
      </w:pPr>
      <w:r>
        <w:rPr>
          <w:rtl/>
        </w:rPr>
        <w:t xml:space="preserve">בנוסף עתרה המאשימה לחילוט רכבו של הנאשם, תוך מתן דגש לכך שהתקיימו במקרה זה התנאים הנדרשים לחילוט. הנאשם הוא בעל הרכב, עשה שימוש ברכב בכך שהוביל את התחמושת ברכבו. הרכב שימש ככלי אינטגרלי בביצוע העבירה נוכח כמות התחמושת שלא ניתן לשנע שלא באמצעות רכב וכן הרכב שימש להסוואת התחמושת. </w:t>
      </w:r>
    </w:p>
    <w:p w14:paraId="6DE883BA" w14:textId="77777777" w:rsidR="00B421FB" w:rsidRDefault="00B421FB" w:rsidP="00B421FB">
      <w:pPr>
        <w:pStyle w:val="a"/>
        <w:rPr>
          <w:rtl/>
        </w:rPr>
      </w:pPr>
      <w:r>
        <w:rPr>
          <w:rFonts w:hint="cs"/>
          <w:rtl/>
        </w:rPr>
        <w:t xml:space="preserve">ב"כ הנאשם ביקש בפתח טיעוניו לחדד הנקודה לפיה המאשימה אינה יכולה לטעון לגבי מטרה החזקת התחמושת הואיל ונתון זה אינו מפורט בכתב האישום המתוקן וכי כל שהעלתה הינו בגדר סברה שאינה מגובה בראיות ו/או אינה נסיבה מוסכמת. </w:t>
      </w:r>
    </w:p>
    <w:p w14:paraId="0C1262FF" w14:textId="77777777" w:rsidR="00B421FB" w:rsidRDefault="00B421FB" w:rsidP="00B421FB">
      <w:pPr>
        <w:spacing w:line="360" w:lineRule="auto"/>
        <w:ind w:left="720"/>
        <w:jc w:val="both"/>
        <w:rPr>
          <w:rtl/>
        </w:rPr>
      </w:pPr>
      <w:r>
        <w:rPr>
          <w:rtl/>
        </w:rPr>
        <w:t xml:space="preserve">ב"כ הנאשם טען כי מקרה זה אינו מצדיק את העתירה לחילוט הרכב, אין בעובדות כתב האישום ובהוראות החיקוק עבירה של הסתייעות ברכב. פסק הדין אליו הפנתה המאשימה דן בהחזקת נשק ותחמושת, המאשימה לא הציגה פסיקה הדנה במקרה של חילוט כאשר מדובר בתחמושת בלבד. </w:t>
      </w:r>
    </w:p>
    <w:p w14:paraId="386C7DD2" w14:textId="77777777" w:rsidR="00B421FB" w:rsidRDefault="00B421FB" w:rsidP="00B421FB">
      <w:pPr>
        <w:spacing w:line="360" w:lineRule="auto"/>
        <w:ind w:left="720"/>
        <w:jc w:val="both"/>
        <w:rPr>
          <w:rtl/>
        </w:rPr>
      </w:pPr>
      <w:r>
        <w:rPr>
          <w:rtl/>
        </w:rPr>
        <w:t xml:space="preserve">בהתייחס למתחם הענישה עתר לקביעת מתחם הנע בין 8 ל 18 חודשי מאסר בפועל, ב"כ הנאשם טען שקביעת המתחם נעשה, בין היתר, כפרמטר של תוצאת הנזק ובמקרה זה לא קרה כל נזק הואיל והתחמושת נתפסה. </w:t>
      </w:r>
    </w:p>
    <w:p w14:paraId="3523A912" w14:textId="77777777" w:rsidR="00B421FB" w:rsidRDefault="00B421FB" w:rsidP="00B421FB">
      <w:pPr>
        <w:spacing w:line="360" w:lineRule="auto"/>
        <w:ind w:left="720"/>
        <w:jc w:val="both"/>
        <w:rPr>
          <w:rtl/>
        </w:rPr>
      </w:pPr>
      <w:r>
        <w:rPr>
          <w:rtl/>
        </w:rPr>
        <w:t xml:space="preserve">עוד נטען על ידי ב"כ הנאשם לנסיבותיו האישיות של הנאשם, נעדר עבר פלילי, מנהל אורח חיים נורמטיבי ותקין, הנאשם הביע הסכמה למעצר עד תום הליכים כחלק מתהליך לקיחת האחריות ומתוך רצונו להביא לסיום ההליך הפלילי מהר ככל שניתן, נוכח האמור ביקש למקם עונשו ברף התחתון של המתחם לו עתר. </w:t>
      </w:r>
    </w:p>
    <w:p w14:paraId="3419F1D4" w14:textId="77777777" w:rsidR="00B421FB" w:rsidRDefault="00B421FB" w:rsidP="00B421FB">
      <w:pPr>
        <w:spacing w:line="360" w:lineRule="auto"/>
        <w:ind w:left="720"/>
        <w:jc w:val="both"/>
        <w:rPr>
          <w:rtl/>
        </w:rPr>
      </w:pPr>
      <w:r>
        <w:rPr>
          <w:rtl/>
        </w:rPr>
        <w:t xml:space="preserve">הנאשם בדברו טרם גזירת עונשו, הביע חרטה, נטל אחריות למעשיו והבטיח שלא יקרה לעולם דבר דומה. ציין שלמד מהטעות ומבין שעליו לשלם על כך אך ביקש כי בית המשפט יתחשב בו, ציין שהוא צריך לפרנס אשתו וילדיו, ציין שאשתו מוכרת כנכה וזקוקה לעזרתו. </w:t>
      </w:r>
    </w:p>
    <w:p w14:paraId="625F2722" w14:textId="77777777" w:rsidR="00B421FB" w:rsidRDefault="00B421FB" w:rsidP="00B421FB">
      <w:pPr>
        <w:spacing w:after="120" w:line="360" w:lineRule="auto"/>
        <w:jc w:val="both"/>
        <w:rPr>
          <w:bCs/>
          <w:u w:val="single"/>
          <w:rtl/>
          <w:lang w:eastAsia="he-IL"/>
        </w:rPr>
      </w:pPr>
    </w:p>
    <w:p w14:paraId="776D2A60" w14:textId="77777777" w:rsidR="00B421FB" w:rsidRDefault="00B421FB" w:rsidP="00B421FB">
      <w:pPr>
        <w:spacing w:after="120" w:line="360" w:lineRule="auto"/>
        <w:jc w:val="both"/>
        <w:rPr>
          <w:bCs/>
          <w:u w:val="single"/>
          <w:rtl/>
          <w:lang w:eastAsia="he-IL"/>
        </w:rPr>
      </w:pPr>
      <w:r>
        <w:rPr>
          <w:bCs/>
          <w:u w:val="single"/>
          <w:rtl/>
          <w:lang w:eastAsia="he-IL"/>
        </w:rPr>
        <w:t>דיון - קביעת מתחם העונש ההולם</w:t>
      </w:r>
    </w:p>
    <w:p w14:paraId="31FF9BB6" w14:textId="77777777" w:rsidR="00B421FB" w:rsidRDefault="00B421FB" w:rsidP="00B421FB">
      <w:pPr>
        <w:numPr>
          <w:ilvl w:val="0"/>
          <w:numId w:val="1"/>
        </w:numPr>
        <w:spacing w:after="120" w:line="360" w:lineRule="auto"/>
        <w:jc w:val="both"/>
        <w:rPr>
          <w:rFonts w:ascii="David" w:hAnsi="David"/>
          <w:color w:val="000000"/>
        </w:rPr>
      </w:pPr>
      <w:r>
        <w:rPr>
          <w:rFonts w:ascii="David" w:hAnsi="David"/>
          <w:color w:val="000000"/>
          <w:rtl/>
        </w:rPr>
        <w:t xml:space="preserve">כתב האישום מתאר אירוע אחד, ומכאן שיש לקבוע בגינו </w:t>
      </w:r>
      <w:r>
        <w:rPr>
          <w:rFonts w:ascii="David" w:hAnsi="David"/>
          <w:b/>
          <w:bCs/>
          <w:color w:val="000000"/>
          <w:rtl/>
        </w:rPr>
        <w:t>מתחם עונש הולם אחד</w:t>
      </w:r>
      <w:r>
        <w:rPr>
          <w:rFonts w:ascii="David" w:hAnsi="David"/>
          <w:color w:val="000000"/>
          <w:rtl/>
        </w:rPr>
        <w:t xml:space="preserve">. </w:t>
      </w:r>
    </w:p>
    <w:p w14:paraId="36057241" w14:textId="77777777" w:rsidR="00B421FB" w:rsidRDefault="00B421FB" w:rsidP="00B421FB">
      <w:pPr>
        <w:numPr>
          <w:ilvl w:val="0"/>
          <w:numId w:val="1"/>
        </w:numPr>
        <w:spacing w:after="120" w:line="360" w:lineRule="auto"/>
        <w:ind w:left="707"/>
        <w:jc w:val="both"/>
        <w:rPr>
          <w:rFonts w:ascii="David" w:hAnsi="David"/>
          <w:color w:val="000000"/>
        </w:rPr>
      </w:pPr>
      <w:r>
        <w:rPr>
          <w:rFonts w:ascii="David" w:hAnsi="David"/>
          <w:b/>
          <w:bCs/>
          <w:color w:val="000000"/>
          <w:rtl/>
        </w:rPr>
        <w:t xml:space="preserve">הערך החברתי </w:t>
      </w:r>
      <w:r>
        <w:rPr>
          <w:rFonts w:ascii="David" w:hAnsi="David"/>
          <w:color w:val="000000"/>
          <w:rtl/>
        </w:rPr>
        <w:t>אשר נפגע הוא הגנה על בטחון הציבור. החזקת תחמושת יוצרת סיכון שיעשה שימוש בתחמושת למטרות פסולות, פליליות או ביטחוניות, לרבות פגיעה בגוף או בנפש. בית המשפט העליון, מפי כב' השופט נ' סולברג, עמד על חומרת עבירות בנשק ב</w:t>
      </w:r>
      <w:hyperlink r:id="rId15" w:history="1">
        <w:r w:rsidR="007F7937" w:rsidRPr="007F7937">
          <w:rPr>
            <w:rFonts w:ascii="David" w:hAnsi="David"/>
            <w:color w:val="0000FF"/>
            <w:u w:val="single"/>
            <w:rtl/>
          </w:rPr>
          <w:t>ע"פ 135/17</w:t>
        </w:r>
      </w:hyperlink>
      <w:r>
        <w:rPr>
          <w:rFonts w:ascii="David" w:hAnsi="David"/>
          <w:color w:val="000000"/>
          <w:rtl/>
        </w:rPr>
        <w:t xml:space="preserve"> </w:t>
      </w:r>
      <w:r>
        <w:rPr>
          <w:rFonts w:ascii="David" w:hAnsi="David"/>
          <w:b/>
          <w:bCs/>
          <w:color w:val="000000"/>
          <w:rtl/>
        </w:rPr>
        <w:t>מדינת ישראל נ' בסל</w:t>
      </w:r>
      <w:r>
        <w:rPr>
          <w:rFonts w:ascii="David" w:hAnsi="David"/>
          <w:color w:val="000000"/>
          <w:rtl/>
        </w:rPr>
        <w:t xml:space="preserve"> (8.3.17):</w:t>
      </w:r>
    </w:p>
    <w:p w14:paraId="09FCF8FD" w14:textId="77777777" w:rsidR="00B421FB" w:rsidRDefault="00B421FB" w:rsidP="00B421FB">
      <w:pPr>
        <w:spacing w:after="120" w:line="360" w:lineRule="auto"/>
        <w:ind w:left="720" w:right="993"/>
        <w:jc w:val="both"/>
        <w:rPr>
          <w:rFonts w:ascii="David" w:hAnsi="David"/>
          <w:color w:val="000000"/>
        </w:rPr>
      </w:pPr>
      <w:r>
        <w:rPr>
          <w:rFonts w:ascii="David" w:hAnsi="David"/>
          <w:color w:val="000000"/>
          <w:rtl/>
        </w:rPr>
        <w:t>"</w:t>
      </w:r>
      <w:r>
        <w:rPr>
          <w:rFonts w:ascii="David" w:hAnsi="David"/>
          <w:b/>
          <w:bCs/>
          <w:color w:val="000000"/>
          <w:rtl/>
        </w:rPr>
        <w:t>בית משפט זה עמד לא פעם על חומרתן של עבירות נשק, ובכללן עבירות של החזקת ונשיאת נשק, תוך שהוא מציין את חומרת המעשה ואת פוטנציאל הנזק הכרוך בו. נשק המתגלגל מיד ליד עלול להגיע לידי גורמים עברייניים או לפעילות ביטחונית, פגיעתו הרעה מורגשת ומהווה איום על שלום הציבור כולו; כתוצאה מכך גדל ההכרח להרתיע את היחיד והרבים מפני עיסוק בכך. לא אחת גם צוין כי קיימת מגמת החמרה הדרגתית בעונשים המושתים על עבריינות נשק</w:t>
      </w:r>
      <w:r>
        <w:rPr>
          <w:rFonts w:ascii="David" w:hAnsi="David"/>
          <w:color w:val="000000"/>
          <w:rtl/>
        </w:rPr>
        <w:t xml:space="preserve">". </w:t>
      </w:r>
    </w:p>
    <w:p w14:paraId="48E8BF6D" w14:textId="77777777" w:rsidR="00B421FB" w:rsidRDefault="00B421FB" w:rsidP="00B421FB">
      <w:pPr>
        <w:spacing w:after="120" w:line="360" w:lineRule="auto"/>
        <w:ind w:left="707"/>
        <w:jc w:val="both"/>
        <w:rPr>
          <w:rFonts w:ascii="David" w:hAnsi="David"/>
          <w:color w:val="000000"/>
          <w:rtl/>
        </w:rPr>
      </w:pPr>
      <w:r>
        <w:rPr>
          <w:rFonts w:ascii="David" w:hAnsi="David"/>
          <w:color w:val="000000"/>
          <w:rtl/>
        </w:rPr>
        <w:t>בית המשפט העליון, מפי כב' השופט גרוסקופף, חזר לאחרונה והדגיש את מגמת ההחמרה בעבירות נשק, על סוגיהן השונים, ב</w:t>
      </w:r>
      <w:hyperlink r:id="rId16" w:history="1">
        <w:r w:rsidR="007F7937" w:rsidRPr="007F7937">
          <w:rPr>
            <w:rFonts w:ascii="David" w:hAnsi="David"/>
            <w:color w:val="0000FF"/>
            <w:u w:val="single"/>
            <w:rtl/>
          </w:rPr>
          <w:t>ע"פ 5446/19</w:t>
        </w:r>
      </w:hyperlink>
      <w:r>
        <w:rPr>
          <w:rFonts w:ascii="David" w:hAnsi="David"/>
          <w:color w:val="000000"/>
          <w:rtl/>
        </w:rPr>
        <w:t xml:space="preserve"> </w:t>
      </w:r>
      <w:r>
        <w:rPr>
          <w:rFonts w:ascii="David" w:hAnsi="David"/>
          <w:b/>
          <w:bCs/>
          <w:color w:val="000000"/>
          <w:rtl/>
        </w:rPr>
        <w:t>מדינת ישראל נ' הוארי</w:t>
      </w:r>
      <w:r>
        <w:rPr>
          <w:rFonts w:ascii="David" w:hAnsi="David"/>
          <w:color w:val="000000"/>
          <w:rtl/>
        </w:rPr>
        <w:t xml:space="preserve"> (25.11.19):</w:t>
      </w:r>
    </w:p>
    <w:p w14:paraId="2404974F" w14:textId="77777777" w:rsidR="00B421FB" w:rsidRDefault="00B421FB" w:rsidP="00B421FB">
      <w:pPr>
        <w:spacing w:after="120" w:line="360" w:lineRule="auto"/>
        <w:ind w:left="720" w:right="567"/>
        <w:jc w:val="both"/>
        <w:rPr>
          <w:rFonts w:ascii="David" w:hAnsi="David"/>
          <w:color w:val="000000"/>
          <w:rtl/>
        </w:rPr>
      </w:pPr>
      <w:r>
        <w:rPr>
          <w:rFonts w:ascii="David" w:hAnsi="David"/>
          <w:color w:val="000000"/>
          <w:rtl/>
        </w:rPr>
        <w:t>"</w:t>
      </w:r>
      <w:r>
        <w:rPr>
          <w:rFonts w:ascii="David" w:hAnsi="David"/>
          <w:b/>
          <w:bCs/>
          <w:color w:val="000000"/>
          <w:rtl/>
        </w:rPr>
        <w:t>בשנים האחרונות, עמד בית משפט זה פעם אחר פעם על החומרה היתרה שבביצוע עבירות נשק, וזאת בשל הסיכון הממשי לשלום הציבור והפגיעה בערכים המוגנים של שלמות הגוף וחיי אדם הטמונים בעבירות אלו. לאור כך, ננקטת מגמת החמרה ברמת הענישה של המורשעים בעבירות נשק, כך שזו תבטא באופן הולם את פוטנציאל ההרס הרב הגלום בהן</w:t>
      </w:r>
      <w:r>
        <w:rPr>
          <w:rFonts w:ascii="David" w:hAnsi="David"/>
          <w:color w:val="000000"/>
          <w:rtl/>
        </w:rPr>
        <w:t xml:space="preserve">". </w:t>
      </w:r>
    </w:p>
    <w:p w14:paraId="5F2D7BF4" w14:textId="77777777" w:rsidR="00B421FB" w:rsidRDefault="00B421FB" w:rsidP="00B421FB">
      <w:pPr>
        <w:numPr>
          <w:ilvl w:val="0"/>
          <w:numId w:val="1"/>
        </w:numPr>
        <w:spacing w:after="120" w:line="360" w:lineRule="auto"/>
        <w:jc w:val="both"/>
        <w:rPr>
          <w:rFonts w:ascii="David" w:hAnsi="David"/>
          <w:color w:val="000000"/>
          <w:rtl/>
        </w:rPr>
      </w:pPr>
      <w:r>
        <w:rPr>
          <w:rFonts w:ascii="David" w:hAnsi="David"/>
          <w:color w:val="000000"/>
          <w:rtl/>
        </w:rPr>
        <w:t xml:space="preserve">בחינת </w:t>
      </w:r>
      <w:r>
        <w:rPr>
          <w:rFonts w:ascii="David" w:hAnsi="David"/>
          <w:b/>
          <w:bCs/>
          <w:color w:val="000000"/>
          <w:rtl/>
        </w:rPr>
        <w:t xml:space="preserve">מידת הפגיעה בערך המוגן </w:t>
      </w:r>
      <w:r>
        <w:rPr>
          <w:rFonts w:ascii="David" w:hAnsi="David"/>
          <w:color w:val="000000"/>
          <w:rtl/>
        </w:rPr>
        <w:t xml:space="preserve">מובילה למסקנה כי הפגיעה היא </w:t>
      </w:r>
      <w:r>
        <w:rPr>
          <w:rFonts w:ascii="David" w:hAnsi="David"/>
          <w:b/>
          <w:bCs/>
          <w:color w:val="000000"/>
          <w:rtl/>
        </w:rPr>
        <w:t>ברף בינוני-גבוה.</w:t>
      </w:r>
      <w:r>
        <w:rPr>
          <w:rFonts w:ascii="David" w:hAnsi="David"/>
          <w:color w:val="000000"/>
          <w:rtl/>
        </w:rPr>
        <w:t xml:space="preserve"> בהקשר זה נתתי דעתי לכך שהנאשם ביצע עבירה של החזקת תחמושת, שהעונש המרבי שנקבע לצידה הוא של 3 שנות מאסר, לעומת עבירה של החזקת נשק שהעונש המרבי לצידה הוא 7 שנות מאסר. מנגד, יש לתת את הדעת לכך שעסקינן בהחזקת תחמושת בכמות בלתי מבוטלת של כ 2,500 כדורי 5.56 מ"מ. כמו כן נתתי לדעתי לכך שהתחמושת נתפסה ברכבו של הנאשם בהיותו במעבר מיתר, נסיבות אלו יכול ומעידות על היעד, המטרה והשימוש שעשוי היה להיעשות בתחמושת, במיוחד בעת הזו בה מצויה מדינת ישראל במלחמה. עיון בתמונות התחמושת ברכב, שהוגשו מטעם המאשימה, מצביעות על כך שהתחמושת הוחזקה בתוך ארגזי תחמושת ייעודיים ולא הוסתרה או כוסתה בדרך כלשהיא, למעט העובדה כי 2 ארגזים הוחזקו בתא המטען ברכב ואילו ארגז אחד היה במושב האחורי ברכב. </w:t>
      </w:r>
    </w:p>
    <w:p w14:paraId="6EF919B4" w14:textId="77777777" w:rsidR="00B421FB" w:rsidRDefault="00B421FB" w:rsidP="00B421FB">
      <w:pPr>
        <w:numPr>
          <w:ilvl w:val="0"/>
          <w:numId w:val="1"/>
        </w:numPr>
        <w:spacing w:after="120" w:line="360" w:lineRule="auto"/>
        <w:jc w:val="both"/>
        <w:rPr>
          <w:i/>
          <w:iCs/>
          <w:color w:val="000000"/>
        </w:rPr>
      </w:pPr>
      <w:r>
        <w:rPr>
          <w:rFonts w:ascii="David" w:hAnsi="David"/>
          <w:color w:val="000000"/>
          <w:rtl/>
        </w:rPr>
        <w:t xml:space="preserve">במסגרת </w:t>
      </w:r>
      <w:r>
        <w:rPr>
          <w:rFonts w:ascii="David" w:hAnsi="David"/>
          <w:b/>
          <w:bCs/>
          <w:color w:val="000000"/>
          <w:rtl/>
        </w:rPr>
        <w:t xml:space="preserve">הנסיבות הקשורות בביצוע העבירה </w:t>
      </w:r>
      <w:r>
        <w:rPr>
          <w:rFonts w:ascii="David" w:hAnsi="David"/>
          <w:color w:val="000000"/>
          <w:rtl/>
        </w:rPr>
        <w:t xml:space="preserve">(סעיף  </w:t>
      </w:r>
      <w:hyperlink r:id="rId17" w:history="1">
        <w:r w:rsidR="00AB30D0" w:rsidRPr="00AB30D0">
          <w:rPr>
            <w:rStyle w:val="Hyperlink"/>
            <w:rFonts w:ascii="David" w:hAnsi="David"/>
            <w:color w:val="0000FF"/>
            <w:rtl/>
          </w:rPr>
          <w:t xml:space="preserve">40 ט' </w:t>
        </w:r>
      </w:hyperlink>
      <w:r>
        <w:rPr>
          <w:rFonts w:ascii="David" w:hAnsi="David"/>
          <w:color w:val="000000"/>
          <w:rtl/>
        </w:rPr>
        <w:t xml:space="preserve">  לחוק),</w:t>
      </w:r>
      <w:r>
        <w:rPr>
          <w:color w:val="000000"/>
          <w:rtl/>
        </w:rPr>
        <w:t xml:space="preserve"> יש לתת את הדעת לכך שהנאשם החזיק התחמושת מחוץ לביתו, ברכבו בעוד מצוי במעבר מיתר, מדובר בהחזקת  2,500 כדורי תחמושת מסוג 5.56 מ"מ, פוטנציאל הנזק שצפוי להיגרם ככל ונעשה שימוש בתחמושת הוא רב ועשוי היה להוביל לפגיעה בגוף ובנפש. יש לתת את הדעת לכך שלא נלוותה למעשה, עבירה של החזקת נשק ובפועל לא נעשה שימוש בנשק ולא נגרם נזק מוחשי. התחמושת נתפסה בדרך נס. יש לציין שלא סופק מצדו של הנאשם כל הסבר בנוגע לרקע ולמטרת החזקת התחמושת. בחינת הנסיבות בשכל ישר ובהעדר כל הסבר אחר מביאה בהכרח למסקנה כי החזקת התחמושת ברכב בסמוך למעבר נועדה לשימוש פסול וככל הנראה לפגיעה בחיי אדם.  </w:t>
      </w:r>
    </w:p>
    <w:p w14:paraId="655BF4F7" w14:textId="77777777" w:rsidR="00B421FB" w:rsidRDefault="00B421FB" w:rsidP="00B421FB">
      <w:pPr>
        <w:numPr>
          <w:ilvl w:val="0"/>
          <w:numId w:val="1"/>
        </w:numPr>
        <w:spacing w:after="120" w:line="360" w:lineRule="auto"/>
        <w:jc w:val="both"/>
        <w:rPr>
          <w:rFonts w:ascii="David" w:hAnsi="David"/>
          <w:color w:val="000000"/>
        </w:rPr>
      </w:pPr>
      <w:r>
        <w:rPr>
          <w:rFonts w:ascii="David" w:hAnsi="David"/>
          <w:color w:val="000000"/>
          <w:rtl/>
        </w:rPr>
        <w:t xml:space="preserve">בחינת </w:t>
      </w:r>
      <w:r>
        <w:rPr>
          <w:rFonts w:ascii="David" w:hAnsi="David"/>
          <w:b/>
          <w:bCs/>
          <w:color w:val="000000"/>
          <w:rtl/>
        </w:rPr>
        <w:t>מדיניות הענישה הנוהגת</w:t>
      </w:r>
      <w:r>
        <w:rPr>
          <w:rFonts w:ascii="David" w:hAnsi="David"/>
          <w:color w:val="000000"/>
          <w:rtl/>
        </w:rPr>
        <w:t xml:space="preserve"> מעלה כי  הוטלו עונשים במנעד רחב תלוי בנסיבות ובהן; סוג וכמות התחמושת, אופן ומשך ההחזקה, מטרת ההחזקה וכיוצא באלה, וזאת כמפורט להלן:</w:t>
      </w:r>
    </w:p>
    <w:p w14:paraId="13D19B33" w14:textId="77777777" w:rsidR="00B421FB" w:rsidRDefault="007F7937" w:rsidP="00B421FB">
      <w:pPr>
        <w:pStyle w:val="aa"/>
        <w:numPr>
          <w:ilvl w:val="1"/>
          <w:numId w:val="1"/>
        </w:numPr>
        <w:spacing w:after="120" w:line="360" w:lineRule="auto"/>
        <w:jc w:val="both"/>
        <w:rPr>
          <w:rFonts w:ascii="David" w:hAnsi="David"/>
          <w:b/>
          <w:bCs/>
          <w:color w:val="000000"/>
        </w:rPr>
      </w:pPr>
      <w:hyperlink r:id="rId18" w:history="1">
        <w:r w:rsidRPr="007F7937">
          <w:rPr>
            <w:rFonts w:ascii="David" w:hAnsi="David"/>
            <w:color w:val="0000FF"/>
            <w:u w:val="single"/>
            <w:rtl/>
          </w:rPr>
          <w:t>ת"פ (שלום ב"ש) 6999-09-22</w:t>
        </w:r>
      </w:hyperlink>
      <w:r w:rsidR="00B421FB">
        <w:rPr>
          <w:rFonts w:ascii="David" w:hAnsi="David"/>
          <w:color w:val="000000"/>
          <w:rtl/>
        </w:rPr>
        <w:t xml:space="preserve"> </w:t>
      </w:r>
      <w:r w:rsidR="00B421FB">
        <w:rPr>
          <w:rFonts w:ascii="David" w:hAnsi="David"/>
          <w:b/>
          <w:bCs/>
          <w:color w:val="000000"/>
          <w:rtl/>
        </w:rPr>
        <w:t xml:space="preserve">מדינת ישראל נ' קאסם (17.04.23)- </w:t>
      </w:r>
      <w:r w:rsidR="00B421FB">
        <w:rPr>
          <w:rFonts w:ascii="David" w:hAnsi="David"/>
          <w:color w:val="000000"/>
          <w:rtl/>
        </w:rPr>
        <w:t xml:space="preserve"> הנאשם הורשע בהתאם להודאתו בעבירה של החזקת תחמושת ונשיאה של חלק של נשק בכך שבעת שנהג ברכב אל מעבר הל"ה בדרכו לשטחי האזור </w:t>
      </w:r>
      <w:r w:rsidR="00B421FB">
        <w:rPr>
          <w:rFonts w:ascii="David" w:hAnsi="David"/>
          <w:b/>
          <w:bCs/>
          <w:color w:val="000000"/>
          <w:rtl/>
        </w:rPr>
        <w:t xml:space="preserve">נמצא נושא מתחת למושב נהג הרכב בשקית ובה 6 מכלולי נשק מסוג </w:t>
      </w:r>
      <w:r w:rsidR="00B421FB">
        <w:rPr>
          <w:rFonts w:ascii="David" w:hAnsi="David"/>
          <w:b/>
          <w:bCs/>
          <w:color w:val="000000"/>
        </w:rPr>
        <w:t>M16</w:t>
      </w:r>
      <w:r w:rsidR="00B421FB">
        <w:rPr>
          <w:rFonts w:ascii="David" w:hAnsi="David"/>
          <w:color w:val="000000"/>
          <w:rtl/>
        </w:rPr>
        <w:t xml:space="preserve"> וכן נמצא מחזיק בתא המטען 7 ארגזי תחמושת וארגז קרטון שהכילו יחדיו כ 9,000 כדורים בקוטר 5.56 מ"מ מכוסים ומוסתרים. בית משפט השלום קבע מתחם ענישה הנע בין 12 ל 24 חודשי מאסר בפועל והטיל על הנאשם, בעל עבר פלילי, 16 חודשי מאסר בפועל. </w:t>
      </w:r>
    </w:p>
    <w:p w14:paraId="6B3BA37B" w14:textId="77777777" w:rsidR="00B421FB" w:rsidRDefault="007F7937" w:rsidP="00B421FB">
      <w:pPr>
        <w:pStyle w:val="aa"/>
        <w:numPr>
          <w:ilvl w:val="1"/>
          <w:numId w:val="1"/>
        </w:numPr>
        <w:spacing w:after="120" w:line="360" w:lineRule="auto"/>
        <w:jc w:val="both"/>
        <w:rPr>
          <w:rFonts w:ascii="David" w:hAnsi="David"/>
          <w:b/>
          <w:bCs/>
          <w:color w:val="000000"/>
        </w:rPr>
      </w:pPr>
      <w:hyperlink r:id="rId19" w:history="1">
        <w:r w:rsidRPr="007F7937">
          <w:rPr>
            <w:rFonts w:ascii="David" w:hAnsi="David"/>
            <w:color w:val="0000FF"/>
            <w:u w:val="single"/>
            <w:rtl/>
          </w:rPr>
          <w:t>ת"פ (שלום- ב"ש) 22297-11-20</w:t>
        </w:r>
      </w:hyperlink>
      <w:r w:rsidR="00B421FB">
        <w:rPr>
          <w:rFonts w:ascii="David" w:hAnsi="David"/>
          <w:color w:val="000000"/>
          <w:rtl/>
        </w:rPr>
        <w:t xml:space="preserve"> </w:t>
      </w:r>
      <w:r w:rsidR="00B421FB">
        <w:rPr>
          <w:rFonts w:ascii="David" w:hAnsi="David"/>
          <w:b/>
          <w:bCs/>
          <w:color w:val="000000"/>
          <w:rtl/>
        </w:rPr>
        <w:t>מדינת ישראל נ' בן נעים עובייד</w:t>
      </w:r>
      <w:r w:rsidR="00B421FB">
        <w:rPr>
          <w:rFonts w:ascii="David" w:hAnsi="David"/>
          <w:color w:val="000000"/>
          <w:rtl/>
        </w:rPr>
        <w:t xml:space="preserve"> ( 27.04.21) – נדונו 2 נאשמים, מדובר בשני אחים המתגוררים בבית מפוצל, במהלך חיפוש במתחם הבית נמצא בקומת ביתו של נאשם 1 כלי נשק וחלקי תחמושת שונים. בקומת ביתו של נאשם 2  וברכבו  נמצאו 11 כדורי נשק, הרלוונטי לענייננו. </w:t>
      </w:r>
      <w:r w:rsidR="00B421FB">
        <w:rPr>
          <w:rFonts w:ascii="David" w:hAnsi="David"/>
          <w:b/>
          <w:bCs/>
          <w:color w:val="000000"/>
          <w:rtl/>
        </w:rPr>
        <w:t xml:space="preserve">בית משפט השלום קבע בנוגע לנאשם 2 מתחם ענישה הנע בין עונש צופה פני עתיד ועד מספר חודשי מאסר שיכול וירוצו בעבודת שירות. נאשם 2 בעל עבר פלילי קודם, נדון ל 6 חודשי מאסר על תנאי. </w:t>
      </w:r>
    </w:p>
    <w:p w14:paraId="69FB891C" w14:textId="77777777" w:rsidR="00B421FB" w:rsidRDefault="007F7937" w:rsidP="00B421FB">
      <w:pPr>
        <w:pStyle w:val="aa"/>
        <w:numPr>
          <w:ilvl w:val="1"/>
          <w:numId w:val="1"/>
        </w:numPr>
        <w:spacing w:after="120" w:line="360" w:lineRule="auto"/>
        <w:jc w:val="both"/>
        <w:rPr>
          <w:rFonts w:ascii="David" w:hAnsi="David"/>
          <w:color w:val="000000"/>
        </w:rPr>
      </w:pPr>
      <w:hyperlink r:id="rId20" w:history="1">
        <w:r w:rsidRPr="007F7937">
          <w:rPr>
            <w:rFonts w:ascii="David" w:hAnsi="David"/>
            <w:color w:val="0000FF"/>
            <w:u w:val="single"/>
            <w:rtl/>
          </w:rPr>
          <w:t>ת"פ (עכו) 59911-06-21</w:t>
        </w:r>
      </w:hyperlink>
      <w:r w:rsidR="00B421FB">
        <w:rPr>
          <w:rFonts w:ascii="David" w:hAnsi="David"/>
          <w:color w:val="000000"/>
          <w:rtl/>
        </w:rPr>
        <w:t xml:space="preserve"> </w:t>
      </w:r>
      <w:r w:rsidR="00B421FB">
        <w:rPr>
          <w:rFonts w:ascii="David" w:hAnsi="David"/>
          <w:b/>
          <w:bCs/>
          <w:color w:val="000000"/>
          <w:rtl/>
        </w:rPr>
        <w:t>מדינת ישראל נ' שאהין</w:t>
      </w:r>
      <w:r w:rsidR="00B421FB">
        <w:rPr>
          <w:rFonts w:ascii="David" w:hAnsi="David"/>
          <w:color w:val="000000"/>
          <w:rtl/>
        </w:rPr>
        <w:t xml:space="preserve"> ( 03.05.22) – הנאשם הורשע בהתאם להודאתו בעבירה של </w:t>
      </w:r>
      <w:r w:rsidR="00B421FB">
        <w:rPr>
          <w:rFonts w:ascii="David" w:hAnsi="David"/>
          <w:b/>
          <w:bCs/>
          <w:color w:val="000000"/>
          <w:rtl/>
        </w:rPr>
        <w:t>החזקת תחמושת, בכך שנמצא מחזיק בביתו קופסא ובה 20 כדורי 9 מ"מ. בית משפט השלום קבע מתחם ענישה הנע בין מאסר על תנאי ל 6 חודשי מאסר בפועל שיכול וירוצו בעבודת שירות.</w:t>
      </w:r>
      <w:r w:rsidR="00B421FB">
        <w:rPr>
          <w:rFonts w:ascii="David" w:hAnsi="David"/>
          <w:color w:val="000000"/>
          <w:rtl/>
        </w:rPr>
        <w:t xml:space="preserve"> הנאשם בעל עבר פלילי בתחום עבירות נשק משנת 2003, היה בעברו בעל רישיון להחזקת נשק נדון ל 6 חודשי מאסר על תנאי וענישה נלווית. </w:t>
      </w:r>
    </w:p>
    <w:p w14:paraId="71C7F8DF" w14:textId="77777777" w:rsidR="00B421FB" w:rsidRDefault="00B421FB" w:rsidP="00B421FB">
      <w:pPr>
        <w:numPr>
          <w:ilvl w:val="0"/>
          <w:numId w:val="1"/>
        </w:numPr>
        <w:spacing w:after="120" w:line="360" w:lineRule="auto"/>
        <w:jc w:val="both"/>
        <w:rPr>
          <w:rFonts w:ascii="David" w:hAnsi="David"/>
          <w:color w:val="000000"/>
        </w:rPr>
      </w:pPr>
      <w:r>
        <w:rPr>
          <w:rFonts w:ascii="David" w:hAnsi="David"/>
          <w:color w:val="000000"/>
          <w:rtl/>
        </w:rPr>
        <w:t xml:space="preserve">אין חולק כי עבירות נשק הפכו זה מכבר ל"מכת מדינה" (ראה </w:t>
      </w:r>
      <w:hyperlink r:id="rId21" w:history="1">
        <w:r w:rsidR="007F7937" w:rsidRPr="007F7937">
          <w:rPr>
            <w:rFonts w:ascii="David" w:hAnsi="David"/>
            <w:color w:val="0000FF"/>
            <w:u w:val="single"/>
            <w:rtl/>
          </w:rPr>
          <w:t>ע"פ 7473/20</w:t>
        </w:r>
      </w:hyperlink>
      <w:r>
        <w:rPr>
          <w:rFonts w:ascii="David" w:hAnsi="David"/>
          <w:color w:val="000000"/>
          <w:rtl/>
        </w:rPr>
        <w:t xml:space="preserve"> </w:t>
      </w:r>
      <w:r>
        <w:rPr>
          <w:rFonts w:ascii="David" w:hAnsi="David"/>
          <w:b/>
          <w:bCs/>
          <w:color w:val="000000"/>
          <w:rtl/>
        </w:rPr>
        <w:t>מדינת ישראל נ' מחאמיד</w:t>
      </w:r>
      <w:r>
        <w:rPr>
          <w:rFonts w:ascii="David" w:hAnsi="David"/>
          <w:color w:val="000000"/>
          <w:rtl/>
        </w:rPr>
        <w:t xml:space="preserve"> (29.06.21) המצריכה ענישה מחמירה בדרך של הטלת עונשי מאסר משמעותיים. עניין זה גם בא לידי ביטוי במסגרת תיקון 140 ל</w:t>
      </w:r>
      <w:hyperlink r:id="rId22" w:history="1">
        <w:r w:rsidR="007F7937" w:rsidRPr="007F7937">
          <w:rPr>
            <w:rFonts w:ascii="David" w:hAnsi="David"/>
            <w:color w:val="0000FF"/>
            <w:u w:val="single"/>
            <w:rtl/>
          </w:rPr>
          <w:t>חוק העונשין</w:t>
        </w:r>
      </w:hyperlink>
      <w:r>
        <w:rPr>
          <w:rFonts w:ascii="David" w:hAnsi="David"/>
          <w:color w:val="000000"/>
          <w:rtl/>
        </w:rPr>
        <w:t xml:space="preserve"> הקובע עונשי מינימום לעבירות נשק. בנוסף אציין כי לפי הנחיית פרקליט המדינה, הנחיה מס' 9.16 – מדיניות ענישה בעבירות נשק ומטעני חבלה בגין החזקת תחמושת "מתחם המוצא" נע בין עונש צופה פני עתיד ל 6 חודשי מאסר שיכול וירוצו בעבודת שירות. יחד עם זאת יש להדגיש הברור כי בנסיבות של החזקת תחמושת בכמות גדולה ישנו מקום להחמיר את "מתחם המוצא", חומרת העבירה בעניינו של הנאשם נעוצה בכמות התחמושת שהחזיק, באופן ההחזקה, כאשר היה בדרכו לאחר שיעבור את מעבר מיתר. </w:t>
      </w:r>
    </w:p>
    <w:p w14:paraId="1FA36CF6" w14:textId="77777777" w:rsidR="00B421FB" w:rsidRDefault="00B421FB" w:rsidP="00B421FB">
      <w:pPr>
        <w:numPr>
          <w:ilvl w:val="0"/>
          <w:numId w:val="1"/>
        </w:numPr>
        <w:spacing w:after="120" w:line="360" w:lineRule="auto"/>
        <w:jc w:val="both"/>
        <w:rPr>
          <w:rFonts w:ascii="David" w:hAnsi="David"/>
          <w:color w:val="000000"/>
        </w:rPr>
      </w:pPr>
      <w:r>
        <w:rPr>
          <w:rFonts w:ascii="David" w:hAnsi="David"/>
          <w:color w:val="000000"/>
          <w:rtl/>
        </w:rPr>
        <w:t>לאור המפורט לעיל ובשים לב לנסיבות ביצוע העבירה, בכמות המשמעותית ובאופן ההחזקה, ובהתאם לתיקון 113 ל</w:t>
      </w:r>
      <w:r>
        <w:rPr>
          <w:rtl/>
        </w:rPr>
        <w:t xml:space="preserve">חוק העונשים </w:t>
      </w:r>
      <w:r>
        <w:rPr>
          <w:rFonts w:ascii="David" w:hAnsi="David"/>
          <w:color w:val="000000"/>
          <w:rtl/>
        </w:rPr>
        <w:t xml:space="preserve">(סעיף 40 יג'), אני קובע כי </w:t>
      </w:r>
      <w:r>
        <w:rPr>
          <w:rFonts w:ascii="David" w:hAnsi="David"/>
          <w:b/>
          <w:bCs/>
          <w:color w:val="000000"/>
          <w:rtl/>
        </w:rPr>
        <w:t xml:space="preserve">מתחם העונש ההולם נע בין 9 חודשי מאסר שיכול וירוצו בעבודת שירות ועד 18 חודשי מאסר בפועל. </w:t>
      </w:r>
    </w:p>
    <w:p w14:paraId="5B97ED36" w14:textId="77777777" w:rsidR="00B421FB" w:rsidRDefault="00B421FB" w:rsidP="00B421FB">
      <w:pPr>
        <w:numPr>
          <w:ilvl w:val="0"/>
          <w:numId w:val="1"/>
        </w:numPr>
        <w:spacing w:after="120" w:line="360" w:lineRule="auto"/>
        <w:jc w:val="both"/>
        <w:rPr>
          <w:rFonts w:ascii="David" w:hAnsi="David"/>
          <w:color w:val="000000"/>
        </w:rPr>
      </w:pPr>
      <w:r>
        <w:rPr>
          <w:rFonts w:ascii="David" w:hAnsi="David"/>
          <w:color w:val="000000"/>
          <w:rtl/>
        </w:rPr>
        <w:t xml:space="preserve">במקרה דנן, לא קיימים שיקולים אשר מצדיקים חריגה מהמתחם, לחומרה או לקולה. הנאשם לא הופנה לקבלת תסקיר, לא עבר הליך טיפולי כלשהוא. </w:t>
      </w:r>
    </w:p>
    <w:p w14:paraId="6E741445" w14:textId="77777777" w:rsidR="00B421FB" w:rsidRDefault="00B421FB" w:rsidP="00B421FB">
      <w:pPr>
        <w:spacing w:line="360" w:lineRule="auto"/>
        <w:jc w:val="both"/>
        <w:rPr>
          <w:rFonts w:ascii="David" w:hAnsi="David"/>
          <w:b/>
          <w:bCs/>
          <w:u w:val="single"/>
          <w:rtl/>
        </w:rPr>
      </w:pPr>
    </w:p>
    <w:p w14:paraId="763A8B3B" w14:textId="77777777" w:rsidR="00B421FB" w:rsidRDefault="00B421FB" w:rsidP="00B421FB">
      <w:pPr>
        <w:spacing w:line="360" w:lineRule="auto"/>
        <w:jc w:val="both"/>
        <w:rPr>
          <w:rFonts w:ascii="David" w:hAnsi="David"/>
          <w:b/>
          <w:bCs/>
          <w:u w:val="single"/>
        </w:rPr>
      </w:pPr>
      <w:r>
        <w:rPr>
          <w:rFonts w:ascii="David" w:hAnsi="David"/>
          <w:b/>
          <w:bCs/>
          <w:u w:val="single"/>
          <w:rtl/>
        </w:rPr>
        <w:t xml:space="preserve">סוגיית חילוט הרכב </w:t>
      </w:r>
    </w:p>
    <w:p w14:paraId="3EFC537D" w14:textId="77777777" w:rsidR="00B421FB" w:rsidRDefault="00B421FB" w:rsidP="00B421FB">
      <w:pPr>
        <w:spacing w:after="160" w:line="360" w:lineRule="auto"/>
        <w:jc w:val="both"/>
        <w:rPr>
          <w:rFonts w:ascii="David" w:eastAsia="David" w:hAnsi="David"/>
          <w:u w:val="single"/>
          <w:rtl/>
        </w:rPr>
      </w:pPr>
      <w:r>
        <w:rPr>
          <w:rFonts w:ascii="David" w:hAnsi="David"/>
          <w:u w:val="single"/>
          <w:rtl/>
        </w:rPr>
        <w:t xml:space="preserve">המסגרת הנורמטיבית- </w:t>
      </w:r>
    </w:p>
    <w:p w14:paraId="711BC264" w14:textId="77777777" w:rsidR="00B421FB" w:rsidRDefault="00AB30D0" w:rsidP="00B421FB">
      <w:pPr>
        <w:pStyle w:val="a"/>
        <w:jc w:val="both"/>
        <w:rPr>
          <w:rtl/>
        </w:rPr>
      </w:pPr>
      <w:hyperlink r:id="rId23" w:history="1">
        <w:r w:rsidRPr="00AB30D0">
          <w:rPr>
            <w:rStyle w:val="Hyperlink"/>
            <w:rFonts w:hint="eastAsia"/>
            <w:color w:val="0000FF"/>
            <w:rtl/>
          </w:rPr>
          <w:t>סעיף</w:t>
        </w:r>
        <w:r w:rsidRPr="00AB30D0">
          <w:rPr>
            <w:rStyle w:val="Hyperlink"/>
            <w:color w:val="0000FF"/>
            <w:rtl/>
          </w:rPr>
          <w:t xml:space="preserve"> 39</w:t>
        </w:r>
      </w:hyperlink>
      <w:r w:rsidR="00B421FB">
        <w:rPr>
          <w:rFonts w:hint="cs"/>
          <w:u w:val="single"/>
          <w:rtl/>
        </w:rPr>
        <w:t xml:space="preserve"> לפקודת סדר הדין הפליל (מעצר וחיפוש)</w:t>
      </w:r>
      <w:r w:rsidR="00B421FB">
        <w:rPr>
          <w:rFonts w:hint="cs"/>
          <w:rtl/>
        </w:rPr>
        <w:t xml:space="preserve"> [נוסח חדש], תשכ"ט-1969 קובע כי: "על אף האמור בכל דין, רשאי בית המשפט, בנוסף על כל עונש שיטיל, לצוות על חילוט החפץ שנתפס לפי סעיף 32, או שהגיע לידי המשטרה כאמור בסעיף 33, אם האדם שהורשע במעשה העבירה שנעשה בחפץ או לגביו הוא בעל החפץ; דין צו זה כדין עונש שהוטל על הנאשם". סמכות החילוט הינה סמכות שבשיקול דעת בית המשפט כאשר הפעלתה נתונה בהשלכות חילוט הרכוש ובהשתלבות במערך הענישה הכולל (ראה הנאמר ב</w:t>
      </w:r>
      <w:hyperlink r:id="rId24" w:history="1">
        <w:r w:rsidR="007F7937" w:rsidRPr="007F7937">
          <w:rPr>
            <w:color w:val="0000FF"/>
            <w:u w:val="single"/>
            <w:rtl/>
          </w:rPr>
          <w:t>ע"פ 9104/20</w:t>
        </w:r>
      </w:hyperlink>
      <w:r w:rsidR="00B421FB">
        <w:rPr>
          <w:rFonts w:hint="cs"/>
          <w:rtl/>
        </w:rPr>
        <w:t xml:space="preserve"> מדינת ישראל נ' טבצ'ניקוב (04.03.21)). </w:t>
      </w:r>
    </w:p>
    <w:p w14:paraId="50FD6A51" w14:textId="77777777" w:rsidR="00B421FB" w:rsidRDefault="00B421FB" w:rsidP="00B421FB">
      <w:pPr>
        <w:spacing w:line="360" w:lineRule="auto"/>
        <w:ind w:left="720"/>
        <w:jc w:val="both"/>
        <w:rPr>
          <w:rFonts w:ascii="David" w:hAnsi="David"/>
        </w:rPr>
      </w:pPr>
      <w:r>
        <w:rPr>
          <w:rFonts w:ascii="David" w:hAnsi="David"/>
          <w:rtl/>
        </w:rPr>
        <w:t xml:space="preserve">שאלת החילוט קשורה בזיקה שבין ביצוע העבירה בה הורשע הנאשם לבין רכבו של הנאשם, ראה הנאמר </w:t>
      </w:r>
      <w:r>
        <w:rPr>
          <w:rFonts w:ascii="David" w:hAnsi="David"/>
          <w:b/>
          <w:bCs/>
          <w:rtl/>
        </w:rPr>
        <w:t>ב</w:t>
      </w:r>
      <w:hyperlink r:id="rId25" w:history="1">
        <w:r w:rsidR="007F7937" w:rsidRPr="007F7937">
          <w:rPr>
            <w:rFonts w:ascii="David" w:hAnsi="David"/>
            <w:b/>
            <w:bCs/>
            <w:color w:val="0000FF"/>
            <w:u w:val="single"/>
            <w:rtl/>
          </w:rPr>
          <w:t>ע"פ 4148/92</w:t>
        </w:r>
      </w:hyperlink>
      <w:r>
        <w:rPr>
          <w:rFonts w:ascii="David" w:hAnsi="David"/>
          <w:b/>
          <w:bCs/>
          <w:rtl/>
        </w:rPr>
        <w:t xml:space="preserve"> מועד נ' מדינת ישראל</w:t>
      </w:r>
      <w:r>
        <w:rPr>
          <w:rFonts w:ascii="David" w:hAnsi="David"/>
          <w:rtl/>
        </w:rPr>
        <w:t xml:space="preserve"> :  "</w:t>
      </w:r>
      <w:r>
        <w:rPr>
          <w:rFonts w:ascii="David" w:hAnsi="David"/>
          <w:b/>
          <w:bCs/>
          <w:rtl/>
        </w:rPr>
        <w:t>אין צריך לומר כי בעבירות שבפנינו מן הראוי להחליט על חילוט. אמת המידה היא במהותה ובעוצמתה של הזיקה בין החפץ לבין העבירה ובחומרתה של העבירה, היינו במקרה כגון זה שבפנינו עולה השאלה באיזה מידה שימש הרכב באופן מהותי לביצוע העבירות שבוצעו</w:t>
      </w:r>
      <w:r>
        <w:rPr>
          <w:rFonts w:ascii="David" w:hAnsi="David"/>
          <w:rtl/>
        </w:rPr>
        <w:t>".</w:t>
      </w:r>
    </w:p>
    <w:p w14:paraId="24E48629" w14:textId="77777777" w:rsidR="00B421FB" w:rsidRDefault="00B421FB" w:rsidP="00B421FB">
      <w:pPr>
        <w:spacing w:after="160" w:line="360" w:lineRule="auto"/>
        <w:ind w:left="720"/>
        <w:jc w:val="both"/>
        <w:rPr>
          <w:rFonts w:ascii="David" w:hAnsi="David"/>
          <w:rtl/>
        </w:rPr>
      </w:pPr>
      <w:r>
        <w:rPr>
          <w:rFonts w:ascii="David" w:hAnsi="David"/>
          <w:rtl/>
        </w:rPr>
        <w:t>במקרה הנדון מתקיימת זיקה ישירה בין העבירה בה הנאשם הורשע לרכב מאחר והתחמושת הוחזקה על ידיו בתוך הרכב, בעניין זה אפנה ל</w:t>
      </w:r>
      <w:hyperlink r:id="rId26" w:history="1">
        <w:r w:rsidR="007F7937" w:rsidRPr="007F7937">
          <w:rPr>
            <w:rFonts w:ascii="David" w:hAnsi="David"/>
            <w:color w:val="0000FF"/>
            <w:u w:val="single"/>
            <w:rtl/>
          </w:rPr>
          <w:t>עפ"ג (ב"ש) 71869-11-21</w:t>
        </w:r>
      </w:hyperlink>
      <w:r>
        <w:rPr>
          <w:rFonts w:ascii="David" w:hAnsi="David"/>
          <w:rtl/>
        </w:rPr>
        <w:t xml:space="preserve"> אלנבארי נ' מדינת ישראל (13.7.22) (אשר אוזכר על ידי המאשימה)  בו שימש הרכב כמעין מקום אחסון לנשק והנשק היה בו גם בזמן שהרכב חנה ולא היה בו איש, וזאת בדומה לענייננו. </w:t>
      </w:r>
    </w:p>
    <w:p w14:paraId="6DFB9979" w14:textId="77777777" w:rsidR="00B421FB" w:rsidRDefault="00B421FB" w:rsidP="00B421FB">
      <w:pPr>
        <w:spacing w:after="160" w:line="360" w:lineRule="auto"/>
        <w:ind w:left="720"/>
        <w:jc w:val="both"/>
        <w:rPr>
          <w:rFonts w:ascii="David" w:hAnsi="David"/>
          <w:rtl/>
        </w:rPr>
      </w:pPr>
      <w:r>
        <w:rPr>
          <w:rFonts w:ascii="David" w:hAnsi="David"/>
          <w:rtl/>
        </w:rPr>
        <w:t xml:space="preserve">חמור מכך המקרה שבפני, הואיל ואין מדובר "רק" במקום אחסנה אלא ברכב ששימש לצורך נשיאה והובלת התחמושת ממקום למקום. ברי הדבר כי לא ניתן לשנע כמות זו של תחמושת 2,500 כדורים מסוג 5.56 מ"מ שלא באמצעות רכב. לפיכך, מתקיימת זיקה ישירה בין הרכב לבין ביצוע העבירה. </w:t>
      </w:r>
    </w:p>
    <w:p w14:paraId="683BBB34" w14:textId="77777777" w:rsidR="00B421FB" w:rsidRDefault="00B421FB" w:rsidP="00B421FB">
      <w:pPr>
        <w:spacing w:line="360" w:lineRule="auto"/>
        <w:jc w:val="both"/>
        <w:rPr>
          <w:rFonts w:ascii="David" w:hAnsi="David"/>
          <w:rtl/>
        </w:rPr>
      </w:pPr>
      <w:r>
        <w:rPr>
          <w:rFonts w:ascii="David" w:hAnsi="David"/>
          <w:rtl/>
        </w:rPr>
        <w:tab/>
        <w:t xml:space="preserve">עוד יש לציין, כי אין כל חולק שהרכב מצוי בבעלותו של הנאשם ובשימושו.  </w:t>
      </w:r>
    </w:p>
    <w:p w14:paraId="5689AAA8" w14:textId="77777777" w:rsidR="00B421FB" w:rsidRDefault="00B421FB" w:rsidP="00B421FB">
      <w:pPr>
        <w:spacing w:after="160" w:line="360" w:lineRule="auto"/>
        <w:ind w:left="720"/>
        <w:jc w:val="both"/>
        <w:rPr>
          <w:rFonts w:ascii="David" w:hAnsi="David"/>
          <w:rtl/>
        </w:rPr>
      </w:pPr>
      <w:r>
        <w:rPr>
          <w:rFonts w:ascii="David" w:hAnsi="David"/>
          <w:rtl/>
        </w:rPr>
        <w:t xml:space="preserve">מכאן עולה כי התביעה הציגה תשתית עובדתית בסיסית הנדרשת לצורך חילוט הרכב. </w:t>
      </w:r>
    </w:p>
    <w:p w14:paraId="7A64D707" w14:textId="77777777" w:rsidR="00B421FB" w:rsidRDefault="00B421FB" w:rsidP="00B421FB">
      <w:pPr>
        <w:spacing w:after="160" w:line="360" w:lineRule="auto"/>
        <w:ind w:left="720"/>
        <w:jc w:val="both"/>
        <w:rPr>
          <w:rFonts w:ascii="David" w:eastAsia="David" w:hAnsi="David"/>
          <w:rtl/>
        </w:rPr>
      </w:pPr>
      <w:r>
        <w:rPr>
          <w:rFonts w:ascii="David" w:hAnsi="David"/>
          <w:rtl/>
        </w:rPr>
        <w:t xml:space="preserve">לא מצאתי כי העדר הוראת החיקוק של עבירת – הסתייעות ברכב, יש בה כדי להביא לאי חילוט הרכב, מקום שלכאורה כל הנסיבות מביאות למסקנה כי העבירה לא יכולה הייתה להתבצע זולת השימוש ברכב.  </w:t>
      </w:r>
    </w:p>
    <w:p w14:paraId="099A2C3F" w14:textId="77777777" w:rsidR="00B421FB" w:rsidRDefault="00B421FB" w:rsidP="00B421FB">
      <w:pPr>
        <w:spacing w:after="120" w:line="360" w:lineRule="auto"/>
        <w:jc w:val="both"/>
        <w:rPr>
          <w:rFonts w:ascii="David" w:hAnsi="David"/>
          <w:color w:val="000000"/>
        </w:rPr>
      </w:pPr>
    </w:p>
    <w:p w14:paraId="7AA0145F" w14:textId="77777777" w:rsidR="00B421FB" w:rsidRDefault="00B421FB" w:rsidP="00B421FB">
      <w:pPr>
        <w:spacing w:after="120" w:line="360" w:lineRule="auto"/>
        <w:jc w:val="both"/>
        <w:rPr>
          <w:bCs/>
          <w:u w:val="single"/>
          <w:lang w:eastAsia="he-IL"/>
        </w:rPr>
      </w:pPr>
      <w:r>
        <w:rPr>
          <w:bCs/>
          <w:u w:val="single"/>
          <w:rtl/>
          <w:lang w:eastAsia="he-IL"/>
        </w:rPr>
        <w:t>גזירת העונש המתאים לנאשם</w:t>
      </w:r>
    </w:p>
    <w:p w14:paraId="6A3A7626" w14:textId="77777777" w:rsidR="00B421FB" w:rsidRDefault="00B421FB" w:rsidP="00B421FB">
      <w:pPr>
        <w:numPr>
          <w:ilvl w:val="0"/>
          <w:numId w:val="1"/>
        </w:numPr>
        <w:spacing w:after="120" w:line="360" w:lineRule="auto"/>
        <w:jc w:val="both"/>
        <w:rPr>
          <w:color w:val="000000"/>
        </w:rPr>
      </w:pPr>
      <w:r>
        <w:rPr>
          <w:rFonts w:ascii="David" w:hAnsi="David"/>
          <w:color w:val="000000"/>
          <w:rtl/>
        </w:rPr>
        <w:t xml:space="preserve">בגזירת העונש המתאים לנאשם, בגדרי מתחם העונש ההולם, יש להתחשב </w:t>
      </w:r>
      <w:r>
        <w:rPr>
          <w:rFonts w:ascii="David" w:hAnsi="David"/>
          <w:b/>
          <w:bCs/>
          <w:color w:val="000000"/>
          <w:rtl/>
        </w:rPr>
        <w:t>בנסיבות שאינן קשורות בביצוע העבירה</w:t>
      </w:r>
      <w:r>
        <w:rPr>
          <w:rFonts w:ascii="David" w:hAnsi="David"/>
          <w:color w:val="000000"/>
          <w:rtl/>
        </w:rPr>
        <w:t xml:space="preserve"> (סעיף  </w:t>
      </w:r>
      <w:hyperlink r:id="rId27" w:history="1">
        <w:r w:rsidR="00AB30D0" w:rsidRPr="00AB30D0">
          <w:rPr>
            <w:rStyle w:val="Hyperlink"/>
            <w:rFonts w:ascii="David" w:hAnsi="David"/>
            <w:color w:val="0000FF"/>
            <w:rtl/>
          </w:rPr>
          <w:t>40 יא'</w:t>
        </w:r>
      </w:hyperlink>
      <w:r>
        <w:rPr>
          <w:rFonts w:ascii="David" w:hAnsi="David"/>
          <w:color w:val="000000"/>
          <w:rtl/>
        </w:rPr>
        <w:t xml:space="preserve">). במסגרת זו </w:t>
      </w:r>
      <w:r>
        <w:rPr>
          <w:color w:val="000000"/>
          <w:rtl/>
        </w:rPr>
        <w:t xml:space="preserve">מן הראוי לתת את הדעת לכך שמדובר בנאשם כבן 31, נשוי ואב לילדים, נעדר עבר פלילי, לפי בא כוחו טרם מעצרו ניהל אורח חיים נורמטיבי ועבד לפרנסתו. אין כל ספק שהטלת עונש מאסר בפועל תפגע בנאשם ובבני משפחתו. </w:t>
      </w:r>
    </w:p>
    <w:p w14:paraId="5FD37089" w14:textId="77777777" w:rsidR="00B421FB" w:rsidRDefault="00B421FB" w:rsidP="00B421FB">
      <w:pPr>
        <w:numPr>
          <w:ilvl w:val="0"/>
          <w:numId w:val="1"/>
        </w:numPr>
        <w:spacing w:after="120" w:line="360" w:lineRule="auto"/>
        <w:jc w:val="both"/>
        <w:rPr>
          <w:color w:val="000000"/>
        </w:rPr>
      </w:pPr>
      <w:r>
        <w:rPr>
          <w:rFonts w:ascii="David" w:hAnsi="David"/>
          <w:color w:val="000000"/>
          <w:rtl/>
        </w:rPr>
        <w:t xml:space="preserve">עוד יש לתת את הדעת לשיקול </w:t>
      </w:r>
      <w:r>
        <w:rPr>
          <w:rFonts w:ascii="David" w:hAnsi="David"/>
          <w:b/>
          <w:bCs/>
          <w:color w:val="000000"/>
          <w:rtl/>
        </w:rPr>
        <w:t>הרתעת היחיד</w:t>
      </w:r>
      <w:r>
        <w:rPr>
          <w:rFonts w:ascii="David" w:hAnsi="David"/>
          <w:color w:val="000000"/>
          <w:rtl/>
        </w:rPr>
        <w:t xml:space="preserve"> בגדרו של המתחם ו</w:t>
      </w:r>
      <w:r>
        <w:rPr>
          <w:color w:val="000000"/>
          <w:rtl/>
        </w:rPr>
        <w:t xml:space="preserve">לשיקול של </w:t>
      </w:r>
      <w:r>
        <w:rPr>
          <w:b/>
          <w:bCs/>
          <w:color w:val="000000"/>
          <w:rtl/>
        </w:rPr>
        <w:t>הרתעת הרבים</w:t>
      </w:r>
      <w:r>
        <w:rPr>
          <w:color w:val="000000"/>
          <w:rtl/>
        </w:rPr>
        <w:t xml:space="preserve"> בגדרו של המתחם, </w:t>
      </w:r>
      <w:r>
        <w:rPr>
          <w:rFonts w:ascii="David" w:hAnsi="David"/>
          <w:color w:val="000000"/>
          <w:rtl/>
        </w:rPr>
        <w:t>וזאת נוכח שכיחותן הרבה של עבירות הנשק במחוזותינו והחשיבות החברתית הרבה של צמצום תופעה זו</w:t>
      </w:r>
      <w:r>
        <w:rPr>
          <w:color w:val="000000"/>
          <w:rtl/>
        </w:rPr>
        <w:t xml:space="preserve">, במיוחד בעת הזו. </w:t>
      </w:r>
    </w:p>
    <w:p w14:paraId="4D9124B7" w14:textId="77777777" w:rsidR="00B421FB" w:rsidRDefault="00B421FB" w:rsidP="00B421FB">
      <w:pPr>
        <w:numPr>
          <w:ilvl w:val="0"/>
          <w:numId w:val="1"/>
        </w:numPr>
        <w:spacing w:after="120" w:line="360" w:lineRule="auto"/>
        <w:jc w:val="both"/>
        <w:rPr>
          <w:color w:val="000000"/>
        </w:rPr>
      </w:pPr>
      <w:r>
        <w:rPr>
          <w:color w:val="000000"/>
          <w:rtl/>
        </w:rPr>
        <w:t xml:space="preserve">באיזון בין השיקולים השונים, לאחר שנתתי דעתי להסדר אשר אליו הגיעו הצדדים, סבורני כי יש למקם את עונשו של הנאשם  בתחתית מתחם העונש ההולם, וזאת לצד קנס כספי, עונש מאסר מותנה וחילוט הרכב. </w:t>
      </w:r>
    </w:p>
    <w:p w14:paraId="543A5E5D" w14:textId="77777777" w:rsidR="00B421FB" w:rsidRDefault="00B421FB" w:rsidP="00B421FB">
      <w:pPr>
        <w:spacing w:after="120" w:line="360" w:lineRule="auto"/>
        <w:ind w:left="720"/>
        <w:jc w:val="both"/>
        <w:rPr>
          <w:color w:val="000000"/>
        </w:rPr>
      </w:pPr>
      <w:r>
        <w:rPr>
          <w:color w:val="000000"/>
          <w:rtl/>
        </w:rPr>
        <w:t>אציין, כי מצאתי להתחשב במידת מה בגובה הקנס הכספי, נוכח החלטתי על חילוט הרכב, שיש בו משום סנקציה כלכלית משמעותית, בנוסף לרכיבי הענישה האחרים.</w:t>
      </w:r>
    </w:p>
    <w:p w14:paraId="5E43067A" w14:textId="77777777" w:rsidR="00B421FB" w:rsidRDefault="00B421FB" w:rsidP="00B421FB">
      <w:pPr>
        <w:spacing w:after="120" w:line="360" w:lineRule="auto"/>
        <w:ind w:left="720"/>
        <w:jc w:val="both"/>
        <w:rPr>
          <w:color w:val="000000"/>
          <w:rtl/>
        </w:rPr>
      </w:pPr>
      <w:r>
        <w:rPr>
          <w:color w:val="000000"/>
          <w:rtl/>
        </w:rPr>
        <w:t xml:space="preserve">עוד מצאתי מקום להתחשב בנאשם בנוגע לפסילת רישיון הנהיגה ועל אף העובדה שעשה שימוש בנהיגת הרכב לצורך העברת התחמושת, מצאתי כי נוכח העדר עבר פלילי קודם ולאור קבלת האחריות המיידית, להסתפק בעונש של פסילה על תנאי על מנת לאפשר לנאשם כלי שיקומי ולצרכי פרנסת ביתו באמצעות השימוש בנהיגת רכב. </w:t>
      </w:r>
    </w:p>
    <w:p w14:paraId="4C5C575A" w14:textId="77777777" w:rsidR="00B421FB" w:rsidRDefault="00B421FB" w:rsidP="00B421FB">
      <w:pPr>
        <w:spacing w:after="120" w:line="360" w:lineRule="auto"/>
        <w:jc w:val="both"/>
        <w:rPr>
          <w:b/>
          <w:bCs/>
          <w:u w:val="single"/>
          <w:rtl/>
        </w:rPr>
      </w:pPr>
    </w:p>
    <w:p w14:paraId="0D8FFA28" w14:textId="77777777" w:rsidR="00B421FB" w:rsidRDefault="00B421FB" w:rsidP="00B421FB">
      <w:pPr>
        <w:spacing w:after="120" w:line="360" w:lineRule="auto"/>
        <w:jc w:val="both"/>
        <w:rPr>
          <w:b/>
          <w:bCs/>
          <w:u w:val="single"/>
        </w:rPr>
      </w:pPr>
      <w:r>
        <w:rPr>
          <w:b/>
          <w:bCs/>
          <w:u w:val="single"/>
          <w:rtl/>
        </w:rPr>
        <w:t>סוף דבר</w:t>
      </w:r>
    </w:p>
    <w:p w14:paraId="677C7791" w14:textId="77777777" w:rsidR="00B421FB" w:rsidRDefault="00B421FB" w:rsidP="00B421FB">
      <w:pPr>
        <w:numPr>
          <w:ilvl w:val="0"/>
          <w:numId w:val="1"/>
        </w:numPr>
        <w:spacing w:after="120" w:line="360" w:lineRule="auto"/>
        <w:jc w:val="both"/>
        <w:rPr>
          <w:rFonts w:ascii="David" w:hAnsi="David"/>
          <w:color w:val="000000"/>
          <w:rtl/>
        </w:rPr>
      </w:pPr>
      <w:r>
        <w:rPr>
          <w:rFonts w:ascii="David" w:hAnsi="David"/>
          <w:b/>
          <w:bCs/>
          <w:color w:val="000000"/>
          <w:u w:val="single"/>
          <w:rtl/>
        </w:rPr>
        <w:t>אשר על-כן, הנני גוזר על הנאשם את העונשים הבאים</w:t>
      </w:r>
      <w:r>
        <w:rPr>
          <w:rFonts w:ascii="David" w:hAnsi="David"/>
          <w:color w:val="000000"/>
          <w:rtl/>
        </w:rPr>
        <w:t>:</w:t>
      </w:r>
    </w:p>
    <w:p w14:paraId="2D03E7DE" w14:textId="77777777" w:rsidR="00B421FB" w:rsidRDefault="00B421FB" w:rsidP="00B421FB">
      <w:pPr>
        <w:numPr>
          <w:ilvl w:val="1"/>
          <w:numId w:val="1"/>
        </w:numPr>
        <w:tabs>
          <w:tab w:val="num" w:pos="1286"/>
        </w:tabs>
        <w:spacing w:after="120" w:line="360" w:lineRule="auto"/>
        <w:ind w:left="720" w:hanging="540"/>
        <w:jc w:val="both"/>
        <w:rPr>
          <w:rFonts w:ascii="David" w:hAnsi="David"/>
          <w:color w:val="000000"/>
          <w:lang w:eastAsia="he-IL"/>
        </w:rPr>
      </w:pPr>
      <w:r>
        <w:rPr>
          <w:rFonts w:ascii="David" w:hAnsi="David"/>
          <w:color w:val="000000"/>
          <w:rtl/>
          <w:lang w:eastAsia="he-IL"/>
        </w:rPr>
        <w:t>9 חודשי מאסר בפועל בניכוי ימי מעצרו בגין תיק זה.</w:t>
      </w:r>
    </w:p>
    <w:p w14:paraId="09E30299" w14:textId="77777777" w:rsidR="00B421FB" w:rsidRDefault="00B421FB" w:rsidP="00B421FB">
      <w:pPr>
        <w:numPr>
          <w:ilvl w:val="1"/>
          <w:numId w:val="1"/>
        </w:numPr>
        <w:tabs>
          <w:tab w:val="num" w:pos="1286"/>
        </w:tabs>
        <w:spacing w:after="120" w:line="360" w:lineRule="auto"/>
        <w:ind w:left="720" w:hanging="540"/>
        <w:jc w:val="both"/>
        <w:rPr>
          <w:rFonts w:ascii="David" w:hAnsi="David"/>
          <w:color w:val="000000"/>
          <w:lang w:eastAsia="he-IL"/>
        </w:rPr>
      </w:pPr>
      <w:r>
        <w:rPr>
          <w:rFonts w:ascii="David" w:hAnsi="David"/>
          <w:color w:val="000000"/>
          <w:rtl/>
          <w:lang w:eastAsia="he-IL"/>
        </w:rPr>
        <w:t>7 חודשי מאסר על תנאי לבל יעבור הנאשם במשך שלוש שנים מיום שחרורו ממאסר כל עבירת נשק מסוג פשע.</w:t>
      </w:r>
    </w:p>
    <w:p w14:paraId="64E75DFA" w14:textId="77777777" w:rsidR="00B421FB" w:rsidRDefault="00B421FB" w:rsidP="00B421FB">
      <w:pPr>
        <w:numPr>
          <w:ilvl w:val="1"/>
          <w:numId w:val="1"/>
        </w:numPr>
        <w:tabs>
          <w:tab w:val="num" w:pos="1286"/>
        </w:tabs>
        <w:spacing w:after="120" w:line="360" w:lineRule="auto"/>
        <w:ind w:left="720" w:hanging="540"/>
        <w:jc w:val="both"/>
        <w:rPr>
          <w:rFonts w:ascii="David" w:hAnsi="David"/>
          <w:color w:val="000000"/>
          <w:lang w:eastAsia="he-IL"/>
        </w:rPr>
      </w:pPr>
      <w:r>
        <w:rPr>
          <w:rtl/>
        </w:rPr>
        <w:t>4 חודשי מאסר על תנאי, לבל יעבור הנאשם במשך שלוש שנים מיום שחרורו ממאסר כל עבירת נשק מסוג עוון.</w:t>
      </w:r>
    </w:p>
    <w:p w14:paraId="1B0D3B14" w14:textId="77777777" w:rsidR="00B421FB" w:rsidRPr="00700B5F" w:rsidRDefault="00B421FB" w:rsidP="00B421FB">
      <w:pPr>
        <w:numPr>
          <w:ilvl w:val="1"/>
          <w:numId w:val="1"/>
        </w:numPr>
        <w:tabs>
          <w:tab w:val="num" w:pos="1286"/>
        </w:tabs>
        <w:spacing w:after="120" w:line="360" w:lineRule="auto"/>
        <w:ind w:left="720" w:hanging="540"/>
        <w:jc w:val="both"/>
        <w:rPr>
          <w:rFonts w:ascii="David" w:hAnsi="David"/>
          <w:color w:val="000000"/>
          <w:lang w:eastAsia="he-IL"/>
        </w:rPr>
      </w:pPr>
      <w:r>
        <w:rPr>
          <w:rtl/>
        </w:rPr>
        <w:t>קנס כספי בסך של 4,000 ₪ או 40 ימי מאסר תמורתו. הקנס ישולם ב-4 תשלומים חודשיים שווים</w:t>
      </w:r>
      <w:r>
        <w:rPr>
          <w:rtl/>
          <w:lang w:eastAsia="he-IL"/>
        </w:rPr>
        <w:t xml:space="preserve"> ורצופים, שהראשון שבהם ביום 01.5.25 ובראשון לכל חודש שאחריו עד סיום מלוא תשלום הקנס. אם לא ישולם תשלום כלשהו במועדו, תעמוד היתרה לפירעון מיידי.</w:t>
      </w:r>
    </w:p>
    <w:p w14:paraId="65A04063" w14:textId="77777777" w:rsidR="00B421FB" w:rsidRPr="00700B5F" w:rsidRDefault="00B421FB" w:rsidP="00B421FB">
      <w:pPr>
        <w:spacing w:line="360" w:lineRule="auto"/>
        <w:ind w:firstLine="720"/>
        <w:jc w:val="both"/>
        <w:rPr>
          <w:u w:val="single"/>
        </w:rPr>
      </w:pPr>
      <w:r w:rsidRPr="00700B5F">
        <w:rPr>
          <w:rFonts w:hint="cs"/>
          <w:u w:val="single"/>
          <w:rtl/>
        </w:rPr>
        <w:t xml:space="preserve">את הקנס ניתן לשלם מהיום באחת מהדרכים הבאות: </w:t>
      </w:r>
    </w:p>
    <w:p w14:paraId="4FD2F2CD" w14:textId="77777777" w:rsidR="00B421FB" w:rsidRDefault="00B421FB" w:rsidP="00B421FB">
      <w:pPr>
        <w:numPr>
          <w:ilvl w:val="0"/>
          <w:numId w:val="2"/>
        </w:numPr>
        <w:spacing w:line="360" w:lineRule="auto"/>
        <w:jc w:val="both"/>
      </w:pPr>
      <w:r>
        <w:rPr>
          <w:rFonts w:hint="cs"/>
          <w:rtl/>
        </w:rPr>
        <w:t xml:space="preserve">בכרטיס אשראי – באתר המקוון של רשות האכיפה והגבייה, </w:t>
      </w:r>
      <w:hyperlink r:id="rId28" w:history="1">
        <w:r>
          <w:rPr>
            <w:rStyle w:val="Hyperlink"/>
          </w:rPr>
          <w:t>www.eca.gov.il</w:t>
        </w:r>
      </w:hyperlink>
      <w:r>
        <w:t xml:space="preserve"> </w:t>
      </w:r>
      <w:r>
        <w:rPr>
          <w:rFonts w:hint="cs"/>
          <w:rtl/>
        </w:rPr>
        <w:t>.</w:t>
      </w:r>
    </w:p>
    <w:p w14:paraId="6AB97E55" w14:textId="77777777" w:rsidR="00B421FB" w:rsidRDefault="00B421FB" w:rsidP="00B421FB">
      <w:pPr>
        <w:numPr>
          <w:ilvl w:val="0"/>
          <w:numId w:val="2"/>
        </w:numPr>
        <w:spacing w:line="360" w:lineRule="auto"/>
        <w:jc w:val="both"/>
      </w:pPr>
      <w:r>
        <w:rPr>
          <w:rFonts w:hint="cs"/>
          <w:rtl/>
        </w:rPr>
        <w:t>מוקד שירות טלפוני בשרות עצמי (מרכז גבייה)</w:t>
      </w:r>
      <w:r w:rsidR="007F7937">
        <w:rPr>
          <w:rFonts w:hint="cs"/>
          <w:rtl/>
        </w:rPr>
        <w:t xml:space="preserve"> </w:t>
      </w:r>
      <w:r>
        <w:rPr>
          <w:rFonts w:hint="cs"/>
          <w:rtl/>
        </w:rPr>
        <w:t xml:space="preserve"> – בטלפון 35592* או בטלפון 073-2055000.</w:t>
      </w:r>
    </w:p>
    <w:p w14:paraId="6930773E" w14:textId="77777777" w:rsidR="00B421FB" w:rsidRDefault="00B421FB" w:rsidP="00B421FB">
      <w:pPr>
        <w:numPr>
          <w:ilvl w:val="0"/>
          <w:numId w:val="2"/>
        </w:numPr>
        <w:spacing w:line="360" w:lineRule="auto"/>
        <w:jc w:val="both"/>
        <w:rPr>
          <w:rtl/>
        </w:rPr>
      </w:pPr>
      <w:r>
        <w:rPr>
          <w:rFonts w:hint="cs"/>
          <w:rtl/>
        </w:rPr>
        <w:t>במזומן בכל סניף של בנק הדואר – בהצגת תעודת זהות בלבד (אין צורך בהצגת בשוברי תשלום).</w:t>
      </w:r>
    </w:p>
    <w:p w14:paraId="035B62BD" w14:textId="77777777" w:rsidR="00B421FB" w:rsidRDefault="00B421FB" w:rsidP="00B421FB">
      <w:pPr>
        <w:rPr>
          <w:rtl/>
        </w:rPr>
      </w:pPr>
    </w:p>
    <w:p w14:paraId="63E79EA3" w14:textId="77777777" w:rsidR="00B421FB" w:rsidRDefault="00B421FB" w:rsidP="00B421FB">
      <w:pPr>
        <w:numPr>
          <w:ilvl w:val="1"/>
          <w:numId w:val="1"/>
        </w:numPr>
        <w:tabs>
          <w:tab w:val="num" w:pos="1286"/>
        </w:tabs>
        <w:spacing w:after="120" w:line="360" w:lineRule="auto"/>
        <w:ind w:left="720" w:hanging="540"/>
        <w:jc w:val="both"/>
        <w:rPr>
          <w:rFonts w:ascii="David" w:hAnsi="David"/>
          <w:color w:val="000000"/>
          <w:lang w:eastAsia="he-IL"/>
        </w:rPr>
      </w:pPr>
      <w:r>
        <w:rPr>
          <w:rFonts w:ascii="David" w:hAnsi="David"/>
          <w:color w:val="000000"/>
          <w:rtl/>
          <w:lang w:eastAsia="he-IL"/>
        </w:rPr>
        <w:t>פסילה על תנאי למשך 6 חודשים לתקופה של שנתיים מיום שחרורו, ככל ויעבור עבירת נשק מכל סוג שהוא.</w:t>
      </w:r>
    </w:p>
    <w:p w14:paraId="47BDB2F9" w14:textId="77777777" w:rsidR="00B421FB" w:rsidRDefault="00B421FB" w:rsidP="00B421FB">
      <w:pPr>
        <w:numPr>
          <w:ilvl w:val="1"/>
          <w:numId w:val="1"/>
        </w:numPr>
        <w:tabs>
          <w:tab w:val="num" w:pos="1286"/>
        </w:tabs>
        <w:spacing w:after="120" w:line="360" w:lineRule="auto"/>
        <w:ind w:left="720" w:hanging="540"/>
        <w:jc w:val="both"/>
        <w:rPr>
          <w:rFonts w:ascii="David" w:hAnsi="David"/>
          <w:color w:val="000000"/>
          <w:lang w:eastAsia="he-IL"/>
        </w:rPr>
      </w:pPr>
      <w:r>
        <w:rPr>
          <w:rFonts w:ascii="David" w:hAnsi="David"/>
          <w:color w:val="000000"/>
          <w:rtl/>
          <w:lang w:eastAsia="he-IL"/>
        </w:rPr>
        <w:t>הנאשם יצהיר על התחייבות כספית על סך 5,000 ₪ שלא לבצע עבירת נשק מכל סוג לתקופה של שנתיים מיום שחרורו ממאסר.</w:t>
      </w:r>
      <w:r>
        <w:rPr>
          <w:rFonts w:ascii="David" w:hAnsi="David" w:hint="cs"/>
          <w:color w:val="000000"/>
          <w:rtl/>
          <w:lang w:eastAsia="he-IL"/>
        </w:rPr>
        <w:t xml:space="preserve"> </w:t>
      </w:r>
      <w:r>
        <w:rPr>
          <w:rFonts w:ascii="David" w:hAnsi="David" w:hint="cs"/>
          <w:b/>
          <w:bCs/>
          <w:color w:val="000000"/>
          <w:rtl/>
          <w:lang w:eastAsia="he-IL"/>
        </w:rPr>
        <w:t>[ההתחייבות תוצהר לפרוטוקול]</w:t>
      </w:r>
      <w:r>
        <w:rPr>
          <w:rFonts w:ascii="David" w:hAnsi="David" w:hint="cs"/>
          <w:color w:val="000000"/>
          <w:rtl/>
          <w:lang w:eastAsia="he-IL"/>
        </w:rPr>
        <w:t>.</w:t>
      </w:r>
    </w:p>
    <w:p w14:paraId="5387D98A" w14:textId="77777777" w:rsidR="00B421FB" w:rsidRDefault="00B421FB" w:rsidP="00B421FB">
      <w:pPr>
        <w:numPr>
          <w:ilvl w:val="1"/>
          <w:numId w:val="1"/>
        </w:numPr>
        <w:tabs>
          <w:tab w:val="num" w:pos="1286"/>
        </w:tabs>
        <w:spacing w:after="120" w:line="360" w:lineRule="auto"/>
        <w:ind w:left="720" w:hanging="540"/>
        <w:jc w:val="both"/>
        <w:rPr>
          <w:rFonts w:ascii="David" w:hAnsi="David"/>
          <w:color w:val="000000"/>
          <w:lang w:eastAsia="he-IL"/>
        </w:rPr>
      </w:pPr>
      <w:r>
        <w:rPr>
          <w:rFonts w:ascii="David" w:hAnsi="David"/>
          <w:color w:val="000000"/>
          <w:rtl/>
          <w:lang w:eastAsia="he-IL"/>
        </w:rPr>
        <w:t xml:space="preserve">בהתאם לסמכותי על פי </w:t>
      </w:r>
      <w:hyperlink r:id="rId29" w:history="1">
        <w:r w:rsidR="00AB30D0" w:rsidRPr="00AB30D0">
          <w:rPr>
            <w:rStyle w:val="Hyperlink"/>
            <w:color w:val="0000FF"/>
            <w:rtl/>
          </w:rPr>
          <w:t>סעיף 39</w:t>
        </w:r>
      </w:hyperlink>
      <w:r>
        <w:rPr>
          <w:rtl/>
        </w:rPr>
        <w:t xml:space="preserve"> ל</w:t>
      </w:r>
      <w:hyperlink r:id="rId30" w:history="1">
        <w:r w:rsidR="007F7937" w:rsidRPr="007F7937">
          <w:rPr>
            <w:color w:val="0000FF"/>
            <w:u w:val="single"/>
            <w:rtl/>
          </w:rPr>
          <w:t>פקודת סדר הדין הפלילי (מעצר וחיפוש)</w:t>
        </w:r>
      </w:hyperlink>
      <w:r>
        <w:rPr>
          <w:rtl/>
        </w:rPr>
        <w:t xml:space="preserve"> [נוסח חדש], תשכ"ט-1969 מו</w:t>
      </w:r>
      <w:r>
        <w:rPr>
          <w:rFonts w:ascii="David" w:hAnsi="David"/>
          <w:color w:val="000000"/>
          <w:rtl/>
          <w:lang w:eastAsia="he-IL"/>
        </w:rPr>
        <w:t>רה על חילוט רכב מסוג סקודה מ.ר. 81-509-76 לאוצר המדינה.</w:t>
      </w:r>
    </w:p>
    <w:p w14:paraId="1DB1703B" w14:textId="77777777" w:rsidR="00B421FB" w:rsidRDefault="00B421FB" w:rsidP="00B421FB">
      <w:pPr>
        <w:spacing w:after="120" w:line="360" w:lineRule="auto"/>
        <w:ind w:left="180"/>
        <w:jc w:val="both"/>
        <w:rPr>
          <w:rFonts w:ascii="David" w:hAnsi="David"/>
          <w:color w:val="000000"/>
          <w:rtl/>
          <w:lang w:eastAsia="he-IL"/>
        </w:rPr>
      </w:pPr>
    </w:p>
    <w:p w14:paraId="3B2B4CE5" w14:textId="77777777" w:rsidR="00B421FB" w:rsidRPr="00700B5F" w:rsidRDefault="00B421FB" w:rsidP="00B421FB">
      <w:pPr>
        <w:spacing w:after="120" w:line="360" w:lineRule="auto"/>
        <w:jc w:val="both"/>
        <w:rPr>
          <w:rFonts w:ascii="David" w:hAnsi="David"/>
          <w:b/>
          <w:bCs/>
          <w:color w:val="000000"/>
          <w:lang w:eastAsia="he-IL"/>
        </w:rPr>
      </w:pPr>
      <w:r w:rsidRPr="00700B5F">
        <w:rPr>
          <w:rFonts w:ascii="David" w:hAnsi="David"/>
          <w:b/>
          <w:bCs/>
          <w:color w:val="000000"/>
          <w:rtl/>
          <w:lang w:eastAsia="he-IL"/>
        </w:rPr>
        <w:t xml:space="preserve">התחמושת שנתפסה תושמד. </w:t>
      </w:r>
    </w:p>
    <w:p w14:paraId="0731AF48" w14:textId="77777777" w:rsidR="00B421FB" w:rsidRPr="00A72608" w:rsidRDefault="007F7937" w:rsidP="00B421FB">
      <w:pPr>
        <w:spacing w:after="120" w:line="360" w:lineRule="auto"/>
        <w:jc w:val="both"/>
        <w:rPr>
          <w:b/>
          <w:bCs/>
          <w:rtl/>
          <w:lang w:eastAsia="he-IL"/>
        </w:rPr>
      </w:pPr>
      <w:r w:rsidRPr="007F7937">
        <w:rPr>
          <w:b/>
          <w:bCs/>
          <w:color w:val="FFFFFF"/>
          <w:sz w:val="2"/>
          <w:szCs w:val="2"/>
          <w:rtl/>
          <w:lang w:eastAsia="he-IL"/>
        </w:rPr>
        <w:t>5129371</w:t>
      </w:r>
      <w:r w:rsidR="00B421FB" w:rsidRPr="00A72608">
        <w:rPr>
          <w:b/>
          <w:bCs/>
          <w:rtl/>
          <w:lang w:eastAsia="he-IL"/>
        </w:rPr>
        <w:t xml:space="preserve">זכות ערעור לבית-המשפט העליון תוך 45 ימים. </w:t>
      </w:r>
    </w:p>
    <w:p w14:paraId="181E1894" w14:textId="77777777" w:rsidR="00B421FB" w:rsidRPr="007F7937" w:rsidRDefault="007F7937" w:rsidP="00B421FB">
      <w:pPr>
        <w:rPr>
          <w:rFonts w:ascii="Arial" w:hAnsi="Arial"/>
          <w:b/>
          <w:bCs/>
          <w:color w:val="FFFFFF"/>
          <w:sz w:val="2"/>
          <w:szCs w:val="2"/>
          <w:rtl/>
        </w:rPr>
      </w:pPr>
      <w:r w:rsidRPr="007F7937">
        <w:rPr>
          <w:rFonts w:ascii="Arial" w:hAnsi="Arial"/>
          <w:b/>
          <w:bCs/>
          <w:color w:val="FFFFFF"/>
          <w:sz w:val="2"/>
          <w:szCs w:val="2"/>
          <w:rtl/>
        </w:rPr>
        <w:t>54678313</w:t>
      </w:r>
    </w:p>
    <w:p w14:paraId="55A19AD0" w14:textId="77777777" w:rsidR="00B421FB" w:rsidRPr="000F2247" w:rsidRDefault="00B421FB" w:rsidP="00B421FB">
      <w:pPr>
        <w:rPr>
          <w:rFonts w:ascii="Arial" w:hAnsi="Arial"/>
          <w:b/>
          <w:bCs/>
          <w:sz w:val="26"/>
          <w:szCs w:val="26"/>
          <w:rtl/>
        </w:rPr>
      </w:pPr>
    </w:p>
    <w:p w14:paraId="33BD0E7B" w14:textId="77777777" w:rsidR="00B421FB" w:rsidRPr="000F2247" w:rsidRDefault="007F7937" w:rsidP="00B421FB">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כ"ו שבט תשפ"ה, 24 פברואר 2025, בהעדר הצדדים. </w:t>
      </w:r>
      <w:bookmarkEnd w:id="8"/>
      <w:r w:rsidR="00B421FB">
        <w:rPr>
          <w:rFonts w:ascii="Arial" w:hAnsi="Arial"/>
          <w:b/>
          <w:bCs/>
          <w:sz w:val="26"/>
          <w:szCs w:val="26"/>
          <w:rtl/>
        </w:rPr>
        <w:tab/>
      </w:r>
      <w:r w:rsidR="00B421FB">
        <w:rPr>
          <w:rFonts w:ascii="Arial" w:hAnsi="Arial"/>
          <w:b/>
          <w:bCs/>
          <w:sz w:val="26"/>
          <w:szCs w:val="26"/>
          <w:rtl/>
        </w:rPr>
        <w:tab/>
      </w:r>
      <w:r w:rsidR="00B421FB">
        <w:rPr>
          <w:rFonts w:ascii="Arial" w:hAnsi="Arial"/>
          <w:b/>
          <w:bCs/>
          <w:sz w:val="26"/>
          <w:szCs w:val="26"/>
          <w:rtl/>
        </w:rPr>
        <w:tab/>
      </w:r>
      <w:r w:rsidR="00B421FB">
        <w:rPr>
          <w:rFonts w:ascii="Arial" w:hAnsi="Arial"/>
          <w:b/>
          <w:bCs/>
          <w:sz w:val="26"/>
          <w:szCs w:val="26"/>
          <w:rtl/>
        </w:rPr>
        <w:tab/>
      </w:r>
      <w:r w:rsidR="00B421FB">
        <w:rPr>
          <w:rFonts w:ascii="Arial" w:hAnsi="Arial"/>
          <w:b/>
          <w:bCs/>
          <w:sz w:val="26"/>
          <w:szCs w:val="26"/>
          <w:rtl/>
        </w:rPr>
        <w:tab/>
      </w:r>
      <w:r w:rsidR="00B421FB">
        <w:rPr>
          <w:rFonts w:ascii="Arial" w:hAnsi="Arial"/>
          <w:b/>
          <w:bCs/>
          <w:sz w:val="26"/>
          <w:szCs w:val="26"/>
          <w:rtl/>
        </w:rPr>
        <w:tab/>
      </w:r>
      <w:r w:rsidR="00B421FB">
        <w:rPr>
          <w:rFonts w:ascii="Arial" w:hAnsi="Arial"/>
          <w:b/>
          <w:bCs/>
          <w:sz w:val="26"/>
          <w:szCs w:val="26"/>
          <w:rtl/>
        </w:rPr>
        <w:tab/>
      </w:r>
      <w:r w:rsidR="00B421FB">
        <w:rPr>
          <w:rFonts w:ascii="Arial" w:hAnsi="Arial" w:hint="cs"/>
          <w:b/>
          <w:bCs/>
          <w:sz w:val="26"/>
          <w:szCs w:val="26"/>
          <w:rtl/>
        </w:rPr>
        <w:t xml:space="preserve">         </w:t>
      </w:r>
    </w:p>
    <w:p w14:paraId="76E15441" w14:textId="77777777" w:rsidR="007F7937" w:rsidRDefault="007F7937" w:rsidP="007F7937">
      <w:pPr>
        <w:rPr>
          <w:rtl/>
        </w:rPr>
      </w:pPr>
    </w:p>
    <w:p w14:paraId="3D6A3E12" w14:textId="77777777" w:rsidR="007F7937" w:rsidRDefault="007F7937" w:rsidP="007F7937">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2FDC0724" w14:textId="77777777" w:rsidR="00AB30D0" w:rsidRPr="00AB30D0" w:rsidRDefault="00AB30D0" w:rsidP="00AB30D0">
      <w:pPr>
        <w:keepNext/>
        <w:rPr>
          <w:rFonts w:ascii="David" w:hAnsi="David"/>
          <w:color w:val="000000"/>
          <w:sz w:val="22"/>
          <w:szCs w:val="22"/>
          <w:rtl/>
        </w:rPr>
      </w:pPr>
    </w:p>
    <w:p w14:paraId="270AB850" w14:textId="77777777" w:rsidR="00AB30D0" w:rsidRPr="00AB30D0" w:rsidRDefault="00AB30D0" w:rsidP="00AB30D0">
      <w:pPr>
        <w:keepNext/>
        <w:rPr>
          <w:rFonts w:ascii="David" w:hAnsi="David"/>
          <w:color w:val="000000"/>
          <w:sz w:val="22"/>
          <w:szCs w:val="22"/>
          <w:rtl/>
        </w:rPr>
      </w:pPr>
      <w:r w:rsidRPr="00AB30D0">
        <w:rPr>
          <w:rFonts w:ascii="David" w:hAnsi="David"/>
          <w:color w:val="000000"/>
          <w:sz w:val="22"/>
          <w:szCs w:val="22"/>
          <w:rtl/>
        </w:rPr>
        <w:t>אבישי כהן 54678313-/</w:t>
      </w:r>
    </w:p>
    <w:p w14:paraId="614D8C6F" w14:textId="77777777" w:rsidR="007F7937" w:rsidRPr="007F7937" w:rsidRDefault="00AB30D0" w:rsidP="00AB30D0">
      <w:pPr>
        <w:rPr>
          <w:color w:val="0000FF"/>
          <w:u w:val="single"/>
        </w:rPr>
      </w:pPr>
      <w:r w:rsidRPr="00AB30D0">
        <w:rPr>
          <w:color w:val="000000"/>
          <w:u w:val="single"/>
          <w:rtl/>
        </w:rPr>
        <w:t>נוסח מסמך זה כפוף לשינויי ניסוח ועריכה</w:t>
      </w:r>
    </w:p>
    <w:sectPr w:rsidR="007F7937" w:rsidRPr="007F7937" w:rsidSect="00AB30D0">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D41FB9" w14:textId="77777777" w:rsidR="00A06BD3" w:rsidRDefault="00A06BD3" w:rsidP="00830ABC">
      <w:r>
        <w:separator/>
      </w:r>
    </w:p>
  </w:endnote>
  <w:endnote w:type="continuationSeparator" w:id="0">
    <w:p w14:paraId="7E2E2B2D" w14:textId="77777777" w:rsidR="00A06BD3" w:rsidRDefault="00A06BD3" w:rsidP="00830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BE2D1" w14:textId="77777777" w:rsidR="00AB30D0" w:rsidRDefault="00AB30D0" w:rsidP="00AB30D0">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3F19689B" w14:textId="77777777" w:rsidR="00DE031E" w:rsidRPr="00AB30D0" w:rsidRDefault="00AB30D0" w:rsidP="00AB30D0">
    <w:pPr>
      <w:pStyle w:val="a6"/>
      <w:pBdr>
        <w:top w:val="single" w:sz="4" w:space="1" w:color="auto"/>
        <w:between w:val="single" w:sz="4" w:space="0" w:color="auto"/>
      </w:pBdr>
      <w:spacing w:after="60"/>
      <w:jc w:val="center"/>
      <w:rPr>
        <w:rFonts w:ascii="FrankRuehl" w:hAnsi="FrankRuehl" w:cs="FrankRuehl"/>
        <w:color w:val="000000"/>
      </w:rPr>
    </w:pPr>
    <w:r w:rsidRPr="00AB30D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505EEC" w14:textId="77777777" w:rsidR="00AB30D0" w:rsidRDefault="00AB30D0" w:rsidP="00AB30D0">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C3CAA">
      <w:rPr>
        <w:rFonts w:ascii="FrankRuehl" w:hAnsi="FrankRuehl" w:cs="FrankRuehl"/>
        <w:noProof/>
        <w:rtl/>
      </w:rPr>
      <w:t>1</w:t>
    </w:r>
    <w:r>
      <w:rPr>
        <w:rFonts w:ascii="FrankRuehl" w:hAnsi="FrankRuehl" w:cs="FrankRuehl"/>
        <w:rtl/>
      </w:rPr>
      <w:fldChar w:fldCharType="end"/>
    </w:r>
  </w:p>
  <w:p w14:paraId="7E5666B6" w14:textId="77777777" w:rsidR="00DE031E" w:rsidRPr="00AB30D0" w:rsidRDefault="00AB30D0" w:rsidP="00AB30D0">
    <w:pPr>
      <w:pStyle w:val="a6"/>
      <w:pBdr>
        <w:top w:val="single" w:sz="4" w:space="1" w:color="auto"/>
        <w:between w:val="single" w:sz="4" w:space="0" w:color="auto"/>
      </w:pBdr>
      <w:spacing w:after="60"/>
      <w:jc w:val="center"/>
      <w:rPr>
        <w:rFonts w:ascii="FrankRuehl" w:hAnsi="FrankRuehl" w:cs="FrankRuehl"/>
        <w:color w:val="000000"/>
      </w:rPr>
    </w:pPr>
    <w:r w:rsidRPr="00AB30D0">
      <w:rPr>
        <w:rFonts w:ascii="FrankRuehl" w:hAnsi="FrankRuehl" w:cs="FrankRuehl"/>
        <w:color w:val="000000"/>
      </w:rPr>
      <w:pict w14:anchorId="5D7F2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C6258A" w14:textId="77777777" w:rsidR="00A06BD3" w:rsidRDefault="00A06BD3" w:rsidP="00830ABC">
      <w:r>
        <w:separator/>
      </w:r>
    </w:p>
  </w:footnote>
  <w:footnote w:type="continuationSeparator" w:id="0">
    <w:p w14:paraId="617EEC7E" w14:textId="77777777" w:rsidR="00A06BD3" w:rsidRDefault="00A06BD3" w:rsidP="00830A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F40DD2" w14:textId="77777777" w:rsidR="007F7937" w:rsidRPr="00AB30D0" w:rsidRDefault="00AB30D0" w:rsidP="00AB30D0">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53220-09-24</w:t>
    </w:r>
    <w:r>
      <w:rPr>
        <w:rFonts w:ascii="David" w:hAnsi="David"/>
        <w:color w:val="000000"/>
        <w:sz w:val="22"/>
        <w:szCs w:val="22"/>
        <w:rtl/>
      </w:rPr>
      <w:tab/>
      <w:t xml:space="preserve"> מדינת ישראל נ' באסל אבו סעד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C66544" w14:textId="77777777" w:rsidR="007F7937" w:rsidRPr="00AB30D0" w:rsidRDefault="00AB30D0" w:rsidP="00AB30D0">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53220-09-24</w:t>
    </w:r>
    <w:r>
      <w:rPr>
        <w:rFonts w:ascii="David" w:hAnsi="David"/>
        <w:color w:val="000000"/>
        <w:sz w:val="22"/>
        <w:szCs w:val="22"/>
        <w:rtl/>
      </w:rPr>
      <w:tab/>
      <w:t xml:space="preserve"> מדינת ישראל נ' באסל אבו סעד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Times New Roman"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Times New Roman"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Times New Roman"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1C5E6DF5"/>
    <w:multiLevelType w:val="hybridMultilevel"/>
    <w:tmpl w:val="097AEE38"/>
    <w:lvl w:ilvl="0" w:tplc="800A5CAC">
      <w:start w:val="1"/>
      <w:numFmt w:val="decimal"/>
      <w:pStyle w:val="a"/>
      <w:lvlText w:val="%1."/>
      <w:lvlJc w:val="left"/>
      <w:pPr>
        <w:tabs>
          <w:tab w:val="num" w:pos="720"/>
        </w:tabs>
        <w:ind w:left="720" w:hanging="720"/>
      </w:pPr>
      <w:rPr>
        <w:rFonts w:cs="Times New Roman"/>
        <w:b w:val="0"/>
        <w:bCs w:val="0"/>
      </w:rPr>
    </w:lvl>
    <w:lvl w:ilvl="1" w:tplc="912E2E92">
      <w:start w:val="1"/>
      <w:numFmt w:val="hebrew1"/>
      <w:lvlText w:val="%2."/>
      <w:lvlJc w:val="left"/>
      <w:pPr>
        <w:tabs>
          <w:tab w:val="num" w:pos="1620"/>
        </w:tabs>
        <w:ind w:left="1620" w:hanging="360"/>
      </w:pPr>
      <w:rPr>
        <w:rFonts w:ascii="David" w:hAnsi="David" w:cs="David" w:hint="default"/>
        <w:b w:val="0"/>
        <w:bCs w:val="0"/>
      </w:rPr>
    </w:lvl>
    <w:lvl w:ilvl="2" w:tplc="C3B0CB38">
      <w:start w:val="1"/>
      <w:numFmt w:val="decimal"/>
      <w:lvlText w:val="(%3)"/>
      <w:lvlJc w:val="left"/>
      <w:pPr>
        <w:tabs>
          <w:tab w:val="num" w:pos="2340"/>
        </w:tabs>
        <w:ind w:left="234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13936944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3390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421FB"/>
    <w:rsid w:val="002519C9"/>
    <w:rsid w:val="002C3CAA"/>
    <w:rsid w:val="007F7937"/>
    <w:rsid w:val="00830ABC"/>
    <w:rsid w:val="009A4E4C"/>
    <w:rsid w:val="00A06BD3"/>
    <w:rsid w:val="00A33B52"/>
    <w:rsid w:val="00AB30D0"/>
    <w:rsid w:val="00B421FB"/>
    <w:rsid w:val="00DE03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DAE6CAF"/>
  <w15:chartTrackingRefBased/>
  <w15:docId w15:val="{56B9225C-0DB8-4C1B-BCE4-FB1EB5E52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B421FB"/>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B421FB"/>
    <w:pPr>
      <w:tabs>
        <w:tab w:val="center" w:pos="4153"/>
        <w:tab w:val="right" w:pos="8306"/>
      </w:tabs>
    </w:pPr>
  </w:style>
  <w:style w:type="character" w:customStyle="1" w:styleId="a5">
    <w:name w:val="כותרת עליונה תו"/>
    <w:link w:val="a4"/>
    <w:rsid w:val="00B421FB"/>
    <w:rPr>
      <w:rFonts w:ascii="Times New Roman" w:eastAsia="Times New Roman" w:hAnsi="Times New Roman" w:cs="David"/>
      <w:sz w:val="24"/>
      <w:szCs w:val="24"/>
    </w:rPr>
  </w:style>
  <w:style w:type="paragraph" w:styleId="a6">
    <w:name w:val="footer"/>
    <w:basedOn w:val="a0"/>
    <w:link w:val="a7"/>
    <w:rsid w:val="00B421FB"/>
    <w:pPr>
      <w:tabs>
        <w:tab w:val="center" w:pos="4153"/>
        <w:tab w:val="right" w:pos="8306"/>
      </w:tabs>
    </w:pPr>
  </w:style>
  <w:style w:type="character" w:customStyle="1" w:styleId="a7">
    <w:name w:val="כותרת תחתונה תו"/>
    <w:link w:val="a6"/>
    <w:rsid w:val="00B421FB"/>
    <w:rPr>
      <w:rFonts w:ascii="Times New Roman" w:eastAsia="Times New Roman" w:hAnsi="Times New Roman" w:cs="David"/>
      <w:sz w:val="24"/>
      <w:szCs w:val="24"/>
    </w:rPr>
  </w:style>
  <w:style w:type="table" w:styleId="a8">
    <w:name w:val="Table Grid"/>
    <w:basedOn w:val="a2"/>
    <w:rsid w:val="00B421F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B421FB"/>
  </w:style>
  <w:style w:type="paragraph" w:styleId="aa">
    <w:name w:val="List Paragraph"/>
    <w:basedOn w:val="a0"/>
    <w:qFormat/>
    <w:rsid w:val="00B421FB"/>
    <w:pPr>
      <w:ind w:left="720"/>
      <w:contextualSpacing/>
    </w:pPr>
  </w:style>
  <w:style w:type="paragraph" w:customStyle="1" w:styleId="a">
    <w:name w:val="ממוספר"/>
    <w:basedOn w:val="a0"/>
    <w:rsid w:val="00B421FB"/>
    <w:pPr>
      <w:numPr>
        <w:numId w:val="1"/>
      </w:numPr>
      <w:spacing w:after="120" w:line="360" w:lineRule="auto"/>
    </w:pPr>
    <w:rPr>
      <w:rFonts w:ascii="David" w:hAnsi="David"/>
      <w:color w:val="000000"/>
    </w:rPr>
  </w:style>
  <w:style w:type="character" w:styleId="Hyperlink">
    <w:name w:val="Hyperlink"/>
    <w:rsid w:val="00B421F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case/28914731" TargetMode="External"/><Relationship Id="rId26" Type="http://schemas.openxmlformats.org/officeDocument/2006/relationships/hyperlink" Target="http://www.nevo.co.il/case/28134740" TargetMode="External"/><Relationship Id="rId21" Type="http://schemas.openxmlformats.org/officeDocument/2006/relationships/hyperlink" Target="http://www.nevo.co.il/case/27115374" TargetMode="External"/><Relationship Id="rId34" Type="http://schemas.openxmlformats.org/officeDocument/2006/relationships/footer" Target="footer1.xml"/><Relationship Id="rId7" Type="http://schemas.openxmlformats.org/officeDocument/2006/relationships/hyperlink" Target="http://www.nevo.co.il/law/70301" TargetMode="External"/><Relationship Id="rId12" Type="http://schemas.openxmlformats.org/officeDocument/2006/relationships/hyperlink" Target="http://www.nevo.co.il/law/74918/39" TargetMode="External"/><Relationship Id="rId17" Type="http://schemas.openxmlformats.org/officeDocument/2006/relationships/hyperlink" Target="http://www.nevo.co.il/law/70301/40i" TargetMode="External"/><Relationship Id="rId25" Type="http://schemas.openxmlformats.org/officeDocument/2006/relationships/hyperlink" Target="http://www.nevo.co.il/case/17922225"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case/25940943" TargetMode="External"/><Relationship Id="rId20" Type="http://schemas.openxmlformats.org/officeDocument/2006/relationships/hyperlink" Target="http://www.nevo.co.il/case/27738282" TargetMode="External"/><Relationship Id="rId29" Type="http://schemas.openxmlformats.org/officeDocument/2006/relationships/hyperlink" Target="http://www.nevo.co.il/law/74918/3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4918" TargetMode="External"/><Relationship Id="rId24" Type="http://schemas.openxmlformats.org/officeDocument/2006/relationships/hyperlink" Target="http://www.nevo.co.il/case/27272576"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22006503" TargetMode="External"/><Relationship Id="rId23" Type="http://schemas.openxmlformats.org/officeDocument/2006/relationships/hyperlink" Target="http://www.nevo.co.il/law/74918/39" TargetMode="External"/><Relationship Id="rId28" Type="http://schemas.openxmlformats.org/officeDocument/2006/relationships/hyperlink" Target="http://www.eca.gov.il" TargetMode="External"/><Relationship Id="rId36" Type="http://schemas.openxmlformats.org/officeDocument/2006/relationships/fontTable" Target="fontTable.xml"/><Relationship Id="rId10" Type="http://schemas.openxmlformats.org/officeDocument/2006/relationships/hyperlink" Target="http://www.nevo.co.il/law/70301/40ja" TargetMode="External"/><Relationship Id="rId19" Type="http://schemas.openxmlformats.org/officeDocument/2006/relationships/hyperlink" Target="http://www.nevo.co.il/case/27142643"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40ja" TargetMode="External"/><Relationship Id="rId30" Type="http://schemas.openxmlformats.org/officeDocument/2006/relationships/hyperlink" Target="http://www.nevo.co.il/law/74918" TargetMode="External"/><Relationship Id="rId35" Type="http://schemas.openxmlformats.org/officeDocument/2006/relationships/footer" Target="footer2.xml"/><Relationship Id="rId8" Type="http://schemas.openxmlformats.org/officeDocument/2006/relationships/hyperlink" Target="http://www.nevo.co.il/law/70301/40i"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2329</Words>
  <Characters>11646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13948</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8323182</vt:i4>
      </vt:variant>
      <vt:variant>
        <vt:i4>69</vt:i4>
      </vt:variant>
      <vt:variant>
        <vt:i4>0</vt:i4>
      </vt:variant>
      <vt:variant>
        <vt:i4>5</vt:i4>
      </vt:variant>
      <vt:variant>
        <vt:lpwstr>http://www.nevo.co.il/law/74918</vt:lpwstr>
      </vt:variant>
      <vt:variant>
        <vt:lpwstr/>
      </vt:variant>
      <vt:variant>
        <vt:i4>6881381</vt:i4>
      </vt:variant>
      <vt:variant>
        <vt:i4>66</vt:i4>
      </vt:variant>
      <vt:variant>
        <vt:i4>0</vt:i4>
      </vt:variant>
      <vt:variant>
        <vt:i4>5</vt:i4>
      </vt:variant>
      <vt:variant>
        <vt:lpwstr>http://www.nevo.co.il/law/74918/39</vt:lpwstr>
      </vt:variant>
      <vt:variant>
        <vt:lpwstr/>
      </vt:variant>
      <vt:variant>
        <vt:i4>7864368</vt:i4>
      </vt:variant>
      <vt:variant>
        <vt:i4>63</vt:i4>
      </vt:variant>
      <vt:variant>
        <vt:i4>0</vt:i4>
      </vt:variant>
      <vt:variant>
        <vt:i4>5</vt:i4>
      </vt:variant>
      <vt:variant>
        <vt:lpwstr>http://www.eca.gov.il/</vt:lpwstr>
      </vt:variant>
      <vt:variant>
        <vt:lpwstr/>
      </vt:variant>
      <vt:variant>
        <vt:i4>262155</vt:i4>
      </vt:variant>
      <vt:variant>
        <vt:i4>60</vt:i4>
      </vt:variant>
      <vt:variant>
        <vt:i4>0</vt:i4>
      </vt:variant>
      <vt:variant>
        <vt:i4>5</vt:i4>
      </vt:variant>
      <vt:variant>
        <vt:lpwstr>http://www.nevo.co.il/law/70301/40ja</vt:lpwstr>
      </vt:variant>
      <vt:variant>
        <vt:lpwstr/>
      </vt:variant>
      <vt:variant>
        <vt:i4>3342456</vt:i4>
      </vt:variant>
      <vt:variant>
        <vt:i4>57</vt:i4>
      </vt:variant>
      <vt:variant>
        <vt:i4>0</vt:i4>
      </vt:variant>
      <vt:variant>
        <vt:i4>5</vt:i4>
      </vt:variant>
      <vt:variant>
        <vt:lpwstr>http://www.nevo.co.il/case/28134740</vt:lpwstr>
      </vt:variant>
      <vt:variant>
        <vt:lpwstr/>
      </vt:variant>
      <vt:variant>
        <vt:i4>3670131</vt:i4>
      </vt:variant>
      <vt:variant>
        <vt:i4>54</vt:i4>
      </vt:variant>
      <vt:variant>
        <vt:i4>0</vt:i4>
      </vt:variant>
      <vt:variant>
        <vt:i4>5</vt:i4>
      </vt:variant>
      <vt:variant>
        <vt:lpwstr>http://www.nevo.co.il/case/17922225</vt:lpwstr>
      </vt:variant>
      <vt:variant>
        <vt:lpwstr/>
      </vt:variant>
      <vt:variant>
        <vt:i4>3473521</vt:i4>
      </vt:variant>
      <vt:variant>
        <vt:i4>51</vt:i4>
      </vt:variant>
      <vt:variant>
        <vt:i4>0</vt:i4>
      </vt:variant>
      <vt:variant>
        <vt:i4>5</vt:i4>
      </vt:variant>
      <vt:variant>
        <vt:lpwstr>http://www.nevo.co.il/case/27272576</vt:lpwstr>
      </vt:variant>
      <vt:variant>
        <vt:lpwstr/>
      </vt:variant>
      <vt:variant>
        <vt:i4>6881381</vt:i4>
      </vt:variant>
      <vt:variant>
        <vt:i4>48</vt:i4>
      </vt:variant>
      <vt:variant>
        <vt:i4>0</vt:i4>
      </vt:variant>
      <vt:variant>
        <vt:i4>5</vt:i4>
      </vt:variant>
      <vt:variant>
        <vt:lpwstr>http://www.nevo.co.il/law/74918/39</vt:lpwstr>
      </vt:variant>
      <vt:variant>
        <vt:lpwstr/>
      </vt:variant>
      <vt:variant>
        <vt:i4>7995492</vt:i4>
      </vt:variant>
      <vt:variant>
        <vt:i4>45</vt:i4>
      </vt:variant>
      <vt:variant>
        <vt:i4>0</vt:i4>
      </vt:variant>
      <vt:variant>
        <vt:i4>5</vt:i4>
      </vt:variant>
      <vt:variant>
        <vt:lpwstr>http://www.nevo.co.il/law/70301</vt:lpwstr>
      </vt:variant>
      <vt:variant>
        <vt:lpwstr/>
      </vt:variant>
      <vt:variant>
        <vt:i4>3211377</vt:i4>
      </vt:variant>
      <vt:variant>
        <vt:i4>42</vt:i4>
      </vt:variant>
      <vt:variant>
        <vt:i4>0</vt:i4>
      </vt:variant>
      <vt:variant>
        <vt:i4>5</vt:i4>
      </vt:variant>
      <vt:variant>
        <vt:lpwstr>http://www.nevo.co.il/case/27115374</vt:lpwstr>
      </vt:variant>
      <vt:variant>
        <vt:lpwstr/>
      </vt:variant>
      <vt:variant>
        <vt:i4>3473522</vt:i4>
      </vt:variant>
      <vt:variant>
        <vt:i4>39</vt:i4>
      </vt:variant>
      <vt:variant>
        <vt:i4>0</vt:i4>
      </vt:variant>
      <vt:variant>
        <vt:i4>5</vt:i4>
      </vt:variant>
      <vt:variant>
        <vt:lpwstr>http://www.nevo.co.il/case/27738282</vt:lpwstr>
      </vt:variant>
      <vt:variant>
        <vt:lpwstr/>
      </vt:variant>
      <vt:variant>
        <vt:i4>3473521</vt:i4>
      </vt:variant>
      <vt:variant>
        <vt:i4>36</vt:i4>
      </vt:variant>
      <vt:variant>
        <vt:i4>0</vt:i4>
      </vt:variant>
      <vt:variant>
        <vt:i4>5</vt:i4>
      </vt:variant>
      <vt:variant>
        <vt:lpwstr>http://www.nevo.co.il/case/27142643</vt:lpwstr>
      </vt:variant>
      <vt:variant>
        <vt:lpwstr/>
      </vt:variant>
      <vt:variant>
        <vt:i4>3932282</vt:i4>
      </vt:variant>
      <vt:variant>
        <vt:i4>33</vt:i4>
      </vt:variant>
      <vt:variant>
        <vt:i4>0</vt:i4>
      </vt:variant>
      <vt:variant>
        <vt:i4>5</vt:i4>
      </vt:variant>
      <vt:variant>
        <vt:lpwstr>http://www.nevo.co.il/case/28914731</vt:lpwstr>
      </vt:variant>
      <vt:variant>
        <vt:lpwstr/>
      </vt:variant>
      <vt:variant>
        <vt:i4>6619233</vt:i4>
      </vt:variant>
      <vt:variant>
        <vt:i4>30</vt:i4>
      </vt:variant>
      <vt:variant>
        <vt:i4>0</vt:i4>
      </vt:variant>
      <vt:variant>
        <vt:i4>5</vt:i4>
      </vt:variant>
      <vt:variant>
        <vt:lpwstr>http://www.nevo.co.il/law/70301/40i</vt:lpwstr>
      </vt:variant>
      <vt:variant>
        <vt:lpwstr/>
      </vt:variant>
      <vt:variant>
        <vt:i4>4128892</vt:i4>
      </vt:variant>
      <vt:variant>
        <vt:i4>27</vt:i4>
      </vt:variant>
      <vt:variant>
        <vt:i4>0</vt:i4>
      </vt:variant>
      <vt:variant>
        <vt:i4>5</vt:i4>
      </vt:variant>
      <vt:variant>
        <vt:lpwstr>http://www.nevo.co.il/case/25940943</vt:lpwstr>
      </vt:variant>
      <vt:variant>
        <vt:lpwstr/>
      </vt:variant>
      <vt:variant>
        <vt:i4>3407987</vt:i4>
      </vt:variant>
      <vt:variant>
        <vt:i4>24</vt:i4>
      </vt:variant>
      <vt:variant>
        <vt:i4>0</vt:i4>
      </vt:variant>
      <vt:variant>
        <vt:i4>5</vt:i4>
      </vt:variant>
      <vt:variant>
        <vt:lpwstr>http://www.nevo.co.il/case/22006503</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6881381</vt:i4>
      </vt:variant>
      <vt:variant>
        <vt:i4>15</vt:i4>
      </vt:variant>
      <vt:variant>
        <vt:i4>0</vt:i4>
      </vt:variant>
      <vt:variant>
        <vt:i4>5</vt:i4>
      </vt:variant>
      <vt:variant>
        <vt:lpwstr>http://www.nevo.co.il/law/74918/39</vt:lpwstr>
      </vt:variant>
      <vt:variant>
        <vt:lpwstr/>
      </vt:variant>
      <vt:variant>
        <vt:i4>8323182</vt:i4>
      </vt:variant>
      <vt:variant>
        <vt:i4>12</vt:i4>
      </vt:variant>
      <vt:variant>
        <vt:i4>0</vt:i4>
      </vt:variant>
      <vt:variant>
        <vt:i4>5</vt:i4>
      </vt:variant>
      <vt:variant>
        <vt:lpwstr>http://www.nevo.co.il/law/74918</vt:lpwstr>
      </vt:variant>
      <vt:variant>
        <vt:lpwstr/>
      </vt:variant>
      <vt:variant>
        <vt:i4>262155</vt:i4>
      </vt:variant>
      <vt:variant>
        <vt:i4>9</vt:i4>
      </vt:variant>
      <vt:variant>
        <vt:i4>0</vt:i4>
      </vt:variant>
      <vt:variant>
        <vt:i4>5</vt:i4>
      </vt:variant>
      <vt:variant>
        <vt:lpwstr>http://www.nevo.co.il/law/70301/40ja</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2025-04-25T11:09:00Z</dcterms:created>
  <dcterms:modified xsi:type="dcterms:W3CDTF">2025-04-25T11:09:00Z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53220</vt:lpwstr>
  </property>
  <property fmtid="{D5CDD505-2E9C-101B-9397-08002B2CF9AE}" pid="6" name="NEWPARTB">
    <vt:lpwstr>09</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באסל אבו סעד </vt:lpwstr>
  </property>
  <property fmtid="{D5CDD505-2E9C-101B-9397-08002B2CF9AE}" pid="10" name="LAWYER">
    <vt:lpwstr>זוהר נאור;צחי לוי;זקי אלעוברה</vt:lpwstr>
  </property>
  <property fmtid="{D5CDD505-2E9C-101B-9397-08002B2CF9AE}" pid="11" name="JUDGE">
    <vt:lpwstr>אבישי כהן</vt:lpwstr>
  </property>
  <property fmtid="{D5CDD505-2E9C-101B-9397-08002B2CF9AE}" pid="12" name="CITY">
    <vt:lpwstr>ב"ש</vt:lpwstr>
  </property>
  <property fmtid="{D5CDD505-2E9C-101B-9397-08002B2CF9AE}" pid="13" name="DATE">
    <vt:lpwstr>20250224</vt:lpwstr>
  </property>
  <property fmtid="{D5CDD505-2E9C-101B-9397-08002B2CF9AE}" pid="14" name="TYPE_N_DATE">
    <vt:lpwstr>38020250224</vt:lpwstr>
  </property>
  <property fmtid="{D5CDD505-2E9C-101B-9397-08002B2CF9AE}" pid="15" name="CASESLISTTMP1">
    <vt:lpwstr>22006503;25940943;28914731;27142643;27738282;27115374;27272576;17922225;28134740</vt:lpwstr>
  </property>
  <property fmtid="{D5CDD505-2E9C-101B-9397-08002B2CF9AE}" pid="16" name="ISABSTRACT">
    <vt:lpwstr>Y</vt:lpwstr>
  </property>
  <property fmtid="{D5CDD505-2E9C-101B-9397-08002B2CF9AE}" pid="17" name="WORDNUMPAGES">
    <vt:lpwstr>7</vt:lpwstr>
  </property>
  <property fmtid="{D5CDD505-2E9C-101B-9397-08002B2CF9AE}" pid="18" name="TYPE_ABS_DATE">
    <vt:lpwstr>380020250224</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70301/144.a;040i;40ja</vt:lpwstr>
  </property>
  <property fmtid="{D5CDD505-2E9C-101B-9397-08002B2CF9AE}" pid="37" name="LAWLISTTMP2">
    <vt:lpwstr>74918/039:2</vt:lpwstr>
  </property>
</Properties>
</file>