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5D624A" w:rsidRPr="00F916C8" w14:paraId="46ED10D5" w14:textId="77777777" w:rsidTr="009723BD">
        <w:trPr>
          <w:trHeight w:hRule="exact" w:val="418"/>
          <w:jc w:val="center"/>
        </w:trPr>
        <w:tc>
          <w:tcPr>
            <w:tcW w:w="8721" w:type="dxa"/>
            <w:gridSpan w:val="2"/>
          </w:tcPr>
          <w:p w14:paraId="5411B8D8" w14:textId="77777777" w:rsidR="005D624A" w:rsidRPr="00F916C8" w:rsidRDefault="005D624A" w:rsidP="00001FB3">
            <w:pPr>
              <w:pStyle w:val="a3"/>
              <w:jc w:val="center"/>
              <w:rPr>
                <w:rFonts w:ascii="Tahoma" w:hAnsi="Tahoma" w:cs="Tahoma"/>
                <w:color w:val="000080"/>
                <w:rtl/>
              </w:rPr>
            </w:pPr>
            <w:r w:rsidRPr="00F916C8">
              <w:rPr>
                <w:rFonts w:ascii="Tahoma" w:hAnsi="Tahoma" w:cs="Tahoma"/>
                <w:b/>
                <w:bCs/>
                <w:color w:val="000080"/>
                <w:rtl/>
              </w:rPr>
              <w:t>בית משפט השלום ברמלה</w:t>
            </w:r>
          </w:p>
        </w:tc>
      </w:tr>
      <w:tr w:rsidR="005D624A" w:rsidRPr="00F916C8" w14:paraId="31344BC7" w14:textId="77777777" w:rsidTr="009723BD">
        <w:trPr>
          <w:trHeight w:val="337"/>
          <w:jc w:val="center"/>
        </w:trPr>
        <w:tc>
          <w:tcPr>
            <w:tcW w:w="5060" w:type="dxa"/>
          </w:tcPr>
          <w:p w14:paraId="0FAB9778" w14:textId="77777777" w:rsidR="005D624A" w:rsidRPr="00F916C8" w:rsidRDefault="005D624A" w:rsidP="00001FB3">
            <w:pPr>
              <w:rPr>
                <w:rFonts w:cs="FrankRuehl"/>
                <w:sz w:val="28"/>
                <w:szCs w:val="28"/>
                <w:rtl/>
              </w:rPr>
            </w:pPr>
            <w:r w:rsidRPr="00F916C8">
              <w:rPr>
                <w:rFonts w:cs="FrankRuehl"/>
                <w:sz w:val="28"/>
                <w:szCs w:val="28"/>
                <w:rtl/>
              </w:rPr>
              <w:t>ת"פ</w:t>
            </w:r>
            <w:r w:rsidRPr="00F916C8">
              <w:rPr>
                <w:rFonts w:cs="FrankRuehl" w:hint="cs"/>
                <w:sz w:val="28"/>
                <w:szCs w:val="28"/>
                <w:rtl/>
              </w:rPr>
              <w:t xml:space="preserve"> </w:t>
            </w:r>
            <w:r w:rsidRPr="00F916C8">
              <w:rPr>
                <w:rFonts w:cs="FrankRuehl"/>
                <w:sz w:val="28"/>
                <w:szCs w:val="28"/>
                <w:rtl/>
              </w:rPr>
              <w:t>263-10-24</w:t>
            </w:r>
            <w:r w:rsidRPr="00F916C8">
              <w:rPr>
                <w:rFonts w:cs="FrankRuehl" w:hint="cs"/>
                <w:sz w:val="28"/>
                <w:szCs w:val="28"/>
                <w:rtl/>
              </w:rPr>
              <w:t xml:space="preserve"> </w:t>
            </w:r>
            <w:r w:rsidRPr="00F916C8">
              <w:rPr>
                <w:rFonts w:cs="FrankRuehl"/>
                <w:sz w:val="28"/>
                <w:szCs w:val="28"/>
                <w:rtl/>
              </w:rPr>
              <w:t>מדינת ישראל נ' אלכורדי(עציר)</w:t>
            </w:r>
          </w:p>
          <w:p w14:paraId="44DE9323" w14:textId="77777777" w:rsidR="005D624A" w:rsidRPr="00F916C8" w:rsidRDefault="005D624A" w:rsidP="00001FB3">
            <w:pPr>
              <w:pStyle w:val="a3"/>
              <w:rPr>
                <w:rFonts w:cs="FrankRuehl"/>
                <w:sz w:val="28"/>
                <w:szCs w:val="28"/>
                <w:rtl/>
              </w:rPr>
            </w:pPr>
          </w:p>
        </w:tc>
        <w:tc>
          <w:tcPr>
            <w:tcW w:w="3661" w:type="dxa"/>
          </w:tcPr>
          <w:p w14:paraId="29BF7690" w14:textId="77777777" w:rsidR="005D624A" w:rsidRPr="00F916C8" w:rsidRDefault="005D624A" w:rsidP="00001FB3">
            <w:pPr>
              <w:pStyle w:val="a3"/>
              <w:jc w:val="right"/>
              <w:rPr>
                <w:rFonts w:cs="FrankRuehl"/>
                <w:sz w:val="28"/>
                <w:szCs w:val="28"/>
                <w:rtl/>
              </w:rPr>
            </w:pPr>
          </w:p>
        </w:tc>
      </w:tr>
    </w:tbl>
    <w:p w14:paraId="3E4BE67D" w14:textId="77777777" w:rsidR="005D624A" w:rsidRPr="00F916C8" w:rsidRDefault="005D624A" w:rsidP="005D624A">
      <w:pPr>
        <w:pStyle w:val="a3"/>
        <w:rPr>
          <w:rtl/>
        </w:rPr>
      </w:pPr>
      <w:r w:rsidRPr="00F916C8">
        <w:rPr>
          <w:rFonts w:hint="cs"/>
          <w:rtl/>
        </w:rPr>
        <w:t xml:space="preserve"> </w:t>
      </w:r>
    </w:p>
    <w:p w14:paraId="00D6110C" w14:textId="77777777" w:rsidR="005D624A" w:rsidRPr="00F916C8" w:rsidRDefault="005D624A" w:rsidP="005D624A">
      <w:pPr>
        <w:rPr>
          <w:rtl/>
        </w:rPr>
      </w:pPr>
    </w:p>
    <w:p w14:paraId="2F589F59" w14:textId="77777777" w:rsidR="005D624A" w:rsidRPr="00F916C8" w:rsidRDefault="005D624A" w:rsidP="005D624A"/>
    <w:p w14:paraId="75E5F6B1" w14:textId="77777777" w:rsidR="005D624A" w:rsidRPr="00F916C8" w:rsidRDefault="005D624A" w:rsidP="005D624A">
      <w:pPr>
        <w:rPr>
          <w:rFonts w:ascii="Arial (W1)" w:hAnsi="Arial (W1)"/>
          <w:b/>
          <w:bCs/>
          <w:sz w:val="28"/>
          <w:szCs w:val="28"/>
        </w:rPr>
      </w:pPr>
      <w:r w:rsidRPr="00F916C8">
        <w:rPr>
          <w:rFonts w:ascii="Arial (W1)" w:hAnsi="Arial (W1)"/>
          <w:b/>
          <w:bCs/>
          <w:sz w:val="28"/>
          <w:szCs w:val="28"/>
          <w:rtl/>
        </w:rPr>
        <w:softHyphen/>
      </w:r>
      <w:r w:rsidRPr="00F916C8">
        <w:rPr>
          <w:rFonts w:ascii="Arial (W1)" w:hAnsi="Arial (W1)"/>
          <w:b/>
          <w:bCs/>
          <w:sz w:val="28"/>
          <w:szCs w:val="28"/>
          <w:rtl/>
        </w:rPr>
        <w:softHyphen/>
        <w:t>לפני:</w:t>
      </w:r>
      <w:r w:rsidRPr="00F916C8">
        <w:rPr>
          <w:rFonts w:ascii="Arial (W1)" w:hAnsi="Arial (W1)"/>
          <w:b/>
          <w:bCs/>
          <w:sz w:val="28"/>
          <w:szCs w:val="28"/>
          <w:rtl/>
        </w:rPr>
        <w:tab/>
      </w:r>
      <w:r w:rsidRPr="00F916C8">
        <w:rPr>
          <w:rFonts w:ascii="Arial (W1)" w:hAnsi="Arial (W1)"/>
          <w:b/>
          <w:bCs/>
          <w:sz w:val="28"/>
          <w:szCs w:val="28"/>
          <w:rtl/>
        </w:rPr>
        <w:tab/>
      </w:r>
      <w:r w:rsidRPr="00F916C8">
        <w:rPr>
          <w:rFonts w:ascii="Arial (W1)" w:hAnsi="Arial (W1)"/>
          <w:b/>
          <w:bCs/>
          <w:sz w:val="28"/>
          <w:szCs w:val="28"/>
          <w:rtl/>
        </w:rPr>
        <w:tab/>
      </w:r>
      <w:r w:rsidRPr="00F916C8">
        <w:rPr>
          <w:rFonts w:ascii="Arial (W1)" w:hAnsi="Arial (W1)"/>
          <w:b/>
          <w:bCs/>
          <w:sz w:val="28"/>
          <w:szCs w:val="28"/>
          <w:rtl/>
        </w:rPr>
        <w:tab/>
        <w:t xml:space="preserve">כבוד השופטת </w:t>
      </w:r>
      <w:bookmarkStart w:id="0" w:name="LastJudge"/>
      <w:r w:rsidRPr="00F916C8">
        <w:rPr>
          <w:rFonts w:ascii="Arial (W1)" w:hAnsi="Arial (W1)"/>
          <w:b/>
          <w:bCs/>
          <w:sz w:val="28"/>
          <w:szCs w:val="28"/>
          <w:rtl/>
        </w:rPr>
        <w:t>סגנית הנשיא</w:t>
      </w:r>
      <w:bookmarkEnd w:id="0"/>
      <w:r w:rsidRPr="00F916C8">
        <w:rPr>
          <w:rFonts w:ascii="Arial (W1)" w:hAnsi="Arial (W1)"/>
          <w:b/>
          <w:bCs/>
          <w:sz w:val="28"/>
          <w:szCs w:val="28"/>
          <w:rtl/>
        </w:rPr>
        <w:t xml:space="preserve"> דורית סבן נוי</w:t>
      </w:r>
    </w:p>
    <w:p w14:paraId="1235D615" w14:textId="77777777" w:rsidR="005D624A" w:rsidRPr="00F916C8" w:rsidRDefault="005D624A" w:rsidP="005D624A">
      <w:pPr>
        <w:rPr>
          <w:rFonts w:ascii="Arial (W1)" w:hAnsi="Arial (W1)"/>
          <w:b/>
          <w:bCs/>
          <w:sz w:val="28"/>
          <w:szCs w:val="28"/>
          <w:rtl/>
        </w:rPr>
      </w:pPr>
    </w:p>
    <w:p w14:paraId="3662A38B" w14:textId="77777777" w:rsidR="005D624A" w:rsidRPr="00F916C8" w:rsidRDefault="005D624A" w:rsidP="005D624A">
      <w:pPr>
        <w:rPr>
          <w:rFonts w:ascii="Arial (W1)" w:hAnsi="Arial (W1)"/>
          <w:b/>
          <w:bCs/>
          <w:sz w:val="28"/>
          <w:szCs w:val="28"/>
          <w:rtl/>
        </w:rPr>
      </w:pPr>
      <w:r w:rsidRPr="00F916C8">
        <w:rPr>
          <w:rFonts w:ascii="Arial (W1)" w:hAnsi="Arial (W1)"/>
          <w:b/>
          <w:bCs/>
          <w:sz w:val="28"/>
          <w:szCs w:val="28"/>
          <w:rtl/>
        </w:rPr>
        <w:t>ה</w:t>
      </w:r>
      <w:bookmarkStart w:id="1" w:name="FirstAppellant"/>
      <w:r w:rsidRPr="00F916C8">
        <w:rPr>
          <w:rFonts w:ascii="Arial (W1)" w:hAnsi="Arial (W1)"/>
          <w:b/>
          <w:bCs/>
          <w:sz w:val="28"/>
          <w:szCs w:val="28"/>
          <w:rtl/>
        </w:rPr>
        <w:t>מאשימ</w:t>
      </w:r>
      <w:bookmarkEnd w:id="1"/>
      <w:r w:rsidRPr="00F916C8">
        <w:rPr>
          <w:rFonts w:ascii="Arial (W1)" w:hAnsi="Arial (W1)"/>
          <w:b/>
          <w:bCs/>
          <w:sz w:val="28"/>
          <w:szCs w:val="28"/>
          <w:rtl/>
        </w:rPr>
        <w:t>ה:</w:t>
      </w:r>
      <w:r w:rsidRPr="00F916C8">
        <w:rPr>
          <w:rFonts w:ascii="Arial (W1)" w:hAnsi="Arial (W1)"/>
          <w:b/>
          <w:bCs/>
          <w:sz w:val="28"/>
          <w:szCs w:val="28"/>
          <w:rtl/>
        </w:rPr>
        <w:tab/>
      </w:r>
      <w:r w:rsidRPr="00F916C8">
        <w:rPr>
          <w:rFonts w:ascii="Arial (W1)" w:hAnsi="Arial (W1)"/>
          <w:b/>
          <w:bCs/>
          <w:sz w:val="28"/>
          <w:szCs w:val="28"/>
          <w:rtl/>
        </w:rPr>
        <w:tab/>
      </w:r>
      <w:r w:rsidRPr="00F916C8">
        <w:rPr>
          <w:rFonts w:ascii="Arial (W1)" w:hAnsi="Arial (W1)"/>
          <w:b/>
          <w:bCs/>
          <w:sz w:val="28"/>
          <w:szCs w:val="28"/>
          <w:rtl/>
        </w:rPr>
        <w:tab/>
        <w:t>מדינת ישראל</w:t>
      </w:r>
    </w:p>
    <w:p w14:paraId="0128E304" w14:textId="77777777" w:rsidR="005D624A" w:rsidRPr="00F916C8" w:rsidRDefault="005D624A" w:rsidP="005D624A">
      <w:pPr>
        <w:rPr>
          <w:rFonts w:ascii="Arial (W1)" w:hAnsi="Arial (W1)"/>
          <w:b/>
          <w:bCs/>
          <w:sz w:val="28"/>
          <w:szCs w:val="28"/>
          <w:rtl/>
        </w:rPr>
      </w:pPr>
      <w:r w:rsidRPr="00F916C8">
        <w:rPr>
          <w:rFonts w:ascii="Arial (W1)" w:hAnsi="Arial (W1)"/>
          <w:b/>
          <w:bCs/>
          <w:sz w:val="28"/>
          <w:szCs w:val="28"/>
          <w:rtl/>
        </w:rPr>
        <w:tab/>
      </w:r>
      <w:r w:rsidRPr="00F916C8">
        <w:rPr>
          <w:rFonts w:ascii="Arial (W1)" w:hAnsi="Arial (W1)"/>
          <w:b/>
          <w:bCs/>
          <w:sz w:val="28"/>
          <w:szCs w:val="28"/>
          <w:rtl/>
        </w:rPr>
        <w:tab/>
      </w:r>
      <w:r w:rsidRPr="00F916C8">
        <w:rPr>
          <w:rFonts w:ascii="Arial (W1)" w:hAnsi="Arial (W1)"/>
          <w:b/>
          <w:bCs/>
          <w:sz w:val="28"/>
          <w:szCs w:val="28"/>
          <w:rtl/>
        </w:rPr>
        <w:tab/>
      </w:r>
      <w:r w:rsidRPr="00F916C8">
        <w:rPr>
          <w:rFonts w:ascii="Arial (W1)" w:hAnsi="Arial (W1)"/>
          <w:b/>
          <w:bCs/>
          <w:sz w:val="28"/>
          <w:szCs w:val="28"/>
          <w:rtl/>
        </w:rPr>
        <w:tab/>
        <w:t xml:space="preserve">באמצעות פרקליטות מחוז מרכז </w:t>
      </w:r>
    </w:p>
    <w:p w14:paraId="1899C9ED" w14:textId="77777777" w:rsidR="005D624A" w:rsidRPr="00F916C8" w:rsidRDefault="005D624A" w:rsidP="005D624A">
      <w:pPr>
        <w:rPr>
          <w:rFonts w:ascii="Arial (W1)" w:hAnsi="Arial (W1)"/>
          <w:b/>
          <w:bCs/>
          <w:sz w:val="28"/>
          <w:szCs w:val="28"/>
          <w:rtl/>
        </w:rPr>
      </w:pPr>
    </w:p>
    <w:p w14:paraId="5EE448C9" w14:textId="77777777" w:rsidR="005D624A" w:rsidRPr="00F916C8" w:rsidRDefault="005D624A" w:rsidP="005D624A">
      <w:pPr>
        <w:rPr>
          <w:rFonts w:ascii="Arial (W1)" w:hAnsi="Arial (W1)"/>
          <w:b/>
          <w:bCs/>
          <w:sz w:val="28"/>
          <w:szCs w:val="28"/>
          <w:rtl/>
        </w:rPr>
      </w:pPr>
      <w:r w:rsidRPr="00F916C8">
        <w:rPr>
          <w:rFonts w:ascii="Arial (W1)" w:hAnsi="Arial (W1)"/>
          <w:b/>
          <w:bCs/>
          <w:sz w:val="28"/>
          <w:szCs w:val="28"/>
          <w:rtl/>
        </w:rPr>
        <w:tab/>
      </w:r>
      <w:r w:rsidRPr="00F916C8">
        <w:rPr>
          <w:rFonts w:ascii="Arial (W1)" w:hAnsi="Arial (W1)"/>
          <w:b/>
          <w:bCs/>
          <w:sz w:val="28"/>
          <w:szCs w:val="28"/>
          <w:rtl/>
        </w:rPr>
        <w:tab/>
      </w:r>
      <w:r w:rsidRPr="00F916C8">
        <w:rPr>
          <w:rFonts w:ascii="Arial (W1)" w:hAnsi="Arial (W1)"/>
          <w:b/>
          <w:bCs/>
          <w:sz w:val="28"/>
          <w:szCs w:val="28"/>
          <w:rtl/>
        </w:rPr>
        <w:tab/>
      </w:r>
      <w:r w:rsidRPr="00F916C8">
        <w:rPr>
          <w:rFonts w:ascii="Arial (W1)" w:hAnsi="Arial (W1)"/>
          <w:b/>
          <w:bCs/>
          <w:sz w:val="28"/>
          <w:szCs w:val="28"/>
          <w:rtl/>
        </w:rPr>
        <w:tab/>
      </w:r>
      <w:r w:rsidRPr="00F916C8">
        <w:rPr>
          <w:rFonts w:ascii="Arial (W1)" w:hAnsi="Arial (W1)"/>
          <w:b/>
          <w:bCs/>
          <w:sz w:val="28"/>
          <w:szCs w:val="28"/>
          <w:rtl/>
        </w:rPr>
        <w:tab/>
      </w:r>
      <w:r w:rsidRPr="00F916C8">
        <w:rPr>
          <w:rFonts w:ascii="Arial (W1)" w:hAnsi="Arial (W1)"/>
          <w:b/>
          <w:bCs/>
          <w:sz w:val="28"/>
          <w:szCs w:val="28"/>
          <w:rtl/>
        </w:rPr>
        <w:tab/>
        <w:t>נ ג ד</w:t>
      </w:r>
    </w:p>
    <w:p w14:paraId="76C93B7E" w14:textId="77777777" w:rsidR="005D624A" w:rsidRPr="00F916C8" w:rsidRDefault="005D624A" w:rsidP="005D624A">
      <w:pPr>
        <w:rPr>
          <w:rFonts w:ascii="Arial (W1)" w:hAnsi="Arial (W1)"/>
          <w:b/>
          <w:bCs/>
          <w:sz w:val="28"/>
          <w:szCs w:val="28"/>
          <w:rtl/>
        </w:rPr>
      </w:pPr>
    </w:p>
    <w:p w14:paraId="20FC4BA8" w14:textId="77777777" w:rsidR="005D624A" w:rsidRPr="00F916C8" w:rsidRDefault="005D624A" w:rsidP="005D624A">
      <w:pPr>
        <w:rPr>
          <w:rFonts w:ascii="Arial (W1)" w:hAnsi="Arial (W1)"/>
          <w:b/>
          <w:bCs/>
          <w:sz w:val="28"/>
          <w:szCs w:val="28"/>
          <w:rtl/>
        </w:rPr>
      </w:pPr>
      <w:r w:rsidRPr="00F916C8">
        <w:rPr>
          <w:rFonts w:ascii="Arial (W1)" w:hAnsi="Arial (W1)"/>
          <w:b/>
          <w:bCs/>
          <w:sz w:val="28"/>
          <w:szCs w:val="28"/>
          <w:rtl/>
        </w:rPr>
        <w:t>הנאשם:</w:t>
      </w:r>
      <w:r w:rsidRPr="00F916C8">
        <w:rPr>
          <w:rFonts w:ascii="Arial (W1)" w:hAnsi="Arial (W1)"/>
          <w:b/>
          <w:bCs/>
          <w:sz w:val="28"/>
          <w:szCs w:val="28"/>
          <w:rtl/>
        </w:rPr>
        <w:tab/>
      </w:r>
      <w:r w:rsidRPr="00F916C8">
        <w:rPr>
          <w:rFonts w:ascii="Arial (W1)" w:hAnsi="Arial (W1)"/>
          <w:b/>
          <w:bCs/>
          <w:sz w:val="28"/>
          <w:szCs w:val="28"/>
          <w:rtl/>
        </w:rPr>
        <w:tab/>
      </w:r>
      <w:r w:rsidRPr="00F916C8">
        <w:rPr>
          <w:rFonts w:ascii="Arial (W1)" w:hAnsi="Arial (W1)"/>
          <w:b/>
          <w:bCs/>
          <w:sz w:val="28"/>
          <w:szCs w:val="28"/>
          <w:rtl/>
        </w:rPr>
        <w:tab/>
        <w:t>מועתז אלכורדי</w:t>
      </w:r>
    </w:p>
    <w:p w14:paraId="09EF41AE" w14:textId="77777777" w:rsidR="005D624A" w:rsidRPr="00F916C8" w:rsidRDefault="005D624A" w:rsidP="005D624A">
      <w:pPr>
        <w:rPr>
          <w:rFonts w:ascii="Arial (W1)" w:hAnsi="Arial (W1)"/>
          <w:b/>
          <w:bCs/>
          <w:sz w:val="28"/>
          <w:szCs w:val="28"/>
          <w:rtl/>
        </w:rPr>
      </w:pPr>
      <w:r w:rsidRPr="00F916C8">
        <w:rPr>
          <w:rFonts w:ascii="Arial (W1)" w:hAnsi="Arial (W1)"/>
          <w:b/>
          <w:bCs/>
          <w:sz w:val="28"/>
          <w:szCs w:val="28"/>
          <w:rtl/>
        </w:rPr>
        <w:tab/>
      </w:r>
      <w:r w:rsidRPr="00F916C8">
        <w:rPr>
          <w:rFonts w:ascii="Arial (W1)" w:hAnsi="Arial (W1)"/>
          <w:b/>
          <w:bCs/>
          <w:sz w:val="28"/>
          <w:szCs w:val="28"/>
          <w:rtl/>
        </w:rPr>
        <w:tab/>
      </w:r>
      <w:r w:rsidRPr="00F916C8">
        <w:rPr>
          <w:rFonts w:ascii="Arial (W1)" w:hAnsi="Arial (W1)"/>
          <w:b/>
          <w:bCs/>
          <w:sz w:val="28"/>
          <w:szCs w:val="28"/>
          <w:rtl/>
        </w:rPr>
        <w:tab/>
      </w:r>
      <w:r w:rsidRPr="00F916C8">
        <w:rPr>
          <w:rFonts w:ascii="Arial (W1)" w:hAnsi="Arial (W1)"/>
          <w:b/>
          <w:bCs/>
          <w:sz w:val="28"/>
          <w:szCs w:val="28"/>
          <w:rtl/>
        </w:rPr>
        <w:tab/>
      </w:r>
    </w:p>
    <w:p w14:paraId="3AB754ED" w14:textId="77777777" w:rsidR="005D624A" w:rsidRPr="00F916C8" w:rsidRDefault="005D624A" w:rsidP="005D624A">
      <w:pPr>
        <w:rPr>
          <w:rFonts w:ascii="Arial (W1)" w:hAnsi="Arial (W1)"/>
          <w:b/>
          <w:bCs/>
          <w:sz w:val="28"/>
          <w:szCs w:val="28"/>
          <w:rtl/>
        </w:rPr>
      </w:pPr>
    </w:p>
    <w:p w14:paraId="2641E217" w14:textId="77777777" w:rsidR="005D624A" w:rsidRPr="00F916C8" w:rsidRDefault="005D624A" w:rsidP="005D624A">
      <w:pPr>
        <w:rPr>
          <w:rFonts w:ascii="Arial (W1)" w:hAnsi="Arial (W1)"/>
          <w:sz w:val="28"/>
          <w:szCs w:val="28"/>
          <w:rtl/>
        </w:rPr>
      </w:pPr>
      <w:bookmarkStart w:id="2" w:name="FirstLawyer"/>
      <w:r w:rsidRPr="00F916C8">
        <w:rPr>
          <w:rFonts w:ascii="Arial (W1)" w:hAnsi="Arial (W1)"/>
          <w:sz w:val="28"/>
          <w:szCs w:val="28"/>
          <w:rtl/>
        </w:rPr>
        <w:t>בשם</w:t>
      </w:r>
      <w:bookmarkEnd w:id="2"/>
      <w:r w:rsidRPr="00F916C8">
        <w:rPr>
          <w:rFonts w:ascii="Arial (W1)" w:hAnsi="Arial (W1)"/>
          <w:sz w:val="28"/>
          <w:szCs w:val="28"/>
          <w:rtl/>
        </w:rPr>
        <w:t xml:space="preserve"> המאשימה:</w:t>
      </w:r>
      <w:r w:rsidRPr="00F916C8">
        <w:rPr>
          <w:rFonts w:ascii="Arial (W1)" w:hAnsi="Arial (W1)"/>
          <w:sz w:val="28"/>
          <w:szCs w:val="28"/>
          <w:rtl/>
        </w:rPr>
        <w:tab/>
      </w:r>
      <w:r w:rsidRPr="00F916C8">
        <w:rPr>
          <w:rFonts w:ascii="Arial (W1)" w:hAnsi="Arial (W1)"/>
          <w:sz w:val="28"/>
          <w:szCs w:val="28"/>
          <w:rtl/>
        </w:rPr>
        <w:tab/>
        <w:t>עו"ד אורעד שלוו</w:t>
      </w:r>
    </w:p>
    <w:p w14:paraId="488B459A" w14:textId="77777777" w:rsidR="005D624A" w:rsidRPr="00F916C8" w:rsidRDefault="005D624A" w:rsidP="005D624A">
      <w:pPr>
        <w:rPr>
          <w:rFonts w:ascii="Arial (W1)" w:hAnsi="Arial (W1)"/>
          <w:sz w:val="28"/>
          <w:szCs w:val="28"/>
          <w:rtl/>
        </w:rPr>
      </w:pPr>
      <w:r w:rsidRPr="00F916C8">
        <w:rPr>
          <w:rFonts w:ascii="Arial (W1)" w:hAnsi="Arial (W1)"/>
          <w:sz w:val="28"/>
          <w:szCs w:val="28"/>
          <w:rtl/>
        </w:rPr>
        <w:t>בשם הנאשם:</w:t>
      </w:r>
      <w:r w:rsidRPr="00F916C8">
        <w:rPr>
          <w:rFonts w:ascii="Arial (W1)" w:hAnsi="Arial (W1)"/>
          <w:sz w:val="28"/>
          <w:szCs w:val="28"/>
          <w:rtl/>
        </w:rPr>
        <w:tab/>
      </w:r>
      <w:r w:rsidRPr="00F916C8">
        <w:rPr>
          <w:rFonts w:ascii="Arial (W1)" w:hAnsi="Arial (W1)"/>
          <w:sz w:val="28"/>
          <w:szCs w:val="28"/>
          <w:rtl/>
        </w:rPr>
        <w:tab/>
      </w:r>
      <w:r w:rsidRPr="00F916C8">
        <w:rPr>
          <w:rFonts w:ascii="Arial (W1)" w:hAnsi="Arial (W1)"/>
          <w:sz w:val="28"/>
          <w:szCs w:val="28"/>
          <w:rtl/>
        </w:rPr>
        <w:tab/>
        <w:t>עו"ד שאדי כבהא</w:t>
      </w:r>
    </w:p>
    <w:p w14:paraId="21F9F618" w14:textId="77777777" w:rsidR="009723BD" w:rsidRDefault="009723BD" w:rsidP="005D624A">
      <w:pPr>
        <w:spacing w:line="360" w:lineRule="auto"/>
        <w:rPr>
          <w:rFonts w:ascii="Arial (W1)" w:hAnsi="Arial (W1)"/>
          <w:sz w:val="28"/>
          <w:szCs w:val="28"/>
          <w:rtl/>
        </w:rPr>
      </w:pPr>
      <w:bookmarkStart w:id="3" w:name="LawTable"/>
      <w:bookmarkEnd w:id="3"/>
    </w:p>
    <w:p w14:paraId="0D62C5B2" w14:textId="77777777" w:rsidR="009723BD" w:rsidRDefault="009723BD" w:rsidP="009723BD">
      <w:pPr>
        <w:spacing w:after="120" w:line="240" w:lineRule="exact"/>
        <w:ind w:left="283" w:hanging="283"/>
        <w:jc w:val="both"/>
        <w:rPr>
          <w:rFonts w:ascii="FrankRuehl" w:hAnsi="FrankRuehl" w:cs="FrankRuehl" w:hint="cs"/>
          <w:rtl/>
        </w:rPr>
      </w:pPr>
    </w:p>
    <w:p w14:paraId="21470260" w14:textId="77777777" w:rsidR="009723BD" w:rsidRDefault="009723BD" w:rsidP="009723BD">
      <w:pPr>
        <w:spacing w:after="120" w:line="240" w:lineRule="exact"/>
        <w:ind w:left="283" w:hanging="283"/>
        <w:jc w:val="both"/>
        <w:rPr>
          <w:rFonts w:ascii="FrankRuehl" w:hAnsi="FrankRuehl" w:cs="FrankRuehl" w:hint="cs"/>
          <w:rtl/>
        </w:rPr>
      </w:pPr>
    </w:p>
    <w:p w14:paraId="3C32E601" w14:textId="77777777" w:rsidR="009723BD" w:rsidRDefault="009723BD" w:rsidP="009723BD">
      <w:pPr>
        <w:spacing w:after="120" w:line="240" w:lineRule="exact"/>
        <w:ind w:left="283" w:hanging="283"/>
        <w:jc w:val="both"/>
        <w:rPr>
          <w:rFonts w:ascii="FrankRuehl" w:hAnsi="FrankRuehl" w:cs="FrankRuehl" w:hint="cs"/>
          <w:rtl/>
        </w:rPr>
      </w:pPr>
    </w:p>
    <w:p w14:paraId="07AE98FF" w14:textId="77777777" w:rsidR="009723BD" w:rsidRDefault="009723BD" w:rsidP="009723BD">
      <w:pPr>
        <w:spacing w:after="120" w:line="240" w:lineRule="exact"/>
        <w:ind w:left="283" w:hanging="283"/>
        <w:jc w:val="both"/>
        <w:rPr>
          <w:rFonts w:ascii="FrankRuehl" w:hAnsi="FrankRuehl" w:cs="FrankRuehl" w:hint="cs"/>
          <w:rtl/>
        </w:rPr>
      </w:pPr>
    </w:p>
    <w:p w14:paraId="50301FF0" w14:textId="77777777" w:rsidR="009723BD" w:rsidRDefault="009723BD" w:rsidP="009723BD">
      <w:pPr>
        <w:spacing w:after="120" w:line="240" w:lineRule="exact"/>
        <w:ind w:left="283" w:hanging="283"/>
        <w:jc w:val="both"/>
        <w:rPr>
          <w:rFonts w:ascii="FrankRuehl" w:hAnsi="FrankRuehl" w:cs="FrankRuehl" w:hint="cs"/>
          <w:rtl/>
        </w:rPr>
      </w:pPr>
    </w:p>
    <w:p w14:paraId="614627F5" w14:textId="77777777" w:rsidR="009723BD" w:rsidRPr="009723BD" w:rsidRDefault="009723BD" w:rsidP="009723BD">
      <w:pPr>
        <w:spacing w:after="120" w:line="240" w:lineRule="exact"/>
        <w:ind w:left="283" w:hanging="283"/>
        <w:jc w:val="both"/>
        <w:rPr>
          <w:rFonts w:ascii="FrankRuehl" w:hAnsi="FrankRuehl" w:cs="FrankRuehl" w:hint="cs"/>
          <w:rtl/>
        </w:rPr>
      </w:pPr>
    </w:p>
    <w:p w14:paraId="5B77BFD0" w14:textId="77777777" w:rsidR="009723BD" w:rsidRPr="009723BD" w:rsidRDefault="009723BD" w:rsidP="009723BD">
      <w:pPr>
        <w:spacing w:after="120" w:line="240" w:lineRule="exact"/>
        <w:ind w:left="283" w:hanging="283"/>
        <w:jc w:val="both"/>
        <w:rPr>
          <w:rFonts w:ascii="FrankRuehl" w:hAnsi="FrankRuehl" w:cs="FrankRuehl"/>
          <w:rtl/>
        </w:rPr>
      </w:pPr>
      <w:r w:rsidRPr="009723BD">
        <w:rPr>
          <w:rFonts w:ascii="FrankRuehl" w:hAnsi="FrankRuehl" w:cs="FrankRuehl" w:hint="eastAsia"/>
          <w:rtl/>
        </w:rPr>
        <w:t>חקיקה</w:t>
      </w:r>
      <w:r w:rsidRPr="009723BD">
        <w:rPr>
          <w:rFonts w:ascii="FrankRuehl" w:hAnsi="FrankRuehl" w:cs="FrankRuehl"/>
          <w:rtl/>
        </w:rPr>
        <w:t xml:space="preserve"> </w:t>
      </w:r>
      <w:r w:rsidRPr="009723BD">
        <w:rPr>
          <w:rFonts w:ascii="FrankRuehl" w:hAnsi="FrankRuehl" w:cs="FrankRuehl" w:hint="eastAsia"/>
          <w:rtl/>
        </w:rPr>
        <w:t>שאוזכרה</w:t>
      </w:r>
      <w:r w:rsidRPr="009723BD">
        <w:rPr>
          <w:rFonts w:ascii="FrankRuehl" w:hAnsi="FrankRuehl" w:cs="FrankRuehl"/>
          <w:rtl/>
        </w:rPr>
        <w:t xml:space="preserve">: </w:t>
      </w:r>
    </w:p>
    <w:p w14:paraId="1C06784A" w14:textId="77777777" w:rsidR="009723BD" w:rsidRPr="009723BD" w:rsidRDefault="009723BD" w:rsidP="009723BD">
      <w:pPr>
        <w:spacing w:after="120" w:line="240" w:lineRule="exact"/>
        <w:ind w:left="283" w:hanging="283"/>
        <w:jc w:val="both"/>
        <w:rPr>
          <w:rFonts w:ascii="FrankRuehl" w:hAnsi="FrankRuehl" w:cs="FrankRuehl"/>
          <w:rtl/>
        </w:rPr>
      </w:pPr>
      <w:hyperlink r:id="rId7" w:history="1">
        <w:r w:rsidRPr="009723BD">
          <w:rPr>
            <w:rFonts w:ascii="FrankRuehl" w:hAnsi="FrankRuehl" w:cs="FrankRuehl" w:hint="eastAsia"/>
            <w:color w:val="0000FF"/>
            <w:u w:val="single"/>
            <w:rtl/>
          </w:rPr>
          <w:t>חוק</w:t>
        </w:r>
        <w:r w:rsidRPr="009723BD">
          <w:rPr>
            <w:rFonts w:ascii="FrankRuehl" w:hAnsi="FrankRuehl" w:cs="FrankRuehl"/>
            <w:color w:val="0000FF"/>
            <w:u w:val="single"/>
            <w:rtl/>
          </w:rPr>
          <w:t xml:space="preserve"> </w:t>
        </w:r>
        <w:r w:rsidRPr="009723BD">
          <w:rPr>
            <w:rFonts w:ascii="FrankRuehl" w:hAnsi="FrankRuehl" w:cs="FrankRuehl" w:hint="eastAsia"/>
            <w:color w:val="0000FF"/>
            <w:u w:val="single"/>
            <w:rtl/>
          </w:rPr>
          <w:t>העונשין</w:t>
        </w:r>
        <w:r w:rsidRPr="009723BD">
          <w:rPr>
            <w:rFonts w:ascii="FrankRuehl" w:hAnsi="FrankRuehl" w:cs="FrankRuehl"/>
            <w:color w:val="0000FF"/>
            <w:u w:val="single"/>
            <w:rtl/>
          </w:rPr>
          <w:t xml:space="preserve">, </w:t>
        </w:r>
        <w:r w:rsidRPr="009723BD">
          <w:rPr>
            <w:rFonts w:ascii="FrankRuehl" w:hAnsi="FrankRuehl" w:cs="FrankRuehl" w:hint="eastAsia"/>
            <w:color w:val="0000FF"/>
            <w:u w:val="single"/>
            <w:rtl/>
          </w:rPr>
          <w:t>תשל</w:t>
        </w:r>
        <w:r w:rsidRPr="009723BD">
          <w:rPr>
            <w:rFonts w:ascii="FrankRuehl" w:hAnsi="FrankRuehl" w:cs="FrankRuehl"/>
            <w:color w:val="0000FF"/>
            <w:u w:val="single"/>
            <w:rtl/>
          </w:rPr>
          <w:t>"</w:t>
        </w:r>
        <w:r w:rsidRPr="009723BD">
          <w:rPr>
            <w:rFonts w:ascii="FrankRuehl" w:hAnsi="FrankRuehl" w:cs="FrankRuehl" w:hint="eastAsia"/>
            <w:color w:val="0000FF"/>
            <w:u w:val="single"/>
            <w:rtl/>
          </w:rPr>
          <w:t>ז</w:t>
        </w:r>
        <w:r w:rsidRPr="009723BD">
          <w:rPr>
            <w:rFonts w:ascii="FrankRuehl" w:hAnsi="FrankRuehl" w:cs="FrankRuehl"/>
            <w:color w:val="0000FF"/>
            <w:u w:val="single"/>
            <w:rtl/>
          </w:rPr>
          <w:t>-1977</w:t>
        </w:r>
      </w:hyperlink>
      <w:r w:rsidRPr="009723BD">
        <w:rPr>
          <w:rFonts w:ascii="FrankRuehl" w:hAnsi="FrankRuehl" w:cs="FrankRuehl"/>
          <w:rtl/>
        </w:rPr>
        <w:t xml:space="preserve">: </w:t>
      </w:r>
      <w:r w:rsidRPr="009723BD">
        <w:rPr>
          <w:rFonts w:ascii="FrankRuehl" w:hAnsi="FrankRuehl" w:cs="FrankRuehl" w:hint="eastAsia"/>
          <w:rtl/>
        </w:rPr>
        <w:t>סע</w:t>
      </w:r>
      <w:r w:rsidRPr="009723BD">
        <w:rPr>
          <w:rFonts w:ascii="FrankRuehl" w:hAnsi="FrankRuehl" w:cs="FrankRuehl"/>
          <w:rtl/>
        </w:rPr>
        <w:t xml:space="preserve">'  </w:t>
      </w:r>
      <w:hyperlink r:id="rId8" w:history="1">
        <w:r w:rsidRPr="009723BD">
          <w:rPr>
            <w:rFonts w:ascii="FrankRuehl" w:hAnsi="FrankRuehl" w:cs="FrankRuehl"/>
            <w:color w:val="0000FF"/>
            <w:u w:val="single"/>
            <w:rtl/>
          </w:rPr>
          <w:t>144(</w:t>
        </w:r>
        <w:r w:rsidRPr="009723BD">
          <w:rPr>
            <w:rFonts w:ascii="FrankRuehl" w:hAnsi="FrankRuehl" w:cs="FrankRuehl" w:hint="eastAsia"/>
            <w:color w:val="0000FF"/>
            <w:u w:val="single"/>
            <w:rtl/>
          </w:rPr>
          <w:t>א</w:t>
        </w:r>
        <w:r w:rsidRPr="009723BD">
          <w:rPr>
            <w:rFonts w:ascii="FrankRuehl" w:hAnsi="FrankRuehl" w:cs="FrankRuehl"/>
            <w:color w:val="0000FF"/>
            <w:u w:val="single"/>
            <w:rtl/>
          </w:rPr>
          <w:t>)</w:t>
        </w:r>
      </w:hyperlink>
    </w:p>
    <w:p w14:paraId="3F416DAC" w14:textId="77777777" w:rsidR="009723BD" w:rsidRPr="009723BD" w:rsidRDefault="009723BD" w:rsidP="009723BD">
      <w:pPr>
        <w:spacing w:after="120" w:line="240" w:lineRule="exact"/>
        <w:ind w:left="283" w:hanging="283"/>
        <w:jc w:val="both"/>
        <w:rPr>
          <w:rFonts w:ascii="FrankRuehl" w:hAnsi="FrankRuehl" w:cs="FrankRuehl"/>
          <w:rtl/>
        </w:rPr>
      </w:pPr>
    </w:p>
    <w:p w14:paraId="4C194191" w14:textId="77777777" w:rsidR="009723BD" w:rsidRPr="009723BD" w:rsidRDefault="009723BD" w:rsidP="005D624A">
      <w:pPr>
        <w:spacing w:line="360" w:lineRule="auto"/>
        <w:rPr>
          <w:rFonts w:ascii="Arial (W1)" w:hAnsi="Arial (W1)"/>
          <w:sz w:val="28"/>
          <w:szCs w:val="28"/>
          <w:rtl/>
        </w:rPr>
      </w:pPr>
      <w:bookmarkStart w:id="4" w:name="LawTable_End"/>
      <w:bookmarkEnd w:id="4"/>
    </w:p>
    <w:p w14:paraId="7FF52898" w14:textId="77777777" w:rsidR="00F916C8" w:rsidRPr="00F916C8" w:rsidRDefault="00F916C8" w:rsidP="00F916C8">
      <w:pPr>
        <w:spacing w:line="360" w:lineRule="auto"/>
        <w:jc w:val="center"/>
        <w:rPr>
          <w:rFonts w:ascii="Arial (W1)" w:hAnsi="Arial (W1)"/>
          <w:sz w:val="28"/>
          <w:szCs w:val="28"/>
          <w:rtl/>
        </w:rPr>
      </w:pPr>
    </w:p>
    <w:p w14:paraId="7B235603" w14:textId="77777777" w:rsidR="00F916C8" w:rsidRPr="00F916C8" w:rsidRDefault="00F916C8" w:rsidP="005D624A">
      <w:pPr>
        <w:spacing w:line="360" w:lineRule="auto"/>
        <w:jc w:val="center"/>
        <w:rPr>
          <w:rFonts w:ascii="Arial (W1)" w:hAnsi="Arial (W1)"/>
          <w:b/>
          <w:bCs/>
          <w:sz w:val="28"/>
          <w:szCs w:val="28"/>
          <w:rtl/>
        </w:rPr>
      </w:pPr>
    </w:p>
    <w:p w14:paraId="15A7A89A" w14:textId="77777777" w:rsidR="00F916C8" w:rsidRPr="00F916C8" w:rsidRDefault="00F916C8" w:rsidP="00F916C8">
      <w:pPr>
        <w:spacing w:line="360" w:lineRule="auto"/>
        <w:ind w:firstLine="720"/>
        <w:jc w:val="center"/>
        <w:rPr>
          <w:rFonts w:ascii="Arial (W1)" w:hAnsi="Arial (W1)"/>
          <w:b/>
          <w:bCs/>
          <w:sz w:val="28"/>
          <w:szCs w:val="28"/>
          <w:u w:val="single"/>
          <w:rtl/>
        </w:rPr>
      </w:pPr>
      <w:bookmarkStart w:id="5" w:name="PsakDin"/>
      <w:r w:rsidRPr="00F916C8">
        <w:rPr>
          <w:rFonts w:ascii="Arial (W1)" w:hAnsi="Arial (W1)" w:hint="eastAsia"/>
          <w:b/>
          <w:bCs/>
          <w:sz w:val="28"/>
          <w:szCs w:val="28"/>
          <w:u w:val="single"/>
          <w:rtl/>
        </w:rPr>
        <w:t>גזר</w:t>
      </w:r>
      <w:r w:rsidRPr="00F916C8">
        <w:rPr>
          <w:rFonts w:ascii="Arial (W1)" w:hAnsi="Arial (W1)"/>
          <w:b/>
          <w:bCs/>
          <w:sz w:val="28"/>
          <w:szCs w:val="28"/>
          <w:u w:val="single"/>
          <w:rtl/>
        </w:rPr>
        <w:t xml:space="preserve"> </w:t>
      </w:r>
      <w:r w:rsidRPr="00F916C8">
        <w:rPr>
          <w:rFonts w:ascii="Arial (W1)" w:hAnsi="Arial (W1)" w:hint="eastAsia"/>
          <w:b/>
          <w:bCs/>
          <w:sz w:val="28"/>
          <w:szCs w:val="28"/>
          <w:u w:val="single"/>
          <w:rtl/>
        </w:rPr>
        <w:t>דין</w:t>
      </w:r>
    </w:p>
    <w:bookmarkEnd w:id="5"/>
    <w:p w14:paraId="5BFBEAFE" w14:textId="77777777" w:rsidR="005D624A" w:rsidRDefault="005D624A" w:rsidP="005D624A">
      <w:pPr>
        <w:spacing w:line="360" w:lineRule="auto"/>
        <w:ind w:firstLine="720"/>
        <w:rPr>
          <w:rFonts w:ascii="Arial (W1)" w:hAnsi="Arial (W1)"/>
          <w:b/>
          <w:bCs/>
          <w:sz w:val="28"/>
          <w:szCs w:val="28"/>
          <w:u w:val="single"/>
          <w:rtl/>
        </w:rPr>
      </w:pPr>
    </w:p>
    <w:p w14:paraId="6A730450" w14:textId="77777777" w:rsidR="005D624A" w:rsidRDefault="005D624A" w:rsidP="005D624A">
      <w:pPr>
        <w:pStyle w:val="a9"/>
        <w:numPr>
          <w:ilvl w:val="0"/>
          <w:numId w:val="1"/>
        </w:numPr>
        <w:spacing w:after="0" w:line="360" w:lineRule="auto"/>
        <w:rPr>
          <w:rFonts w:ascii="Arial (W1)" w:hAnsi="Arial (W1)" w:cs="David"/>
          <w:b/>
          <w:bCs/>
          <w:sz w:val="24"/>
          <w:szCs w:val="24"/>
          <w:u w:val="double"/>
          <w:rtl/>
        </w:rPr>
      </w:pPr>
      <w:r>
        <w:rPr>
          <w:rFonts w:ascii="Arial (W1)" w:hAnsi="Arial (W1)" w:cs="David"/>
          <w:b/>
          <w:bCs/>
          <w:sz w:val="24"/>
          <w:szCs w:val="24"/>
          <w:u w:val="double"/>
          <w:rtl/>
        </w:rPr>
        <w:t>רקע ועובדות כתב האישום המתוקן</w:t>
      </w:r>
    </w:p>
    <w:p w14:paraId="59795C6F" w14:textId="77777777" w:rsidR="005D624A" w:rsidRPr="005D624A" w:rsidRDefault="005D624A" w:rsidP="005D624A">
      <w:pPr>
        <w:spacing w:line="360" w:lineRule="auto"/>
        <w:jc w:val="both"/>
        <w:rPr>
          <w:rFonts w:ascii="David" w:eastAsia="Calibri" w:hAnsi="David"/>
          <w:rtl/>
        </w:rPr>
      </w:pPr>
    </w:p>
    <w:p w14:paraId="1FDBF354" w14:textId="77777777" w:rsidR="005D624A" w:rsidRDefault="005D624A" w:rsidP="005D624A">
      <w:pPr>
        <w:numPr>
          <w:ilvl w:val="0"/>
          <w:numId w:val="2"/>
        </w:numPr>
        <w:spacing w:after="160" w:line="360" w:lineRule="auto"/>
        <w:jc w:val="both"/>
        <w:rPr>
          <w:rFonts w:ascii="David" w:hAnsi="David"/>
          <w:b/>
          <w:bCs/>
          <w:u w:val="single"/>
          <w:rtl/>
        </w:rPr>
      </w:pPr>
      <w:bookmarkStart w:id="6" w:name="ABSTRACT_START"/>
      <w:bookmarkEnd w:id="6"/>
      <w:r>
        <w:rPr>
          <w:rFonts w:ascii="David" w:hAnsi="David"/>
          <w:rtl/>
        </w:rPr>
        <w:t xml:space="preserve">הנאשם הורשע על יסוד הודאתו בכתב האישום המתוקן בעבירה של </w:t>
      </w:r>
      <w:r>
        <w:rPr>
          <w:rFonts w:ascii="David" w:hAnsi="David"/>
          <w:b/>
          <w:bCs/>
          <w:rtl/>
        </w:rPr>
        <w:t>החזקת נשק ותחמושת</w:t>
      </w:r>
      <w:r>
        <w:rPr>
          <w:rFonts w:ascii="David" w:hAnsi="David"/>
          <w:rtl/>
        </w:rPr>
        <w:t xml:space="preserve"> -  עבירה לפי </w:t>
      </w:r>
      <w:hyperlink r:id="rId9" w:history="1">
        <w:r w:rsidR="009723BD" w:rsidRPr="009723BD">
          <w:rPr>
            <w:rFonts w:ascii="David" w:hAnsi="David"/>
            <w:color w:val="0000FF"/>
            <w:u w:val="single"/>
            <w:rtl/>
          </w:rPr>
          <w:t>סעיף 144(א)</w:t>
        </w:r>
      </w:hyperlink>
      <w:r>
        <w:rPr>
          <w:rFonts w:ascii="David" w:hAnsi="David"/>
          <w:rtl/>
        </w:rPr>
        <w:t xml:space="preserve"> רישא וסיפא ל</w:t>
      </w:r>
      <w:hyperlink r:id="rId10" w:history="1">
        <w:r w:rsidR="00F916C8" w:rsidRPr="00F916C8">
          <w:rPr>
            <w:rFonts w:ascii="David" w:hAnsi="David"/>
            <w:color w:val="0000FF"/>
            <w:u w:val="single"/>
            <w:rtl/>
          </w:rPr>
          <w:t>חוק העונשין</w:t>
        </w:r>
      </w:hyperlink>
      <w:r>
        <w:rPr>
          <w:rFonts w:ascii="David" w:hAnsi="David"/>
          <w:rtl/>
        </w:rPr>
        <w:t>, התשל"ז-1977</w:t>
      </w:r>
      <w:r>
        <w:rPr>
          <w:rFonts w:ascii="David" w:hAnsi="David"/>
          <w:b/>
          <w:bCs/>
          <w:rtl/>
        </w:rPr>
        <w:t xml:space="preserve">. </w:t>
      </w:r>
    </w:p>
    <w:p w14:paraId="5412B1A9" w14:textId="77777777" w:rsidR="005D624A" w:rsidRDefault="005D624A" w:rsidP="005D624A">
      <w:pPr>
        <w:spacing w:line="360" w:lineRule="auto"/>
        <w:ind w:left="720"/>
        <w:contextualSpacing/>
        <w:jc w:val="both"/>
        <w:rPr>
          <w:rFonts w:ascii="David" w:hAnsi="David"/>
          <w:b/>
          <w:bCs/>
          <w:u w:val="single"/>
        </w:rPr>
      </w:pPr>
      <w:bookmarkStart w:id="7" w:name="ABSTRACT_END"/>
      <w:bookmarkEnd w:id="7"/>
    </w:p>
    <w:p w14:paraId="6C36798F" w14:textId="77777777" w:rsidR="005D624A" w:rsidRDefault="005D624A" w:rsidP="005D624A">
      <w:pPr>
        <w:numPr>
          <w:ilvl w:val="0"/>
          <w:numId w:val="2"/>
        </w:numPr>
        <w:spacing w:after="160" w:line="360" w:lineRule="auto"/>
        <w:jc w:val="both"/>
        <w:rPr>
          <w:rFonts w:ascii="David" w:hAnsi="David"/>
        </w:rPr>
      </w:pPr>
      <w:r>
        <w:rPr>
          <w:rFonts w:ascii="David" w:hAnsi="David"/>
          <w:rtl/>
        </w:rPr>
        <w:t xml:space="preserve">על-פי עובדות כתב האישום המתוקן עת עבד הנאשם כרוקח בסניף סופר פארם בעיר לוד, החל ממועד שאינו ידוע למאשימה ועד ליום 12.09.2024, החזיק הנאשם בתוך תיק גדול עם הכיתוב </w:t>
      </w:r>
      <w:r>
        <w:rPr>
          <w:rFonts w:ascii="David" w:hAnsi="David"/>
        </w:rPr>
        <w:t>UGANDA</w:t>
      </w:r>
      <w:r>
        <w:rPr>
          <w:rFonts w:ascii="David" w:hAnsi="David"/>
          <w:rtl/>
        </w:rPr>
        <w:t xml:space="preserve"> בתא נעול במנעול בסניף הסופר פארם, כלי נשק ותחמושת כמפורט להלן:</w:t>
      </w:r>
    </w:p>
    <w:p w14:paraId="00E242A3" w14:textId="77777777" w:rsidR="005D624A" w:rsidRDefault="005D624A" w:rsidP="005D624A">
      <w:pPr>
        <w:spacing w:line="360" w:lineRule="auto"/>
        <w:jc w:val="both"/>
        <w:rPr>
          <w:rFonts w:ascii="David" w:hAnsi="David"/>
          <w:sz w:val="2"/>
          <w:szCs w:val="2"/>
        </w:rPr>
      </w:pPr>
    </w:p>
    <w:p w14:paraId="0323190C" w14:textId="77777777" w:rsidR="005D624A" w:rsidRDefault="005D624A" w:rsidP="005D624A">
      <w:pPr>
        <w:spacing w:line="360" w:lineRule="auto"/>
        <w:ind w:firstLine="720"/>
        <w:jc w:val="both"/>
        <w:rPr>
          <w:rFonts w:ascii="David" w:hAnsi="David"/>
          <w:b/>
          <w:bCs/>
        </w:rPr>
      </w:pPr>
      <w:r>
        <w:rPr>
          <w:rFonts w:ascii="David" w:hAnsi="David"/>
          <w:b/>
          <w:bCs/>
          <w:rtl/>
        </w:rPr>
        <w:t xml:space="preserve">אקדח מסוג יריחו עם מחסנית תואמת טעונה ב- 13 כדורי 9 מ"מ. </w:t>
      </w:r>
    </w:p>
    <w:p w14:paraId="74848CD1" w14:textId="77777777" w:rsidR="005D624A" w:rsidRDefault="005D624A" w:rsidP="005D624A">
      <w:pPr>
        <w:spacing w:line="360" w:lineRule="auto"/>
        <w:ind w:left="720"/>
        <w:jc w:val="both"/>
        <w:rPr>
          <w:rFonts w:ascii="David" w:hAnsi="David"/>
          <w:b/>
          <w:bCs/>
          <w:rtl/>
        </w:rPr>
      </w:pPr>
      <w:r>
        <w:rPr>
          <w:rFonts w:ascii="David" w:hAnsi="David"/>
          <w:b/>
          <w:bCs/>
          <w:rtl/>
        </w:rPr>
        <w:t xml:space="preserve">אקדח מסוג גלוק 19 עם מחסנית תואמת טעונה ב- 12 כדורי 9 מ"מ. </w:t>
      </w:r>
    </w:p>
    <w:p w14:paraId="1C1B20C1" w14:textId="77777777" w:rsidR="005D624A" w:rsidRDefault="005D624A" w:rsidP="005D624A">
      <w:pPr>
        <w:spacing w:line="360" w:lineRule="auto"/>
        <w:ind w:left="720"/>
        <w:jc w:val="both"/>
        <w:rPr>
          <w:rFonts w:ascii="David" w:hAnsi="David"/>
          <w:b/>
          <w:bCs/>
          <w:rtl/>
        </w:rPr>
      </w:pPr>
      <w:r>
        <w:rPr>
          <w:rFonts w:ascii="David" w:hAnsi="David"/>
          <w:b/>
          <w:bCs/>
          <w:rtl/>
        </w:rPr>
        <w:t xml:space="preserve">4 קופסאות של כדורי 9 מ"מ בצבע אדום בורדו. </w:t>
      </w:r>
    </w:p>
    <w:p w14:paraId="57C449C7" w14:textId="77777777" w:rsidR="005D624A" w:rsidRDefault="005D624A" w:rsidP="005D624A">
      <w:pPr>
        <w:spacing w:line="360" w:lineRule="auto"/>
        <w:ind w:left="720"/>
        <w:jc w:val="both"/>
        <w:rPr>
          <w:rFonts w:ascii="David" w:hAnsi="David"/>
          <w:b/>
          <w:bCs/>
          <w:rtl/>
        </w:rPr>
      </w:pPr>
      <w:r>
        <w:rPr>
          <w:rFonts w:ascii="David" w:hAnsi="David"/>
          <w:b/>
          <w:bCs/>
          <w:rtl/>
        </w:rPr>
        <w:t xml:space="preserve">מחסנית של אקדח בצבע שחור טעונה ב- 9 כדורי מ"מ. </w:t>
      </w:r>
    </w:p>
    <w:p w14:paraId="204F43F1" w14:textId="77777777" w:rsidR="005D624A" w:rsidRDefault="005D624A" w:rsidP="005D624A">
      <w:pPr>
        <w:ind w:left="720"/>
        <w:contextualSpacing/>
        <w:rPr>
          <w:rFonts w:ascii="David" w:hAnsi="David"/>
          <w:b/>
          <w:bCs/>
          <w:u w:val="single"/>
        </w:rPr>
      </w:pPr>
    </w:p>
    <w:p w14:paraId="1BEE3691" w14:textId="77777777" w:rsidR="005D624A" w:rsidRDefault="005D624A" w:rsidP="005D624A">
      <w:pPr>
        <w:numPr>
          <w:ilvl w:val="0"/>
          <w:numId w:val="2"/>
        </w:numPr>
        <w:spacing w:after="160" w:line="360" w:lineRule="auto"/>
        <w:jc w:val="both"/>
        <w:rPr>
          <w:rFonts w:ascii="David" w:hAnsi="David"/>
          <w:rtl/>
        </w:rPr>
      </w:pPr>
      <w:r>
        <w:rPr>
          <w:rFonts w:ascii="David" w:hAnsi="David"/>
          <w:rtl/>
        </w:rPr>
        <w:t xml:space="preserve">ביום 20.02.2025, לאחר הליך גישור, הגיעו הצדדים להסדר טיעון דיוני לפיו הנאשם הודה והורשע בכתב אישום מתוקן, לא הוצגו הסכמות לעניין העונש. </w:t>
      </w:r>
    </w:p>
    <w:p w14:paraId="1CB00D21" w14:textId="77777777" w:rsidR="005D624A" w:rsidRDefault="005D624A" w:rsidP="005D624A">
      <w:pPr>
        <w:pStyle w:val="a9"/>
        <w:spacing w:line="360" w:lineRule="auto"/>
        <w:jc w:val="both"/>
        <w:rPr>
          <w:rFonts w:ascii="David" w:hAnsi="David" w:cs="David"/>
          <w:b/>
          <w:bCs/>
          <w:sz w:val="24"/>
          <w:szCs w:val="24"/>
          <w:rtl/>
        </w:rPr>
      </w:pPr>
    </w:p>
    <w:p w14:paraId="28F46429" w14:textId="77777777" w:rsidR="005D624A" w:rsidRDefault="005D624A" w:rsidP="005D624A">
      <w:pPr>
        <w:pStyle w:val="a9"/>
        <w:spacing w:line="360" w:lineRule="auto"/>
        <w:jc w:val="both"/>
        <w:rPr>
          <w:rFonts w:ascii="David" w:hAnsi="David" w:cs="David"/>
          <w:b/>
          <w:bCs/>
          <w:sz w:val="24"/>
          <w:szCs w:val="24"/>
          <w:rtl/>
        </w:rPr>
      </w:pPr>
    </w:p>
    <w:p w14:paraId="42B34313" w14:textId="77777777" w:rsidR="005D624A" w:rsidRDefault="005D624A" w:rsidP="005D624A">
      <w:pPr>
        <w:pStyle w:val="a9"/>
        <w:spacing w:line="360" w:lineRule="auto"/>
        <w:jc w:val="both"/>
        <w:rPr>
          <w:rFonts w:ascii="David" w:hAnsi="David" w:cs="David"/>
          <w:b/>
          <w:bCs/>
          <w:sz w:val="24"/>
          <w:szCs w:val="24"/>
        </w:rPr>
      </w:pPr>
    </w:p>
    <w:p w14:paraId="722102FF" w14:textId="77777777" w:rsidR="005D624A" w:rsidRDefault="005D624A" w:rsidP="005D624A">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u w:val="double"/>
          <w:rtl/>
        </w:rPr>
        <w:t>ראיות לעונש</w:t>
      </w:r>
      <w:r>
        <w:rPr>
          <w:rFonts w:ascii="David" w:hAnsi="David" w:cs="David"/>
          <w:b/>
          <w:bCs/>
          <w:sz w:val="24"/>
          <w:szCs w:val="24"/>
          <w:rtl/>
        </w:rPr>
        <w:t>:</w:t>
      </w:r>
    </w:p>
    <w:p w14:paraId="777CDB55" w14:textId="77777777" w:rsidR="005D624A" w:rsidRDefault="005D624A" w:rsidP="005D624A">
      <w:pPr>
        <w:pStyle w:val="a9"/>
        <w:spacing w:line="360" w:lineRule="auto"/>
        <w:jc w:val="both"/>
        <w:rPr>
          <w:rFonts w:ascii="David" w:hAnsi="David" w:cs="David"/>
          <w:b/>
          <w:bCs/>
          <w:sz w:val="24"/>
          <w:szCs w:val="24"/>
        </w:rPr>
      </w:pPr>
    </w:p>
    <w:p w14:paraId="0BF73EE6" w14:textId="77777777" w:rsidR="005D624A" w:rsidRDefault="005D624A" w:rsidP="005D624A">
      <w:pPr>
        <w:pStyle w:val="a9"/>
        <w:numPr>
          <w:ilvl w:val="0"/>
          <w:numId w:val="2"/>
        </w:numPr>
        <w:spacing w:line="360" w:lineRule="auto"/>
        <w:jc w:val="both"/>
        <w:rPr>
          <w:rFonts w:ascii="David" w:hAnsi="David" w:cs="David"/>
          <w:b/>
          <w:bCs/>
          <w:sz w:val="24"/>
          <w:szCs w:val="24"/>
        </w:rPr>
      </w:pPr>
      <w:r>
        <w:rPr>
          <w:rFonts w:ascii="David" w:hAnsi="David" w:cs="David"/>
          <w:b/>
          <w:bCs/>
          <w:sz w:val="24"/>
          <w:szCs w:val="24"/>
          <w:rtl/>
        </w:rPr>
        <w:t>מטעם ההגנה העידו:</w:t>
      </w:r>
    </w:p>
    <w:p w14:paraId="2734AA24" w14:textId="77777777" w:rsidR="005D624A" w:rsidRDefault="005D624A" w:rsidP="005D624A">
      <w:pPr>
        <w:pStyle w:val="a9"/>
        <w:spacing w:line="360" w:lineRule="auto"/>
        <w:jc w:val="both"/>
        <w:rPr>
          <w:rFonts w:ascii="David" w:hAnsi="David" w:cs="David"/>
          <w:b/>
          <w:bCs/>
          <w:sz w:val="24"/>
          <w:szCs w:val="24"/>
        </w:rPr>
      </w:pPr>
    </w:p>
    <w:p w14:paraId="2A6FDD7A" w14:textId="77777777" w:rsidR="005D624A" w:rsidRDefault="005D624A" w:rsidP="005D624A">
      <w:pPr>
        <w:pStyle w:val="a9"/>
        <w:spacing w:line="360" w:lineRule="auto"/>
        <w:jc w:val="both"/>
        <w:rPr>
          <w:rFonts w:ascii="David" w:hAnsi="David" w:cs="David"/>
          <w:sz w:val="24"/>
          <w:szCs w:val="24"/>
          <w:rtl/>
        </w:rPr>
      </w:pPr>
      <w:r>
        <w:rPr>
          <w:rFonts w:ascii="David" w:hAnsi="David" w:cs="David"/>
          <w:b/>
          <w:bCs/>
          <w:sz w:val="24"/>
          <w:szCs w:val="24"/>
          <w:rtl/>
        </w:rPr>
        <w:t xml:space="preserve">מר מוחמד כבוב, דודו של הנאשם- </w:t>
      </w:r>
      <w:r>
        <w:rPr>
          <w:rFonts w:ascii="David" w:hAnsi="David" w:cs="David"/>
          <w:sz w:val="24"/>
          <w:szCs w:val="24"/>
          <w:rtl/>
        </w:rPr>
        <w:t>העד מנהל בית ספר תיכון, תיאר היכרותו עם הנאשם כטובה וחזקה. לדבריו, הנאשם עבד כמחנך כיתה, הכין לבחינות בגרות והיה שותף להצלחת תלמידיו בלימודים אקדמאיים. הסתבכותו בתיק זה והיעדרותו על רקע מעצרו, טראומתית עבור בני המשפחה ובעיקר עבור בנותיו הקטינות. העד ביקש לאפשר לנאשם לשוב לחיים נורמטיביים, לפתוח דף חדש ולחזור לחיק משפחתו.</w:t>
      </w:r>
    </w:p>
    <w:p w14:paraId="20906637" w14:textId="77777777" w:rsidR="005D624A" w:rsidRDefault="005D624A" w:rsidP="005D624A">
      <w:pPr>
        <w:pStyle w:val="a9"/>
        <w:spacing w:line="360" w:lineRule="auto"/>
        <w:jc w:val="both"/>
        <w:rPr>
          <w:rFonts w:ascii="David" w:eastAsia="David" w:hAnsi="David" w:cs="David"/>
          <w:b/>
          <w:bCs/>
          <w:sz w:val="24"/>
          <w:szCs w:val="24"/>
          <w:rtl/>
        </w:rPr>
      </w:pPr>
    </w:p>
    <w:p w14:paraId="5EAE1E1A" w14:textId="77777777" w:rsidR="005D624A" w:rsidRDefault="005D624A" w:rsidP="005D624A">
      <w:pPr>
        <w:pStyle w:val="a9"/>
        <w:spacing w:line="360" w:lineRule="auto"/>
        <w:jc w:val="both"/>
        <w:rPr>
          <w:rFonts w:ascii="David" w:eastAsia="David" w:hAnsi="David" w:cs="David"/>
          <w:sz w:val="24"/>
          <w:szCs w:val="24"/>
          <w:rtl/>
        </w:rPr>
      </w:pPr>
      <w:r>
        <w:rPr>
          <w:rFonts w:ascii="David" w:eastAsia="David" w:hAnsi="David" w:cs="David"/>
          <w:b/>
          <w:bCs/>
          <w:sz w:val="24"/>
          <w:szCs w:val="24"/>
          <w:rtl/>
        </w:rPr>
        <w:t xml:space="preserve">מר חוסאם אבו שחאדה, חבר של הנאשם- </w:t>
      </w:r>
      <w:r>
        <w:rPr>
          <w:rFonts w:ascii="David" w:eastAsia="David" w:hAnsi="David" w:cs="David"/>
          <w:sz w:val="24"/>
          <w:szCs w:val="24"/>
          <w:rtl/>
        </w:rPr>
        <w:t>העד רופא שיניים במקצועו, מכיר את הנאשם ומשפחתו מילדות וכקולגה לעבודה. העד הופתע מהסתבכותו של הנאשם והטיב לתאר את הנאשם כאדם נורמטיבי, משכיל שדואג לזולת.</w:t>
      </w:r>
    </w:p>
    <w:p w14:paraId="58C5A848" w14:textId="77777777" w:rsidR="005D624A" w:rsidRDefault="005D624A" w:rsidP="005D624A">
      <w:pPr>
        <w:pStyle w:val="a9"/>
        <w:spacing w:line="360" w:lineRule="auto"/>
        <w:jc w:val="both"/>
        <w:rPr>
          <w:rFonts w:ascii="David" w:eastAsia="David" w:hAnsi="David" w:cs="David"/>
          <w:b/>
          <w:bCs/>
          <w:sz w:val="24"/>
          <w:szCs w:val="24"/>
          <w:rtl/>
        </w:rPr>
      </w:pPr>
    </w:p>
    <w:p w14:paraId="31D5AE05" w14:textId="77777777" w:rsidR="005D624A" w:rsidRPr="00D84C61" w:rsidRDefault="005D624A" w:rsidP="005D624A">
      <w:pPr>
        <w:pStyle w:val="a9"/>
        <w:spacing w:line="360" w:lineRule="auto"/>
        <w:jc w:val="both"/>
        <w:rPr>
          <w:rFonts w:ascii="David" w:hAnsi="David" w:cs="David"/>
          <w:sz w:val="24"/>
          <w:szCs w:val="24"/>
          <w:rtl/>
        </w:rPr>
      </w:pPr>
      <w:r>
        <w:rPr>
          <w:rFonts w:ascii="David" w:eastAsia="David" w:hAnsi="David" w:cs="David"/>
          <w:b/>
          <w:bCs/>
          <w:sz w:val="24"/>
          <w:szCs w:val="24"/>
          <w:rtl/>
        </w:rPr>
        <w:t xml:space="preserve">גב' אסמא אלכרודי, רעייתו של הנאשם- </w:t>
      </w:r>
      <w:r>
        <w:rPr>
          <w:rFonts w:ascii="David" w:eastAsia="David" w:hAnsi="David" w:cs="David"/>
          <w:sz w:val="24"/>
          <w:szCs w:val="24"/>
          <w:rtl/>
        </w:rPr>
        <w:t xml:space="preserve">תיארה בבכי את השלכות המעצר עליה ועל שתי בנותיהם הקטינות, העדה מסרה שבנותיהם בוכות מידי ערב ומחפשות את האב שאינן יודעות אודות מעצרו, אלא סבורות ששוהה מחוץ לארץ כדי לייצר תרופה. העדה סיפרה שהינה גננת לחינוך מיוחד המדריכה הורים בהכשרתה, ועתה נאלצת להעביר הדרכה הורית לבנותיה. העדה מתקשה להאמין שהנאשם ביצע את המיוחס לו, תיארה את הנאשם כאדם </w:t>
      </w:r>
      <w:r>
        <w:rPr>
          <w:rFonts w:ascii="David" w:eastAsia="David" w:hAnsi="David" w:cs="David"/>
          <w:sz w:val="24"/>
          <w:szCs w:val="24"/>
          <w:rtl/>
        </w:rPr>
        <w:lastRenderedPageBreak/>
        <w:t>נורמטיבי, עוזר לזולת ותמך בלימודיה. לדבריה, על רקע מעצרו לא החלה את לימודי התואר השני.</w:t>
      </w:r>
    </w:p>
    <w:p w14:paraId="6D81C3D0" w14:textId="77777777" w:rsidR="005D624A" w:rsidRDefault="005D624A" w:rsidP="005D624A">
      <w:pPr>
        <w:pStyle w:val="a9"/>
        <w:spacing w:line="360" w:lineRule="auto"/>
        <w:jc w:val="both"/>
        <w:rPr>
          <w:rFonts w:ascii="David" w:eastAsia="David" w:hAnsi="David" w:cs="David"/>
          <w:sz w:val="24"/>
          <w:szCs w:val="24"/>
          <w:rtl/>
        </w:rPr>
      </w:pPr>
      <w:r>
        <w:rPr>
          <w:rFonts w:ascii="David" w:hAnsi="David" w:cs="David"/>
          <w:sz w:val="24"/>
          <w:szCs w:val="24"/>
          <w:rtl/>
        </w:rPr>
        <w:t xml:space="preserve"> </w:t>
      </w:r>
    </w:p>
    <w:p w14:paraId="26420623" w14:textId="77777777" w:rsidR="005D624A" w:rsidRPr="005D624A" w:rsidRDefault="005D624A" w:rsidP="005D624A">
      <w:pPr>
        <w:pStyle w:val="a9"/>
        <w:numPr>
          <w:ilvl w:val="0"/>
          <w:numId w:val="1"/>
        </w:numPr>
        <w:rPr>
          <w:rFonts w:ascii="David" w:hAnsi="David" w:cs="David"/>
          <w:b/>
          <w:bCs/>
          <w:sz w:val="24"/>
          <w:szCs w:val="24"/>
          <w:u w:val="double"/>
          <w:rtl/>
        </w:rPr>
      </w:pPr>
      <w:r>
        <w:rPr>
          <w:rFonts w:ascii="David" w:hAnsi="David" w:cs="David"/>
          <w:b/>
          <w:bCs/>
          <w:sz w:val="24"/>
          <w:szCs w:val="24"/>
          <w:u w:val="double"/>
          <w:rtl/>
        </w:rPr>
        <w:t>תמצית טיעוני ב"כ הצדדים</w:t>
      </w:r>
      <w:r>
        <w:rPr>
          <w:rFonts w:ascii="David" w:hAnsi="David" w:cs="David"/>
          <w:b/>
          <w:bCs/>
          <w:sz w:val="24"/>
          <w:szCs w:val="24"/>
          <w:rtl/>
        </w:rPr>
        <w:t xml:space="preserve">: </w:t>
      </w:r>
    </w:p>
    <w:p w14:paraId="4DF2450E" w14:textId="77777777" w:rsidR="005D624A" w:rsidRDefault="005D624A" w:rsidP="005D624A">
      <w:pPr>
        <w:pStyle w:val="a9"/>
        <w:rPr>
          <w:rFonts w:ascii="David" w:hAnsi="David" w:cs="David"/>
          <w:b/>
          <w:bCs/>
          <w:sz w:val="24"/>
          <w:szCs w:val="24"/>
          <w:u w:val="double"/>
        </w:rPr>
      </w:pPr>
    </w:p>
    <w:p w14:paraId="625009D8" w14:textId="77777777" w:rsidR="005D624A" w:rsidRDefault="005D624A" w:rsidP="005D624A">
      <w:pPr>
        <w:pStyle w:val="a9"/>
        <w:rPr>
          <w:rFonts w:ascii="David" w:hAnsi="David" w:cs="David"/>
          <w:b/>
          <w:bCs/>
          <w:sz w:val="24"/>
          <w:szCs w:val="24"/>
          <w:u w:val="double"/>
        </w:rPr>
      </w:pPr>
    </w:p>
    <w:p w14:paraId="3396828E" w14:textId="77777777" w:rsidR="005D624A" w:rsidRDefault="005D624A" w:rsidP="005D624A">
      <w:pPr>
        <w:pStyle w:val="a9"/>
        <w:numPr>
          <w:ilvl w:val="0"/>
          <w:numId w:val="2"/>
        </w:numPr>
        <w:spacing w:line="360" w:lineRule="auto"/>
        <w:jc w:val="both"/>
        <w:rPr>
          <w:rFonts w:ascii="David" w:hAnsi="David" w:cs="David"/>
          <w:sz w:val="24"/>
          <w:szCs w:val="24"/>
        </w:rPr>
      </w:pPr>
      <w:r>
        <w:rPr>
          <w:rFonts w:ascii="David" w:hAnsi="David" w:cs="David"/>
          <w:b/>
          <w:bCs/>
          <w:sz w:val="24"/>
          <w:szCs w:val="24"/>
          <w:rtl/>
        </w:rPr>
        <w:t>ב"כ המאשימה עו"ד אורעד שלוו,</w:t>
      </w:r>
      <w:r>
        <w:rPr>
          <w:rFonts w:ascii="David" w:hAnsi="David" w:cs="David"/>
          <w:sz w:val="24"/>
          <w:szCs w:val="24"/>
          <w:rtl/>
        </w:rPr>
        <w:t xml:space="preserve"> הפנתה לחומרה הגלומה בעובדות כתב האישום, בפרט לכך שהנאשם הורשע בהחזקת שני אקדחים לצד כמות רבה של תחמושת. עוד הפנתה לפגיעה בערכים המוגנים ולמידת הפגיעה בהם וביקשה ליתן משקל לנזק הפוטנציאלי, לשלום הציבור הטמון בביצוע עבירות הנשק והתוצאות הקשות העלולות להתממש מביצוען בסיטואציות מסוימות גם לחפים מפשע. חומרה יתרה, ביקשה לייחס למעשים שעה שהם בוצעו במקום עבודתו בסניף סופר פארם שהינו מקום ציבורי הנמצא בסמיכות לבית המשפט המחוזי, בעת ששני האקדחים היו </w:t>
      </w:r>
      <w:r>
        <w:rPr>
          <w:rFonts w:ascii="David" w:hAnsi="David" w:cs="David" w:hint="cs"/>
          <w:sz w:val="24"/>
          <w:szCs w:val="24"/>
          <w:rtl/>
        </w:rPr>
        <w:t>מוכנים</w:t>
      </w:r>
      <w:r>
        <w:rPr>
          <w:rFonts w:ascii="David" w:hAnsi="David" w:cs="David"/>
          <w:sz w:val="24"/>
          <w:szCs w:val="24"/>
          <w:rtl/>
        </w:rPr>
        <w:t xml:space="preserve"> לביצוע ירי וזאת לצד החזקת תחמושת בכמות גדולה.  </w:t>
      </w:r>
    </w:p>
    <w:p w14:paraId="301B4852" w14:textId="77777777" w:rsidR="005D624A" w:rsidRDefault="005D624A" w:rsidP="005D624A">
      <w:pPr>
        <w:spacing w:line="360" w:lineRule="auto"/>
        <w:ind w:left="720"/>
        <w:jc w:val="both"/>
        <w:rPr>
          <w:rFonts w:ascii="David" w:hAnsi="David"/>
          <w:rtl/>
        </w:rPr>
      </w:pPr>
    </w:p>
    <w:p w14:paraId="21B23740" w14:textId="77777777" w:rsidR="005D624A" w:rsidRDefault="005D624A" w:rsidP="005D624A">
      <w:pPr>
        <w:spacing w:line="360" w:lineRule="auto"/>
        <w:ind w:left="720"/>
        <w:jc w:val="both"/>
        <w:rPr>
          <w:rFonts w:ascii="David" w:hAnsi="David"/>
          <w:rtl/>
        </w:rPr>
      </w:pPr>
    </w:p>
    <w:p w14:paraId="4CFE5456" w14:textId="77777777" w:rsidR="005D624A" w:rsidRDefault="005D624A" w:rsidP="005D624A">
      <w:pPr>
        <w:spacing w:line="360" w:lineRule="auto"/>
        <w:ind w:left="720"/>
        <w:jc w:val="both"/>
        <w:rPr>
          <w:rFonts w:ascii="David" w:hAnsi="David"/>
          <w:rtl/>
        </w:rPr>
      </w:pPr>
      <w:r>
        <w:rPr>
          <w:rFonts w:ascii="David" w:hAnsi="David"/>
          <w:rtl/>
        </w:rPr>
        <w:t>עו"ד שלוו, הפנתה להחמרה בענישה הבאה לידי בתיקון 140 ל</w:t>
      </w:r>
      <w:hyperlink r:id="rId11" w:history="1">
        <w:r w:rsidR="00F916C8" w:rsidRPr="00F916C8">
          <w:rPr>
            <w:rFonts w:ascii="David" w:hAnsi="David"/>
            <w:color w:val="0000FF"/>
            <w:u w:val="single"/>
            <w:rtl/>
          </w:rPr>
          <w:t>חוק העונשין</w:t>
        </w:r>
      </w:hyperlink>
      <w:r>
        <w:rPr>
          <w:rFonts w:ascii="David" w:hAnsi="David"/>
          <w:rtl/>
        </w:rPr>
        <w:t xml:space="preserve"> הקובע עונש מינימום לצד עבירה זו ולפסיקת בית המשפט העליון, הקובעת, כי יש לנקוט בענישה מחמירה לשם הגנה על הציבור והרתעת היחיד והרבים. בהפנותה לפסיקה ולסעיף 26 להנחיית פרקליט המדינה 9.16 , עתרה למתחם עונש הולם </w:t>
      </w:r>
      <w:r>
        <w:rPr>
          <w:rFonts w:ascii="David" w:hAnsi="David"/>
          <w:b/>
          <w:bCs/>
          <w:rtl/>
        </w:rPr>
        <w:t>הנע בין 32 ל- 60 חודשי מאסר</w:t>
      </w:r>
      <w:r>
        <w:rPr>
          <w:rFonts w:ascii="David" w:hAnsi="David"/>
          <w:rtl/>
        </w:rPr>
        <w:t xml:space="preserve">. בעתירתה, ביקשה ליתן משקל לחומרה לנסיבות ביצוע העבירה בהדגישה שבמקרה דנן החזיק הנאשם, שני אקדחים טעונים, תחמושת רבה, במקום ציבורי.  בשקלול הנסיבות לחומרה ולקולה, בהדגישה את עברו הפלילי של הנאשם (טל/1) הטומן בחובו הרשעה בעבירת מרמה על רקע זיוף מרשם, מחד גיסא והודייתו ונטילת האחריות, מאידך גיסא, עתרה להשית על הנאשם מאסר בפועל בן 36 חודשים, מאסר על תנאי, קנס משמעותי וצו להשמדת הנשק. </w:t>
      </w:r>
    </w:p>
    <w:p w14:paraId="53F64906" w14:textId="77777777" w:rsidR="005D624A" w:rsidRDefault="005D624A" w:rsidP="005D624A">
      <w:pPr>
        <w:spacing w:line="360" w:lineRule="auto"/>
        <w:ind w:left="720"/>
        <w:jc w:val="both"/>
        <w:rPr>
          <w:rFonts w:ascii="David" w:hAnsi="David"/>
          <w:rtl/>
        </w:rPr>
      </w:pPr>
    </w:p>
    <w:p w14:paraId="2A5C4698" w14:textId="77777777" w:rsidR="005D624A" w:rsidRPr="00D84C61" w:rsidRDefault="005D624A" w:rsidP="005D624A">
      <w:pPr>
        <w:rPr>
          <w:rFonts w:ascii="David" w:hAnsi="David"/>
          <w:b/>
          <w:bCs/>
          <w:rtl/>
        </w:rPr>
      </w:pPr>
    </w:p>
    <w:p w14:paraId="310CFFC6" w14:textId="77777777" w:rsidR="005D624A" w:rsidRDefault="005D624A" w:rsidP="005D624A">
      <w:pPr>
        <w:pStyle w:val="a9"/>
        <w:numPr>
          <w:ilvl w:val="0"/>
          <w:numId w:val="2"/>
        </w:numPr>
        <w:spacing w:line="360" w:lineRule="auto"/>
        <w:jc w:val="both"/>
        <w:rPr>
          <w:rFonts w:ascii="David" w:hAnsi="David" w:cs="David"/>
          <w:sz w:val="24"/>
          <w:szCs w:val="24"/>
          <w:rtl/>
        </w:rPr>
      </w:pPr>
      <w:r>
        <w:rPr>
          <w:rFonts w:ascii="David" w:hAnsi="David" w:cs="David"/>
          <w:b/>
          <w:bCs/>
          <w:sz w:val="24"/>
          <w:szCs w:val="24"/>
          <w:rtl/>
        </w:rPr>
        <w:t>ב"כ הנאשם עו"ד שאדי כבהא,</w:t>
      </w:r>
      <w:r>
        <w:rPr>
          <w:rFonts w:ascii="David" w:hAnsi="David" w:cs="David"/>
          <w:sz w:val="24"/>
          <w:szCs w:val="24"/>
          <w:rtl/>
        </w:rPr>
        <w:t xml:space="preserve"> הפנה בפתח טיעוניו לנסיבות שאינן קשורות בכתב האישום וביניהן; גילו של הנאשם- היותו בן 32, אב לשתי בנות, הודאתו בכתב האישום ונטילת האחריות. עוד ביקש ליתן משקל, לכך שמוצאו במשפחה נורמטיבית וכי מדובר באדם משכיל המנהל אורח חיים נורמטיבי ומהווה מקור גאווה עבור בני משפחתו; להיותו נתון במעצר וההשלכה על כך על בני משפחתו ובנותיו הקטינות. ב"כ הנאשם ביקש להתחשב לקולה בפגיעה התעסוקתית של הנאשם אשר לא יוכל לחזור לתפקידו כרוקח, על אף שהפגיעה היא פועל יוצא של מעשיו. בהתייחסותו להרשעתו בעבירת המרמה ביקש להדגיש, כי העבירה לא נעשתה על רקע בצע כסף, אלא לשם סיוע לאנשים (הפנה לפרוטוקול הטיעונים לעונש). </w:t>
      </w:r>
    </w:p>
    <w:p w14:paraId="5ABD1E81" w14:textId="77777777" w:rsidR="005D624A" w:rsidRDefault="005D624A" w:rsidP="005D624A">
      <w:pPr>
        <w:pStyle w:val="a9"/>
        <w:spacing w:line="360" w:lineRule="auto"/>
        <w:jc w:val="both"/>
        <w:rPr>
          <w:rFonts w:ascii="David" w:hAnsi="David" w:cs="David"/>
          <w:sz w:val="24"/>
          <w:szCs w:val="24"/>
        </w:rPr>
      </w:pPr>
    </w:p>
    <w:p w14:paraId="244810F5" w14:textId="77777777" w:rsidR="005D624A" w:rsidRDefault="005D624A" w:rsidP="005D624A">
      <w:pPr>
        <w:pStyle w:val="a9"/>
        <w:spacing w:line="360" w:lineRule="auto"/>
        <w:jc w:val="both"/>
        <w:rPr>
          <w:rFonts w:ascii="David" w:hAnsi="David" w:cs="David"/>
          <w:sz w:val="24"/>
          <w:szCs w:val="24"/>
        </w:rPr>
      </w:pPr>
      <w:r>
        <w:rPr>
          <w:rFonts w:ascii="David" w:hAnsi="David" w:cs="David"/>
          <w:sz w:val="24"/>
          <w:szCs w:val="24"/>
          <w:rtl/>
        </w:rPr>
        <w:t xml:space="preserve">עו"ד כבהא, הפנה לנסיבות כתב האישום וביקש ליתן משקל לקולה לכך שהאקדחים והתחמושת הוחזקו בתוך ארונית נעולה, עטופים בבד ולא נמצאו על גופו של הנאשם, מבלי שהיו מוכנים לירי (הוגשה תמונה טל/3). עוד נטען, כי אין לערוך חישוב אריתמטי בין מספר הנשקים למתחם הענישה ובהינתן, כי מדובר בשני אקדחים מאותו הסוג יש לקבוע מתחם הזהה להחזקת אקדח אחד. בהפנותו לפסיקה, עתר לקבוע מתחם עונש הולם הנע בין </w:t>
      </w:r>
      <w:r>
        <w:rPr>
          <w:rFonts w:ascii="David" w:hAnsi="David" w:cs="David"/>
          <w:sz w:val="24"/>
          <w:szCs w:val="24"/>
          <w:u w:val="single"/>
          <w:rtl/>
        </w:rPr>
        <w:t>16 ל- 30 חודשי מאסר</w:t>
      </w:r>
      <w:r>
        <w:rPr>
          <w:rFonts w:ascii="David" w:hAnsi="David" w:cs="David"/>
          <w:sz w:val="24"/>
          <w:szCs w:val="24"/>
          <w:rtl/>
        </w:rPr>
        <w:t xml:space="preserve"> וביקש למקם את הנאשם בתחתית המתחם לו עתר ולהימנע מהטלת קנס, מאחר שאין מדובר בעבירה כלכלית. </w:t>
      </w:r>
    </w:p>
    <w:p w14:paraId="7BBF5587" w14:textId="77777777" w:rsidR="005D624A" w:rsidRDefault="005D624A" w:rsidP="005D624A">
      <w:pPr>
        <w:spacing w:line="360" w:lineRule="auto"/>
        <w:jc w:val="both"/>
        <w:rPr>
          <w:rFonts w:ascii="David" w:hAnsi="David"/>
          <w:sz w:val="8"/>
          <w:szCs w:val="8"/>
        </w:rPr>
      </w:pPr>
    </w:p>
    <w:p w14:paraId="764103AA" w14:textId="77777777" w:rsidR="005D624A" w:rsidRDefault="005D624A" w:rsidP="005D624A">
      <w:pPr>
        <w:pStyle w:val="a9"/>
        <w:numPr>
          <w:ilvl w:val="0"/>
          <w:numId w:val="2"/>
        </w:numPr>
        <w:spacing w:line="360" w:lineRule="auto"/>
        <w:jc w:val="both"/>
        <w:rPr>
          <w:rFonts w:ascii="David" w:hAnsi="David" w:cs="David"/>
          <w:sz w:val="24"/>
          <w:szCs w:val="24"/>
          <w:rtl/>
        </w:rPr>
      </w:pPr>
      <w:r w:rsidRPr="00D84C61">
        <w:rPr>
          <w:rFonts w:ascii="David" w:hAnsi="David" w:cs="David"/>
          <w:b/>
          <w:bCs/>
          <w:sz w:val="24"/>
          <w:szCs w:val="24"/>
          <w:rtl/>
        </w:rPr>
        <w:t>הנאשם בדברו האחרון לעונש</w:t>
      </w:r>
      <w:r>
        <w:rPr>
          <w:rFonts w:ascii="David" w:hAnsi="David" w:cs="David"/>
          <w:sz w:val="24"/>
          <w:szCs w:val="24"/>
          <w:rtl/>
        </w:rPr>
        <w:t>, התנצל, הביע בושה וחרטה ואמר שלא ישוב על מעשיו.</w:t>
      </w:r>
    </w:p>
    <w:p w14:paraId="3736990E" w14:textId="77777777" w:rsidR="005D624A" w:rsidRDefault="005D624A" w:rsidP="005D624A">
      <w:pPr>
        <w:pStyle w:val="a9"/>
        <w:rPr>
          <w:rFonts w:ascii="David" w:hAnsi="David" w:cs="David"/>
          <w:b/>
          <w:bCs/>
          <w:sz w:val="24"/>
          <w:szCs w:val="24"/>
          <w:u w:val="double"/>
          <w:rtl/>
        </w:rPr>
      </w:pPr>
    </w:p>
    <w:p w14:paraId="449A7126" w14:textId="77777777" w:rsidR="005D624A" w:rsidRDefault="005D624A" w:rsidP="005D624A">
      <w:pPr>
        <w:pStyle w:val="a9"/>
        <w:rPr>
          <w:rFonts w:ascii="David" w:hAnsi="David" w:cs="David"/>
          <w:b/>
          <w:bCs/>
          <w:sz w:val="24"/>
          <w:szCs w:val="24"/>
          <w:u w:val="double"/>
          <w:rtl/>
        </w:rPr>
      </w:pPr>
    </w:p>
    <w:p w14:paraId="73F38815" w14:textId="77777777" w:rsidR="005D624A" w:rsidRDefault="005D624A" w:rsidP="005D624A">
      <w:pPr>
        <w:pStyle w:val="a9"/>
        <w:rPr>
          <w:rFonts w:ascii="David" w:hAnsi="David" w:cs="David"/>
          <w:b/>
          <w:bCs/>
          <w:sz w:val="24"/>
          <w:szCs w:val="24"/>
          <w:u w:val="double"/>
        </w:rPr>
      </w:pPr>
    </w:p>
    <w:p w14:paraId="60B88031" w14:textId="77777777" w:rsidR="005D624A" w:rsidRDefault="005D624A" w:rsidP="005D624A">
      <w:pPr>
        <w:pStyle w:val="a9"/>
        <w:rPr>
          <w:rFonts w:ascii="David" w:hAnsi="David" w:cs="David"/>
          <w:b/>
          <w:bCs/>
          <w:sz w:val="24"/>
          <w:szCs w:val="24"/>
          <w:u w:val="double"/>
          <w:rtl/>
        </w:rPr>
      </w:pPr>
    </w:p>
    <w:p w14:paraId="211ACDAA" w14:textId="77777777" w:rsidR="005D624A" w:rsidRDefault="005D624A" w:rsidP="005D624A">
      <w:pPr>
        <w:pStyle w:val="a9"/>
        <w:rPr>
          <w:rFonts w:ascii="David" w:hAnsi="David" w:cs="David"/>
          <w:b/>
          <w:bCs/>
          <w:sz w:val="24"/>
          <w:szCs w:val="24"/>
          <w:u w:val="double"/>
          <w:rtl/>
        </w:rPr>
      </w:pPr>
    </w:p>
    <w:p w14:paraId="1C50C1E2" w14:textId="77777777" w:rsidR="005D624A" w:rsidRDefault="005D624A" w:rsidP="005D624A">
      <w:pPr>
        <w:pStyle w:val="a9"/>
        <w:rPr>
          <w:rFonts w:ascii="David" w:hAnsi="David" w:cs="David"/>
          <w:b/>
          <w:bCs/>
          <w:sz w:val="24"/>
          <w:szCs w:val="24"/>
          <w:u w:val="double"/>
          <w:rtl/>
        </w:rPr>
      </w:pPr>
    </w:p>
    <w:p w14:paraId="612ACDBF" w14:textId="77777777" w:rsidR="005D624A" w:rsidRDefault="005D624A" w:rsidP="005D624A">
      <w:pPr>
        <w:pStyle w:val="a9"/>
        <w:rPr>
          <w:rFonts w:ascii="David" w:hAnsi="David" w:cs="David"/>
          <w:b/>
          <w:bCs/>
          <w:sz w:val="24"/>
          <w:szCs w:val="24"/>
          <w:u w:val="double"/>
          <w:rtl/>
        </w:rPr>
      </w:pPr>
    </w:p>
    <w:p w14:paraId="4223FFA3" w14:textId="77777777" w:rsidR="005D624A" w:rsidRDefault="005D624A" w:rsidP="005D624A">
      <w:pPr>
        <w:pStyle w:val="a9"/>
        <w:rPr>
          <w:rFonts w:ascii="David" w:hAnsi="David" w:cs="David"/>
          <w:b/>
          <w:bCs/>
          <w:sz w:val="24"/>
          <w:szCs w:val="24"/>
          <w:u w:val="double"/>
          <w:rtl/>
        </w:rPr>
      </w:pPr>
    </w:p>
    <w:p w14:paraId="7A12F597" w14:textId="77777777" w:rsidR="005D624A" w:rsidRDefault="005D624A" w:rsidP="005D624A">
      <w:pPr>
        <w:pStyle w:val="a9"/>
        <w:numPr>
          <w:ilvl w:val="0"/>
          <w:numId w:val="1"/>
        </w:numPr>
        <w:rPr>
          <w:rFonts w:ascii="David" w:hAnsi="David" w:cs="David"/>
          <w:b/>
          <w:bCs/>
          <w:sz w:val="24"/>
          <w:szCs w:val="24"/>
          <w:u w:val="double"/>
        </w:rPr>
      </w:pPr>
      <w:r>
        <w:rPr>
          <w:rFonts w:ascii="David" w:hAnsi="David" w:cs="David"/>
          <w:b/>
          <w:bCs/>
          <w:sz w:val="24"/>
          <w:szCs w:val="24"/>
          <w:u w:val="double"/>
          <w:rtl/>
        </w:rPr>
        <w:t xml:space="preserve">דיון והכרעה: </w:t>
      </w:r>
    </w:p>
    <w:p w14:paraId="446498D7" w14:textId="77777777" w:rsidR="005D624A" w:rsidRDefault="005D624A" w:rsidP="005D624A">
      <w:pPr>
        <w:pStyle w:val="a9"/>
        <w:spacing w:after="0" w:line="360" w:lineRule="auto"/>
        <w:jc w:val="both"/>
        <w:rPr>
          <w:rFonts w:ascii="Calibri Light" w:hAnsi="Calibri Light" w:cs="Calibri Light"/>
          <w:sz w:val="24"/>
          <w:szCs w:val="24"/>
          <w:rtl/>
        </w:rPr>
      </w:pPr>
    </w:p>
    <w:p w14:paraId="62485B07" w14:textId="77777777" w:rsidR="005D624A" w:rsidRDefault="005D624A" w:rsidP="005D624A">
      <w:pPr>
        <w:pStyle w:val="a9"/>
        <w:spacing w:after="0" w:line="360" w:lineRule="auto"/>
        <w:jc w:val="both"/>
        <w:rPr>
          <w:rFonts w:ascii="Calibri Light" w:hAnsi="Calibri Light" w:cs="Calibri Light"/>
          <w:sz w:val="24"/>
          <w:szCs w:val="24"/>
          <w:rtl/>
        </w:rPr>
      </w:pPr>
      <w:r>
        <w:rPr>
          <w:rFonts w:ascii="Calibri Light" w:hAnsi="Calibri Light" w:cs="Times New Roman"/>
          <w:sz w:val="24"/>
          <w:szCs w:val="24"/>
          <w:rtl/>
        </w:rPr>
        <w:t>מתחם העונש ההולם ונסיבות הקשורות בביצוע העבירה</w:t>
      </w:r>
    </w:p>
    <w:p w14:paraId="0CD8FD1A" w14:textId="77777777" w:rsidR="005D624A" w:rsidRPr="005D624A" w:rsidRDefault="005D624A" w:rsidP="005D624A">
      <w:pPr>
        <w:spacing w:line="360" w:lineRule="auto"/>
        <w:jc w:val="both"/>
        <w:rPr>
          <w:rFonts w:ascii="David" w:eastAsia="Calibri" w:hAnsi="David"/>
          <w:rtl/>
        </w:rPr>
      </w:pPr>
    </w:p>
    <w:p w14:paraId="7B7294F3" w14:textId="77777777" w:rsidR="005D624A" w:rsidRDefault="005D624A" w:rsidP="005D624A">
      <w:pPr>
        <w:numPr>
          <w:ilvl w:val="0"/>
          <w:numId w:val="2"/>
        </w:numPr>
        <w:spacing w:after="160" w:line="360" w:lineRule="auto"/>
        <w:jc w:val="both"/>
        <w:rPr>
          <w:rFonts w:ascii="David" w:hAnsi="David"/>
        </w:rPr>
      </w:pPr>
      <w:r>
        <w:rPr>
          <w:rFonts w:ascii="David" w:hAnsi="David"/>
          <w:rtl/>
        </w:rPr>
        <w:t xml:space="preserve">הערכים החברתיים המוגנים העומדים בבסיס עבירות הנשק ובכלל זה עבירה של החזקת נשק שלא כדין, הם שמירה על ערך חיי אדם, שמירה על בטחון ושלום הציבור, שלטון החוק והסדר הציבורי. </w:t>
      </w:r>
    </w:p>
    <w:p w14:paraId="75C92B8E" w14:textId="77777777" w:rsidR="005D624A" w:rsidRDefault="005D624A" w:rsidP="005D624A">
      <w:pPr>
        <w:spacing w:line="360" w:lineRule="auto"/>
        <w:jc w:val="both"/>
        <w:rPr>
          <w:rFonts w:ascii="David" w:hAnsi="David"/>
        </w:rPr>
      </w:pPr>
    </w:p>
    <w:p w14:paraId="4198DB66" w14:textId="77777777" w:rsidR="005D624A" w:rsidRPr="00D84C61" w:rsidRDefault="005D624A" w:rsidP="005D624A">
      <w:pPr>
        <w:numPr>
          <w:ilvl w:val="0"/>
          <w:numId w:val="2"/>
        </w:numPr>
        <w:spacing w:after="160" w:line="360" w:lineRule="auto"/>
        <w:jc w:val="both"/>
        <w:rPr>
          <w:rFonts w:ascii="David" w:hAnsi="David"/>
        </w:rPr>
      </w:pPr>
      <w:r>
        <w:rPr>
          <w:rFonts w:ascii="David" w:hAnsi="David"/>
          <w:rtl/>
        </w:rPr>
        <w:t xml:space="preserve">חומרתן ונפיצותן של עבירות הנשק נדונה מדי יום בערכאות השונות ונחשבת מזה שנים רבות ל"מכת מדינה" ממש. בית המשפט העליון בשורה של פסקי דין מתייחס לחומרתן של עבירות הנשק והצורך החברתי במלחמת חורמה על מנת למגר נגע זה, בשל הסיכון הפוטנציאלי והתוצאות הקטלניות הטמונות בהן לכלל הציבור, בפרט שעה שההסלמה במעשה הטרור והאלימות מצויים במגמת עלייה יום יומית. חדשות לבקרים, אנו מתעוררים לדיווחים אודות מקרי רצח, אלימות או טרור המבוצעים תוך שימוש בנשק ובאמצעי לחימה בלתי חוקיים. הסלמה זו מגבירה את הביקוש להחזקת נשק בלתי חוקי ועשיית שימוש בו למטרות אלו. </w:t>
      </w:r>
    </w:p>
    <w:p w14:paraId="2025B8CA" w14:textId="77777777" w:rsidR="005D624A" w:rsidRDefault="005D624A" w:rsidP="005D624A">
      <w:pPr>
        <w:spacing w:line="360" w:lineRule="auto"/>
        <w:jc w:val="both"/>
        <w:rPr>
          <w:rFonts w:ascii="David" w:hAnsi="David"/>
          <w:rtl/>
        </w:rPr>
      </w:pPr>
    </w:p>
    <w:p w14:paraId="622EE3F7" w14:textId="77777777" w:rsidR="005D624A" w:rsidRDefault="005D624A" w:rsidP="005D624A">
      <w:pPr>
        <w:spacing w:line="360" w:lineRule="auto"/>
        <w:jc w:val="both"/>
        <w:rPr>
          <w:rFonts w:ascii="David" w:hAnsi="David"/>
          <w:rtl/>
        </w:rPr>
      </w:pPr>
      <w:r>
        <w:rPr>
          <w:rFonts w:ascii="David" w:hAnsi="David"/>
          <w:rtl/>
        </w:rPr>
        <w:t>ב</w:t>
      </w:r>
      <w:hyperlink r:id="rId12" w:history="1">
        <w:r w:rsidR="00F916C8" w:rsidRPr="00F916C8">
          <w:rPr>
            <w:rFonts w:ascii="David" w:hAnsi="David"/>
            <w:color w:val="0000FF"/>
            <w:u w:val="single"/>
            <w:rtl/>
          </w:rPr>
          <w:t>ע"פ 2482/22</w:t>
        </w:r>
      </w:hyperlink>
      <w:r>
        <w:rPr>
          <w:rFonts w:ascii="David" w:hAnsi="David"/>
          <w:rtl/>
        </w:rPr>
        <w:t xml:space="preserve"> </w:t>
      </w:r>
      <w:r>
        <w:rPr>
          <w:rFonts w:ascii="David" w:hAnsi="David"/>
          <w:b/>
          <w:bCs/>
          <w:rtl/>
        </w:rPr>
        <w:t>מדינת ישראל נ' אחמד קדורה, פסקה 7,</w:t>
      </w:r>
      <w:r>
        <w:rPr>
          <w:rFonts w:ascii="David" w:hAnsi="David"/>
          <w:rtl/>
        </w:rPr>
        <w:t xml:space="preserve"> (14.4.2022) קבע כב' הנשיא השופט עמית כדלקמן:</w:t>
      </w:r>
    </w:p>
    <w:p w14:paraId="3BEC589E" w14:textId="77777777" w:rsidR="005D624A" w:rsidRDefault="005D624A" w:rsidP="005D624A">
      <w:pPr>
        <w:spacing w:line="360" w:lineRule="auto"/>
        <w:jc w:val="both"/>
        <w:rPr>
          <w:rFonts w:ascii="David" w:hAnsi="David"/>
          <w:rtl/>
        </w:rPr>
      </w:pPr>
    </w:p>
    <w:p w14:paraId="75106FB9" w14:textId="77777777" w:rsidR="005D624A" w:rsidRDefault="005D624A" w:rsidP="005D624A">
      <w:pPr>
        <w:spacing w:line="360" w:lineRule="auto"/>
        <w:ind w:left="1134" w:right="1134"/>
        <w:contextualSpacing/>
        <w:jc w:val="both"/>
        <w:rPr>
          <w:rFonts w:ascii="David" w:hAnsi="David"/>
          <w:b/>
          <w:bCs/>
          <w:rtl/>
        </w:rPr>
      </w:pPr>
      <w:r>
        <w:rPr>
          <w:rFonts w:ascii="David" w:hAnsi="David"/>
          <w:b/>
          <w:bCs/>
          <w:rtl/>
        </w:rPr>
        <w:t xml:space="preserve">"החזקת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w:t>
      </w:r>
      <w:r>
        <w:rPr>
          <w:rFonts w:ascii="David" w:hAnsi="David"/>
          <w:b/>
          <w:bCs/>
          <w:u w:val="single"/>
          <w:rtl/>
        </w:rPr>
        <w:t>ידע כל מי שמחזיק בנשק בלתי חוקי כי צפוי הוא להיענש בחומרה, בבחינת "אם מחזיקים – למאסר נשלחים.</w:t>
      </w:r>
      <w:r>
        <w:rPr>
          <w:rFonts w:ascii="David" w:hAnsi="David"/>
          <w:b/>
          <w:bCs/>
          <w:rtl/>
        </w:rPr>
        <w:t>" [ההדגשות אינן במקור].</w:t>
      </w:r>
    </w:p>
    <w:p w14:paraId="129B139B" w14:textId="77777777" w:rsidR="005D624A" w:rsidRDefault="005D624A" w:rsidP="005D624A">
      <w:pPr>
        <w:spacing w:line="360" w:lineRule="auto"/>
        <w:ind w:leftChars="567" w:left="1361" w:rightChars="567" w:right="1361"/>
        <w:contextualSpacing/>
        <w:jc w:val="both"/>
        <w:rPr>
          <w:rFonts w:ascii="David" w:hAnsi="David"/>
          <w:rtl/>
        </w:rPr>
      </w:pPr>
    </w:p>
    <w:p w14:paraId="624BDD79" w14:textId="77777777" w:rsidR="005D624A" w:rsidRDefault="005D624A" w:rsidP="005D624A">
      <w:pPr>
        <w:spacing w:line="360" w:lineRule="auto"/>
        <w:jc w:val="both"/>
        <w:rPr>
          <w:rFonts w:ascii="David" w:hAnsi="David"/>
          <w:rtl/>
        </w:rPr>
      </w:pPr>
      <w:r>
        <w:rPr>
          <w:rFonts w:ascii="David" w:hAnsi="David"/>
          <w:rtl/>
        </w:rPr>
        <w:t>ב</w:t>
      </w:r>
      <w:hyperlink r:id="rId13" w:history="1">
        <w:r w:rsidR="00F916C8" w:rsidRPr="00F916C8">
          <w:rPr>
            <w:rFonts w:ascii="David" w:hAnsi="David"/>
            <w:color w:val="0000FF"/>
            <w:u w:val="single"/>
            <w:rtl/>
          </w:rPr>
          <w:t>ע"פ 6383/21</w:t>
        </w:r>
      </w:hyperlink>
      <w:r>
        <w:rPr>
          <w:rFonts w:ascii="David" w:hAnsi="David"/>
          <w:rtl/>
        </w:rPr>
        <w:t xml:space="preserve"> </w:t>
      </w:r>
      <w:r>
        <w:rPr>
          <w:rFonts w:ascii="David" w:hAnsi="David"/>
          <w:b/>
          <w:bCs/>
          <w:rtl/>
        </w:rPr>
        <w:t xml:space="preserve">קריף ואח' נ' מדינת ישראל </w:t>
      </w:r>
      <w:r>
        <w:rPr>
          <w:rFonts w:ascii="David" w:hAnsi="David"/>
          <w:rtl/>
        </w:rPr>
        <w:t>(13.2.2022), פסקה 3, קבע כב' המשנה לנשיאה השופט הנדל כתוארו אז כך:</w:t>
      </w:r>
    </w:p>
    <w:p w14:paraId="137C65B1" w14:textId="77777777" w:rsidR="005D624A" w:rsidRDefault="005D624A" w:rsidP="005D624A">
      <w:pPr>
        <w:spacing w:line="360" w:lineRule="auto"/>
        <w:ind w:left="720"/>
        <w:contextualSpacing/>
        <w:jc w:val="both"/>
        <w:rPr>
          <w:rFonts w:ascii="David" w:hAnsi="David"/>
          <w:rtl/>
        </w:rPr>
      </w:pPr>
    </w:p>
    <w:p w14:paraId="2655FF02" w14:textId="77777777" w:rsidR="005D624A" w:rsidRDefault="005D624A" w:rsidP="005D624A">
      <w:pPr>
        <w:spacing w:line="360" w:lineRule="auto"/>
        <w:ind w:left="1134" w:right="1134"/>
        <w:contextualSpacing/>
        <w:jc w:val="both"/>
        <w:rPr>
          <w:rFonts w:ascii="David" w:hAnsi="David"/>
          <w:b/>
          <w:bCs/>
          <w:rtl/>
        </w:rPr>
      </w:pPr>
      <w:r>
        <w:rPr>
          <w:rFonts w:ascii="David" w:hAnsi="David"/>
          <w:b/>
          <w:bCs/>
          <w:rtl/>
        </w:rPr>
        <w:t xml:space="preserve">" ... אקדח שיורה "במערכה השלישית" גורם כמובן לנזק רב, </w:t>
      </w:r>
      <w:r>
        <w:rPr>
          <w:rFonts w:ascii="David" w:hAnsi="David"/>
          <w:b/>
          <w:bCs/>
          <w:u w:val="single"/>
          <w:rtl/>
        </w:rPr>
        <w:t>אך גם אקדח שמונח על השולחן "במערכה הראשונה" – אף אם לא נעשה בו כל שימוש אחר בהמשך – עלול לפגוע בשלום הציבור באופן ממשי</w:t>
      </w:r>
      <w:r>
        <w:rPr>
          <w:rFonts w:ascii="David" w:hAnsi="David"/>
          <w:b/>
          <w:bCs/>
          <w:rtl/>
        </w:rPr>
        <w:t xml:space="preserve">.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 </w:t>
      </w:r>
      <w:r>
        <w:rPr>
          <w:rFonts w:ascii="David" w:hAnsi="David"/>
          <w:rtl/>
        </w:rPr>
        <w:t>[ההדגשות אינן במקור].</w:t>
      </w:r>
    </w:p>
    <w:p w14:paraId="4C24C30C" w14:textId="77777777" w:rsidR="005D624A" w:rsidRDefault="005D624A" w:rsidP="005D624A">
      <w:pPr>
        <w:spacing w:line="360" w:lineRule="auto"/>
        <w:jc w:val="both"/>
        <w:rPr>
          <w:rFonts w:ascii="David" w:hAnsi="David"/>
          <w:rtl/>
        </w:rPr>
      </w:pPr>
    </w:p>
    <w:p w14:paraId="395B7C9A" w14:textId="77777777" w:rsidR="005D624A" w:rsidRDefault="005D624A" w:rsidP="005D624A">
      <w:pPr>
        <w:numPr>
          <w:ilvl w:val="0"/>
          <w:numId w:val="2"/>
        </w:numPr>
        <w:spacing w:after="160" w:line="360" w:lineRule="auto"/>
        <w:jc w:val="both"/>
        <w:rPr>
          <w:rFonts w:ascii="David" w:hAnsi="David"/>
        </w:rPr>
      </w:pPr>
      <w:r>
        <w:rPr>
          <w:rFonts w:ascii="David" w:hAnsi="David"/>
          <w:rtl/>
        </w:rPr>
        <w:t>מגמת ההחמרה בענישה באה לידי ביטוי גם בפן החקיקתי. המחוקק בתיקון מס' 140 ל</w:t>
      </w:r>
      <w:hyperlink r:id="rId14" w:history="1">
        <w:r w:rsidR="00F916C8" w:rsidRPr="00F916C8">
          <w:rPr>
            <w:rFonts w:ascii="David" w:hAnsi="David"/>
            <w:color w:val="0000FF"/>
            <w:u w:val="single"/>
            <w:rtl/>
          </w:rPr>
          <w:t>חוק העונשין</w:t>
        </w:r>
      </w:hyperlink>
      <w:r>
        <w:rPr>
          <w:rFonts w:ascii="David" w:hAnsi="David"/>
          <w:rtl/>
        </w:rPr>
        <w:t>, (תיקון מס' 140- הוראת שעה, תשפ"ב- 2021 אשר הוארכה ביום 9.01.2025) קבע עונש מינימום בצד עבירות נשק, באופן שהעונש לא יפחת מרבע העונש המירבי שנקבע לצד העבירה, כך שעונשו של עבריין המחזיק נשק לא יפחת מ- 21 חודשי מאסר (כולל המאסר על תנאי).</w:t>
      </w:r>
    </w:p>
    <w:p w14:paraId="05C7E03D" w14:textId="77777777" w:rsidR="005D624A" w:rsidRPr="00D84C61" w:rsidRDefault="005D624A" w:rsidP="005D624A">
      <w:pPr>
        <w:spacing w:after="160" w:line="360" w:lineRule="auto"/>
        <w:ind w:left="720"/>
        <w:jc w:val="both"/>
        <w:rPr>
          <w:rFonts w:ascii="David" w:hAnsi="David"/>
          <w:rtl/>
        </w:rPr>
      </w:pPr>
    </w:p>
    <w:p w14:paraId="5FF231CA" w14:textId="77777777" w:rsidR="005D624A" w:rsidRDefault="005D624A" w:rsidP="005D624A">
      <w:pPr>
        <w:numPr>
          <w:ilvl w:val="0"/>
          <w:numId w:val="2"/>
        </w:numPr>
        <w:spacing w:after="160" w:line="360" w:lineRule="auto"/>
        <w:jc w:val="both"/>
        <w:rPr>
          <w:rFonts w:ascii="David" w:hAnsi="David"/>
          <w:rtl/>
        </w:rPr>
      </w:pPr>
      <w:r>
        <w:rPr>
          <w:rFonts w:ascii="David" w:hAnsi="David"/>
          <w:rtl/>
        </w:rPr>
        <w:t xml:space="preserve">במקרה דנן, החזיק הנאשם, </w:t>
      </w:r>
      <w:r>
        <w:rPr>
          <w:rFonts w:ascii="David" w:hAnsi="David"/>
          <w:b/>
          <w:bCs/>
          <w:rtl/>
        </w:rPr>
        <w:t>רוקח במקצועו</w:t>
      </w:r>
      <w:r>
        <w:rPr>
          <w:rFonts w:ascii="David" w:hAnsi="David"/>
          <w:rtl/>
        </w:rPr>
        <w:t>,</w:t>
      </w:r>
      <w:r>
        <w:rPr>
          <w:rFonts w:ascii="David" w:hAnsi="David"/>
          <w:b/>
          <w:bCs/>
          <w:rtl/>
        </w:rPr>
        <w:t xml:space="preserve"> בשני אקדחים, מחסניות טעונות ותחמושת רבה</w:t>
      </w:r>
      <w:r>
        <w:rPr>
          <w:rFonts w:ascii="David" w:hAnsi="David"/>
          <w:rtl/>
        </w:rPr>
        <w:t xml:space="preserve">, </w:t>
      </w:r>
      <w:r>
        <w:rPr>
          <w:rFonts w:ascii="David" w:hAnsi="David"/>
          <w:b/>
          <w:bCs/>
          <w:rtl/>
        </w:rPr>
        <w:t>בארונית נעולה במקום עבודתו בסניף הסופר פארם, המשרת ציבור רב של לקוחות בכל הגילאים, מלמד על פוטנציאל הנזק החמור הגלום בנסיבות ביצוע העבירה.</w:t>
      </w:r>
      <w:r>
        <w:rPr>
          <w:rFonts w:ascii="David" w:hAnsi="David"/>
          <w:rtl/>
        </w:rPr>
        <w:t xml:space="preserve"> לצד זאת, האקדחים הוחזקו כשהם עטופים בניילונית (עובדה מוסכמת על-ידי ב"כ הצדדים הגם שלא באה לידי ביטוי בכתב האישום), מוסלקים בתוך תיק בתוך תא נעול ולא בהישג ידו של הנאשם או בסמיכות להימצאות קבלת הקהל בסניף. ואולם, מכלול הנסיבות, מצביע על חומרת העבירה ועוצמת הפגיעה הממשית בערכים המוגנים.</w:t>
      </w:r>
    </w:p>
    <w:p w14:paraId="696D03F9" w14:textId="77777777" w:rsidR="005D624A" w:rsidRDefault="005D624A" w:rsidP="005D624A">
      <w:pPr>
        <w:spacing w:line="360" w:lineRule="auto"/>
        <w:contextualSpacing/>
        <w:jc w:val="both"/>
        <w:rPr>
          <w:rFonts w:ascii="David" w:hAnsi="David"/>
        </w:rPr>
      </w:pPr>
    </w:p>
    <w:p w14:paraId="163E4F63" w14:textId="77777777" w:rsidR="005D624A" w:rsidRDefault="005D624A" w:rsidP="005D624A">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בחינת מדיניות הענישה </w:t>
      </w:r>
      <w:r>
        <w:rPr>
          <w:rFonts w:ascii="David" w:hAnsi="David" w:cs="David" w:hint="cs"/>
          <w:sz w:val="24"/>
          <w:szCs w:val="24"/>
          <w:rtl/>
        </w:rPr>
        <w:t xml:space="preserve">הנוהגת </w:t>
      </w:r>
      <w:r>
        <w:rPr>
          <w:rFonts w:ascii="David" w:hAnsi="David" w:cs="David"/>
          <w:sz w:val="24"/>
          <w:szCs w:val="24"/>
          <w:rtl/>
        </w:rPr>
        <w:t>בגין ביצוע עבירות החזקת נשק מלמדת, כי מתחמי הענישה מתחילים בעונשי מאסר מאחורי סורג ובריח וברי, כי בסופו של יום ייקבע מתחם העונש ההולם בכל מקרה בהתאם לנסיבותיו</w:t>
      </w:r>
      <w:r>
        <w:rPr>
          <w:rFonts w:ascii="David" w:hAnsi="David" w:cs="David"/>
          <w:b/>
          <w:bCs/>
          <w:sz w:val="24"/>
          <w:szCs w:val="24"/>
          <w:rtl/>
        </w:rPr>
        <w:t xml:space="preserve"> </w:t>
      </w:r>
      <w:r>
        <w:rPr>
          <w:rFonts w:ascii="David" w:hAnsi="David" w:cs="David"/>
          <w:sz w:val="24"/>
          <w:szCs w:val="24"/>
          <w:rtl/>
        </w:rPr>
        <w:t>כאשר ניתן משקל, בין היתר, למאפייני הנשק וסוגו; היותו טעון במחסנית; מיקום תפיסתו; מידת הסיכון הכרוכה בהחזקתו; הימצאות של חומרי נשק או אביזרי נשק לצדו, מספר כלי הנשק שהוחזקו וכיו"ב. להלן אפנה לפסיקה במקרים דומים, מהם ניתן לגזור את מתחם העונש ההולם שבפניי, ראו למשל:</w:t>
      </w:r>
    </w:p>
    <w:p w14:paraId="6F7839F7" w14:textId="77777777" w:rsidR="005D624A" w:rsidRDefault="005D624A" w:rsidP="005D624A">
      <w:pPr>
        <w:spacing w:line="360" w:lineRule="auto"/>
        <w:contextualSpacing/>
        <w:jc w:val="both"/>
        <w:rPr>
          <w:rFonts w:ascii="David" w:hAnsi="David"/>
          <w:sz w:val="18"/>
          <w:szCs w:val="18"/>
        </w:rPr>
      </w:pPr>
    </w:p>
    <w:p w14:paraId="7254B0FD" w14:textId="77777777" w:rsidR="005D624A" w:rsidRDefault="00F916C8" w:rsidP="005D624A">
      <w:pPr>
        <w:numPr>
          <w:ilvl w:val="0"/>
          <w:numId w:val="3"/>
        </w:numPr>
        <w:spacing w:line="360" w:lineRule="auto"/>
        <w:contextualSpacing/>
        <w:jc w:val="both"/>
        <w:rPr>
          <w:rFonts w:ascii="David" w:hAnsi="David"/>
        </w:rPr>
      </w:pPr>
      <w:hyperlink r:id="rId15" w:history="1">
        <w:r w:rsidRPr="00F916C8">
          <w:rPr>
            <w:rFonts w:ascii="David" w:hAnsi="David"/>
            <w:color w:val="0000FF"/>
            <w:u w:val="single"/>
            <w:rtl/>
          </w:rPr>
          <w:t>ע"פ 2482/22</w:t>
        </w:r>
      </w:hyperlink>
      <w:r w:rsidR="005D624A">
        <w:rPr>
          <w:rFonts w:ascii="David" w:hAnsi="David"/>
          <w:rtl/>
        </w:rPr>
        <w:t xml:space="preserve"> </w:t>
      </w:r>
      <w:r w:rsidR="005D624A">
        <w:rPr>
          <w:rFonts w:ascii="David" w:hAnsi="David"/>
          <w:b/>
          <w:bCs/>
          <w:rtl/>
        </w:rPr>
        <w:t>מדינת ישראל נ' קדורה</w:t>
      </w:r>
      <w:r w:rsidR="005D624A">
        <w:rPr>
          <w:rFonts w:ascii="David" w:hAnsi="David"/>
          <w:rtl/>
        </w:rPr>
        <w:t xml:space="preserve"> (14.4.2022): המשיב הורשע בעבירה של החזקת נשק שלא כדין בצוותא חדא בכך שהחזיק (למשך ימים)</w:t>
      </w:r>
      <w:r w:rsidR="005D624A">
        <w:rPr>
          <w:rFonts w:ascii="David" w:hAnsi="David"/>
        </w:rPr>
        <w:t xml:space="preserve"> </w:t>
      </w:r>
      <w:r w:rsidR="005D624A">
        <w:rPr>
          <w:rFonts w:ascii="David" w:hAnsi="David"/>
          <w:u w:val="single"/>
          <w:rtl/>
        </w:rPr>
        <w:t>אקדח, מחסנית, כדורים ורימון הלם</w:t>
      </w:r>
      <w:r w:rsidR="005D624A">
        <w:rPr>
          <w:rFonts w:ascii="David" w:hAnsi="David"/>
          <w:rtl/>
        </w:rPr>
        <w:t xml:space="preserve">, עבור אדם אחר ובמהלך החיפוש שבוצע נתפס הרימון בלבד.  </w:t>
      </w:r>
      <w:r w:rsidR="005D624A">
        <w:rPr>
          <w:rFonts w:ascii="David" w:hAnsi="David"/>
          <w:b/>
          <w:bCs/>
          <w:rtl/>
        </w:rPr>
        <w:t xml:space="preserve">נקבע מתחם הנע בין 10 ל-36 חודשי מאסר בפועל </w:t>
      </w:r>
      <w:r w:rsidR="005D624A">
        <w:rPr>
          <w:rFonts w:ascii="David" w:hAnsi="David"/>
          <w:rtl/>
        </w:rPr>
        <w:t xml:space="preserve">ונגזר על המשיב, </w:t>
      </w:r>
      <w:r w:rsidR="005D624A">
        <w:rPr>
          <w:rFonts w:ascii="David" w:hAnsi="David"/>
          <w:b/>
          <w:bCs/>
          <w:rtl/>
        </w:rPr>
        <w:t>צעיר כבן 19 במועד ביצוע העבירה ונעדר עבר פלילי</w:t>
      </w:r>
      <w:r w:rsidR="005D624A">
        <w:rPr>
          <w:rFonts w:ascii="David" w:hAnsi="David"/>
          <w:rtl/>
        </w:rPr>
        <w:t xml:space="preserve">, 10 חודשי מאסר בפועל לצד ענישה נלוות. </w:t>
      </w:r>
      <w:r w:rsidR="005D624A">
        <w:rPr>
          <w:rFonts w:ascii="David" w:hAnsi="David"/>
          <w:b/>
          <w:bCs/>
          <w:rtl/>
        </w:rPr>
        <w:t>ערעור שהוגש מטעם המדינה, התקבל ובית המשפט העליון החמיר את עונשו של המשיב והעמידו על</w:t>
      </w:r>
      <w:r w:rsidR="005D624A">
        <w:rPr>
          <w:rFonts w:ascii="David" w:hAnsi="David"/>
          <w:rtl/>
        </w:rPr>
        <w:t xml:space="preserve"> </w:t>
      </w:r>
      <w:r w:rsidR="005D624A">
        <w:rPr>
          <w:rFonts w:ascii="David" w:hAnsi="David"/>
          <w:b/>
          <w:bCs/>
          <w:rtl/>
        </w:rPr>
        <w:t>18 חודשי מאסר.</w:t>
      </w:r>
    </w:p>
    <w:p w14:paraId="3616C848" w14:textId="77777777" w:rsidR="005D624A" w:rsidRDefault="005D624A" w:rsidP="005D624A">
      <w:pPr>
        <w:pStyle w:val="a9"/>
        <w:rPr>
          <w:rFonts w:ascii="David" w:hAnsi="David" w:cs="David"/>
          <w:sz w:val="18"/>
          <w:szCs w:val="18"/>
        </w:rPr>
      </w:pPr>
    </w:p>
    <w:p w14:paraId="230E3B10" w14:textId="77777777" w:rsidR="005D624A" w:rsidRDefault="005D624A" w:rsidP="005D624A">
      <w:pPr>
        <w:pStyle w:val="a9"/>
        <w:rPr>
          <w:rFonts w:ascii="David" w:hAnsi="David" w:cs="David"/>
          <w:sz w:val="2"/>
          <w:szCs w:val="2"/>
          <w:rtl/>
        </w:rPr>
      </w:pPr>
    </w:p>
    <w:p w14:paraId="73FCA489" w14:textId="77777777" w:rsidR="005D624A" w:rsidRDefault="005D624A" w:rsidP="005D624A">
      <w:pPr>
        <w:pStyle w:val="a9"/>
        <w:rPr>
          <w:rFonts w:ascii="David" w:hAnsi="David" w:cs="David"/>
          <w:sz w:val="24"/>
          <w:szCs w:val="24"/>
          <w:rtl/>
        </w:rPr>
      </w:pPr>
    </w:p>
    <w:p w14:paraId="3E40FFCD" w14:textId="77777777" w:rsidR="005D624A" w:rsidRDefault="00F916C8" w:rsidP="005D624A">
      <w:pPr>
        <w:pStyle w:val="a9"/>
        <w:numPr>
          <w:ilvl w:val="0"/>
          <w:numId w:val="3"/>
        </w:numPr>
        <w:spacing w:line="360" w:lineRule="auto"/>
        <w:jc w:val="both"/>
        <w:rPr>
          <w:rFonts w:ascii="David" w:hAnsi="David" w:cs="David"/>
          <w:sz w:val="24"/>
          <w:szCs w:val="24"/>
          <w:rtl/>
        </w:rPr>
      </w:pPr>
      <w:hyperlink r:id="rId16" w:history="1">
        <w:r w:rsidRPr="00F916C8">
          <w:rPr>
            <w:rFonts w:ascii="David" w:hAnsi="David" w:cs="David"/>
            <w:color w:val="0000FF"/>
            <w:sz w:val="24"/>
            <w:szCs w:val="24"/>
            <w:u w:val="single"/>
            <w:rtl/>
          </w:rPr>
          <w:t>רע"פ 3355/22</w:t>
        </w:r>
      </w:hyperlink>
      <w:r w:rsidR="005D624A">
        <w:rPr>
          <w:rFonts w:ascii="David" w:hAnsi="David" w:cs="David"/>
          <w:sz w:val="24"/>
          <w:szCs w:val="24"/>
          <w:rtl/>
        </w:rPr>
        <w:t xml:space="preserve"> </w:t>
      </w:r>
      <w:r w:rsidR="005D624A">
        <w:rPr>
          <w:rFonts w:ascii="David" w:hAnsi="David" w:cs="David"/>
          <w:b/>
          <w:bCs/>
          <w:sz w:val="24"/>
          <w:szCs w:val="24"/>
          <w:rtl/>
        </w:rPr>
        <w:t xml:space="preserve">סלאמה נ' מדינת ישראל </w:t>
      </w:r>
      <w:r w:rsidR="005D624A">
        <w:rPr>
          <w:rFonts w:ascii="David" w:hAnsi="David" w:cs="David"/>
          <w:sz w:val="24"/>
          <w:szCs w:val="24"/>
          <w:rtl/>
        </w:rPr>
        <w:t xml:space="preserve">(26.05.2022): נדחתה בקשת רשות ערעור שהוגשה על-ידי המבקש אשר הורשע בעבירות של החזקת נשק ותקיפת שוטר, בכך שהחזיק </w:t>
      </w:r>
      <w:r w:rsidR="005D624A">
        <w:rPr>
          <w:rFonts w:ascii="David" w:hAnsi="David" w:cs="David"/>
          <w:b/>
          <w:bCs/>
          <w:sz w:val="24"/>
          <w:szCs w:val="24"/>
          <w:rtl/>
        </w:rPr>
        <w:t>בחצר ביתו</w:t>
      </w:r>
      <w:r w:rsidR="005D624A">
        <w:rPr>
          <w:rFonts w:ascii="David" w:hAnsi="David" w:cs="David"/>
          <w:sz w:val="24"/>
          <w:szCs w:val="24"/>
          <w:rtl/>
        </w:rPr>
        <w:t xml:space="preserve"> </w:t>
      </w:r>
      <w:r w:rsidR="005D624A">
        <w:rPr>
          <w:rFonts w:ascii="David" w:hAnsi="David" w:cs="David"/>
          <w:sz w:val="24"/>
          <w:szCs w:val="24"/>
          <w:u w:val="single"/>
          <w:rtl/>
        </w:rPr>
        <w:t>שני תתי מקלע מאולתרים</w:t>
      </w:r>
      <w:r w:rsidR="005D624A">
        <w:rPr>
          <w:rFonts w:ascii="David" w:hAnsi="David" w:cs="David"/>
          <w:sz w:val="24"/>
          <w:szCs w:val="24"/>
          <w:rtl/>
        </w:rPr>
        <w:t xml:space="preserve">, מחסנית ריקה ותרמיל בקליבר 9 מ"מ. במהלך חיפוש אותר הנשק ובאותן הנסיבות המבקש תקף את השוטר וגרם לו חבלה בירך. בית משפט השלום קבע מתחם עונש הנע בין 12 ל-36 חודשי מאסר, והשית על המבקש 15 חודשי מאסר בפועל, לצד עונשים נלווים. </w:t>
      </w:r>
      <w:r w:rsidR="005D624A">
        <w:rPr>
          <w:rFonts w:ascii="David" w:hAnsi="David" w:cs="David"/>
          <w:b/>
          <w:bCs/>
          <w:sz w:val="24"/>
          <w:szCs w:val="24"/>
          <w:rtl/>
        </w:rPr>
        <w:t xml:space="preserve">בית המשפט המחוזי קבע, כי מתחם העונש נע בין 24 ל-50 חודשי מאסר בפועל, </w:t>
      </w:r>
      <w:r w:rsidR="005D624A">
        <w:rPr>
          <w:rFonts w:ascii="David" w:hAnsi="David" w:cs="David"/>
          <w:sz w:val="24"/>
          <w:szCs w:val="24"/>
          <w:rtl/>
        </w:rPr>
        <w:t>והעמיד את עונש מאסרו בפועל של המבקש על 28 חודשים. בית המשפט העליון דחה את בקשת רשות הערעור.</w:t>
      </w:r>
    </w:p>
    <w:p w14:paraId="5EA221D4" w14:textId="77777777" w:rsidR="005D624A" w:rsidRDefault="005D624A" w:rsidP="005D624A">
      <w:pPr>
        <w:spacing w:line="360" w:lineRule="auto"/>
        <w:ind w:left="720"/>
        <w:contextualSpacing/>
        <w:jc w:val="both"/>
        <w:rPr>
          <w:rFonts w:ascii="David" w:hAnsi="David"/>
          <w:sz w:val="2"/>
          <w:szCs w:val="2"/>
          <w:rtl/>
        </w:rPr>
      </w:pPr>
    </w:p>
    <w:p w14:paraId="0CF8B15D" w14:textId="77777777" w:rsidR="005D624A" w:rsidRDefault="005D624A" w:rsidP="005D624A">
      <w:pPr>
        <w:spacing w:line="360" w:lineRule="auto"/>
        <w:contextualSpacing/>
        <w:jc w:val="both"/>
        <w:rPr>
          <w:rFonts w:ascii="David" w:hAnsi="David"/>
          <w:sz w:val="2"/>
          <w:szCs w:val="2"/>
        </w:rPr>
      </w:pPr>
    </w:p>
    <w:p w14:paraId="3BB8ED1D" w14:textId="77777777" w:rsidR="005D624A" w:rsidRDefault="005D624A" w:rsidP="005D624A">
      <w:pPr>
        <w:pStyle w:val="a9"/>
        <w:rPr>
          <w:rFonts w:ascii="David" w:hAnsi="David" w:cs="David"/>
          <w:sz w:val="2"/>
          <w:szCs w:val="2"/>
          <w:rtl/>
        </w:rPr>
      </w:pPr>
    </w:p>
    <w:p w14:paraId="406D5172" w14:textId="77777777" w:rsidR="005D624A" w:rsidRDefault="005D624A" w:rsidP="005D624A">
      <w:pPr>
        <w:pStyle w:val="a9"/>
        <w:rPr>
          <w:rFonts w:ascii="David" w:hAnsi="David" w:cs="David"/>
          <w:sz w:val="2"/>
          <w:szCs w:val="2"/>
          <w:rtl/>
        </w:rPr>
      </w:pPr>
    </w:p>
    <w:p w14:paraId="3CDA4912" w14:textId="77777777" w:rsidR="005D624A" w:rsidRDefault="005D624A" w:rsidP="005D624A">
      <w:pPr>
        <w:pStyle w:val="a9"/>
        <w:rPr>
          <w:rFonts w:ascii="David" w:hAnsi="David" w:cs="David"/>
          <w:sz w:val="2"/>
          <w:szCs w:val="2"/>
          <w:rtl/>
        </w:rPr>
      </w:pPr>
    </w:p>
    <w:p w14:paraId="1D321C65" w14:textId="77777777" w:rsidR="005D624A" w:rsidRDefault="005D624A" w:rsidP="005D624A">
      <w:pPr>
        <w:pStyle w:val="a9"/>
        <w:rPr>
          <w:rFonts w:ascii="David" w:hAnsi="David" w:cs="David"/>
          <w:sz w:val="2"/>
          <w:szCs w:val="2"/>
          <w:rtl/>
        </w:rPr>
      </w:pPr>
    </w:p>
    <w:p w14:paraId="267814E7" w14:textId="77777777" w:rsidR="005D624A" w:rsidRDefault="005D624A" w:rsidP="005D624A">
      <w:pPr>
        <w:pStyle w:val="a9"/>
        <w:rPr>
          <w:rFonts w:ascii="David" w:hAnsi="David" w:cs="David"/>
          <w:sz w:val="2"/>
          <w:szCs w:val="2"/>
          <w:rtl/>
        </w:rPr>
      </w:pPr>
    </w:p>
    <w:p w14:paraId="67C69CF6" w14:textId="77777777" w:rsidR="005D624A" w:rsidRDefault="005D624A" w:rsidP="005D624A">
      <w:pPr>
        <w:pStyle w:val="a9"/>
        <w:rPr>
          <w:rFonts w:ascii="David" w:hAnsi="David" w:cs="David"/>
          <w:sz w:val="2"/>
          <w:szCs w:val="2"/>
          <w:rtl/>
        </w:rPr>
      </w:pPr>
    </w:p>
    <w:p w14:paraId="4980684D" w14:textId="77777777" w:rsidR="005D624A" w:rsidRDefault="005D624A" w:rsidP="005D624A">
      <w:pPr>
        <w:pStyle w:val="a9"/>
        <w:rPr>
          <w:rFonts w:ascii="David" w:hAnsi="David" w:cs="David"/>
          <w:sz w:val="2"/>
          <w:szCs w:val="2"/>
          <w:rtl/>
        </w:rPr>
      </w:pPr>
    </w:p>
    <w:p w14:paraId="5E2E3121" w14:textId="77777777" w:rsidR="005D624A" w:rsidRDefault="005D624A" w:rsidP="005D624A">
      <w:pPr>
        <w:pStyle w:val="a9"/>
        <w:rPr>
          <w:rFonts w:ascii="David" w:hAnsi="David" w:cs="David"/>
          <w:sz w:val="2"/>
          <w:szCs w:val="2"/>
          <w:rtl/>
        </w:rPr>
      </w:pPr>
    </w:p>
    <w:p w14:paraId="2D1FB30E" w14:textId="77777777" w:rsidR="005D624A" w:rsidRDefault="005D624A" w:rsidP="005D624A">
      <w:pPr>
        <w:pStyle w:val="a9"/>
        <w:rPr>
          <w:rFonts w:ascii="David" w:hAnsi="David" w:cs="David"/>
          <w:sz w:val="2"/>
          <w:szCs w:val="2"/>
          <w:rtl/>
        </w:rPr>
      </w:pPr>
    </w:p>
    <w:p w14:paraId="3424E16D" w14:textId="77777777" w:rsidR="005D624A" w:rsidRDefault="005D624A" w:rsidP="005D624A">
      <w:pPr>
        <w:pStyle w:val="a9"/>
        <w:rPr>
          <w:rFonts w:ascii="David" w:hAnsi="David" w:cs="David"/>
          <w:sz w:val="2"/>
          <w:szCs w:val="2"/>
          <w:rtl/>
        </w:rPr>
      </w:pPr>
    </w:p>
    <w:p w14:paraId="05E8D510" w14:textId="77777777" w:rsidR="005D624A" w:rsidRDefault="005D624A" w:rsidP="005D624A">
      <w:pPr>
        <w:pStyle w:val="a9"/>
        <w:rPr>
          <w:rFonts w:ascii="David" w:hAnsi="David" w:cs="David"/>
          <w:sz w:val="2"/>
          <w:szCs w:val="2"/>
          <w:rtl/>
        </w:rPr>
      </w:pPr>
    </w:p>
    <w:p w14:paraId="50427EB5" w14:textId="77777777" w:rsidR="005D624A" w:rsidRDefault="005D624A" w:rsidP="005D624A">
      <w:pPr>
        <w:pStyle w:val="a9"/>
        <w:rPr>
          <w:rFonts w:ascii="David" w:hAnsi="David" w:cs="David"/>
          <w:sz w:val="2"/>
          <w:szCs w:val="2"/>
          <w:rtl/>
        </w:rPr>
      </w:pPr>
    </w:p>
    <w:p w14:paraId="2203D2ED" w14:textId="77777777" w:rsidR="005D624A" w:rsidRDefault="005D624A" w:rsidP="005D624A">
      <w:pPr>
        <w:pStyle w:val="a9"/>
        <w:rPr>
          <w:rFonts w:ascii="David" w:hAnsi="David" w:cs="David"/>
          <w:sz w:val="2"/>
          <w:szCs w:val="2"/>
          <w:rtl/>
        </w:rPr>
      </w:pPr>
    </w:p>
    <w:p w14:paraId="07BF9A87" w14:textId="77777777" w:rsidR="005D624A" w:rsidRDefault="005D624A" w:rsidP="005D624A">
      <w:pPr>
        <w:pStyle w:val="a9"/>
        <w:rPr>
          <w:rFonts w:ascii="David" w:hAnsi="David" w:cs="David"/>
          <w:sz w:val="2"/>
          <w:szCs w:val="2"/>
          <w:rtl/>
        </w:rPr>
      </w:pPr>
    </w:p>
    <w:p w14:paraId="5C97EB02" w14:textId="77777777" w:rsidR="005D624A" w:rsidRDefault="005D624A" w:rsidP="005D624A">
      <w:pPr>
        <w:pStyle w:val="a9"/>
        <w:rPr>
          <w:rFonts w:ascii="David" w:hAnsi="David" w:cs="David"/>
          <w:sz w:val="2"/>
          <w:szCs w:val="2"/>
          <w:rtl/>
        </w:rPr>
      </w:pPr>
    </w:p>
    <w:p w14:paraId="4B1F8DE2" w14:textId="77777777" w:rsidR="005D624A" w:rsidRDefault="00F916C8" w:rsidP="005D624A">
      <w:pPr>
        <w:pStyle w:val="1"/>
        <w:numPr>
          <w:ilvl w:val="0"/>
          <w:numId w:val="3"/>
        </w:numPr>
        <w:shd w:val="clear" w:color="auto" w:fill="FFFFFF"/>
        <w:spacing w:line="360" w:lineRule="auto"/>
        <w:jc w:val="both"/>
        <w:rPr>
          <w:rFonts w:ascii="David" w:hAnsi="David" w:cs="David"/>
          <w:sz w:val="24"/>
          <w:szCs w:val="24"/>
          <w:rtl/>
        </w:rPr>
      </w:pPr>
      <w:hyperlink r:id="rId17" w:history="1">
        <w:r w:rsidRPr="00F916C8">
          <w:rPr>
            <w:rFonts w:ascii="David" w:hAnsi="David" w:cs="David"/>
            <w:color w:val="0000FF"/>
            <w:sz w:val="24"/>
            <w:szCs w:val="24"/>
            <w:u w:val="single"/>
            <w:rtl/>
          </w:rPr>
          <w:t>עפ"ג (ב"ש) 28490-02-24</w:t>
        </w:r>
      </w:hyperlink>
      <w:r w:rsidR="005D624A">
        <w:rPr>
          <w:rFonts w:ascii="David" w:hAnsi="David" w:cs="David"/>
          <w:b/>
          <w:bCs/>
          <w:sz w:val="24"/>
          <w:szCs w:val="24"/>
          <w:rtl/>
        </w:rPr>
        <w:t xml:space="preserve"> גוסלקר נ' מדינת ישראל</w:t>
      </w:r>
      <w:r w:rsidR="005D624A">
        <w:rPr>
          <w:rFonts w:ascii="David" w:hAnsi="David" w:cs="David"/>
          <w:sz w:val="24"/>
          <w:szCs w:val="24"/>
          <w:rtl/>
        </w:rPr>
        <w:t xml:space="preserve"> (20.3.</w:t>
      </w:r>
      <w:r w:rsidR="005D624A">
        <w:rPr>
          <w:rFonts w:ascii="David" w:hAnsi="David" w:cs="David" w:hint="cs"/>
          <w:sz w:val="24"/>
          <w:szCs w:val="24"/>
          <w:rtl/>
        </w:rPr>
        <w:t>2024</w:t>
      </w:r>
      <w:r w:rsidR="005D624A">
        <w:rPr>
          <w:rFonts w:ascii="David" w:hAnsi="David" w:cs="David"/>
          <w:sz w:val="24"/>
          <w:szCs w:val="24"/>
          <w:rtl/>
        </w:rPr>
        <w:t xml:space="preserve">) [הוגש על-ידי המאשימה]: הנאשם הורשע בכך </w:t>
      </w:r>
      <w:r w:rsidR="005D624A">
        <w:rPr>
          <w:rFonts w:ascii="David" w:hAnsi="David" w:cs="David"/>
          <w:b/>
          <w:bCs/>
          <w:sz w:val="24"/>
          <w:szCs w:val="24"/>
          <w:rtl/>
        </w:rPr>
        <w:t>שהחזיק בביתו</w:t>
      </w:r>
      <w:r w:rsidR="005D624A">
        <w:rPr>
          <w:rFonts w:ascii="David" w:hAnsi="David" w:cs="David"/>
          <w:sz w:val="24"/>
          <w:szCs w:val="24"/>
          <w:rtl/>
        </w:rPr>
        <w:t xml:space="preserve"> עבור בן משפחה </w:t>
      </w:r>
      <w:r w:rsidR="005D624A">
        <w:rPr>
          <w:rFonts w:ascii="David" w:hAnsi="David" w:cs="David"/>
          <w:sz w:val="24"/>
          <w:szCs w:val="24"/>
          <w:u w:val="single"/>
          <w:rtl/>
        </w:rPr>
        <w:t>בשני אקדחים</w:t>
      </w:r>
      <w:r w:rsidR="005D624A">
        <w:rPr>
          <w:rFonts w:ascii="David" w:hAnsi="David" w:cs="David"/>
          <w:b/>
          <w:bCs/>
          <w:sz w:val="24"/>
          <w:szCs w:val="24"/>
          <w:rtl/>
        </w:rPr>
        <w:t xml:space="preserve"> </w:t>
      </w:r>
      <w:r w:rsidR="005D624A">
        <w:rPr>
          <w:rFonts w:ascii="David" w:hAnsi="David" w:cs="David"/>
          <w:sz w:val="24"/>
          <w:szCs w:val="24"/>
          <w:rtl/>
        </w:rPr>
        <w:t xml:space="preserve">בתוכם מחסניות ריקות תואמות להם. האקדחים הוחזקו בתוך צידנית, עטופים בגרב. בית המשפט קבע </w:t>
      </w:r>
      <w:r w:rsidR="005D624A">
        <w:rPr>
          <w:rFonts w:ascii="David" w:hAnsi="David" w:cs="David"/>
          <w:b/>
          <w:bCs/>
          <w:sz w:val="24"/>
          <w:szCs w:val="24"/>
          <w:rtl/>
        </w:rPr>
        <w:t>מתחם עונש הנע בין 22 חודשי מאסר ועד 40 חודשים בפועל</w:t>
      </w:r>
      <w:r w:rsidR="005D624A">
        <w:rPr>
          <w:rFonts w:ascii="David" w:hAnsi="David" w:cs="David"/>
          <w:sz w:val="24"/>
          <w:szCs w:val="24"/>
          <w:rtl/>
        </w:rPr>
        <w:t xml:space="preserve">, והשית על הנאשם שלחובתו עבר פלילי, 24 חודשי מאסר בפועל.  כאמור, ערעורו על חומרת העונש נדחה ובית המשפט לא מצא מקום להתערב בגזר הדין. </w:t>
      </w:r>
    </w:p>
    <w:p w14:paraId="1492EEFF" w14:textId="77777777" w:rsidR="005D624A" w:rsidRDefault="005D624A" w:rsidP="005D624A">
      <w:pPr>
        <w:spacing w:line="360" w:lineRule="auto"/>
        <w:ind w:left="714"/>
        <w:jc w:val="both"/>
        <w:rPr>
          <w:rFonts w:ascii="David" w:hAnsi="David"/>
          <w:sz w:val="8"/>
          <w:szCs w:val="8"/>
          <w:u w:val="single"/>
        </w:rPr>
      </w:pPr>
    </w:p>
    <w:p w14:paraId="63E76295" w14:textId="77777777" w:rsidR="005D624A" w:rsidRDefault="00F916C8" w:rsidP="005D624A">
      <w:pPr>
        <w:numPr>
          <w:ilvl w:val="0"/>
          <w:numId w:val="3"/>
        </w:numPr>
        <w:spacing w:after="160" w:line="360" w:lineRule="auto"/>
        <w:ind w:left="714" w:hanging="357"/>
        <w:jc w:val="both"/>
        <w:rPr>
          <w:rFonts w:ascii="David" w:hAnsi="David"/>
          <w:u w:val="single"/>
        </w:rPr>
      </w:pPr>
      <w:hyperlink r:id="rId18" w:history="1">
        <w:r w:rsidRPr="00F916C8">
          <w:rPr>
            <w:rFonts w:ascii="David" w:hAnsi="David"/>
            <w:color w:val="0000FF"/>
            <w:u w:val="single"/>
            <w:rtl/>
          </w:rPr>
          <w:t>ע"פ (מרכז) 1512-07-24</w:t>
        </w:r>
      </w:hyperlink>
      <w:r w:rsidR="005D624A">
        <w:rPr>
          <w:rFonts w:ascii="David" w:hAnsi="David"/>
          <w:rtl/>
        </w:rPr>
        <w:t xml:space="preserve"> </w:t>
      </w:r>
      <w:r w:rsidR="005D624A">
        <w:rPr>
          <w:rFonts w:ascii="David" w:hAnsi="David"/>
          <w:b/>
          <w:bCs/>
          <w:rtl/>
        </w:rPr>
        <w:t>עבד אל חי נ' מדינת ישראל</w:t>
      </w:r>
      <w:r w:rsidR="005D624A">
        <w:rPr>
          <w:rFonts w:ascii="David" w:hAnsi="David"/>
          <w:rtl/>
        </w:rPr>
        <w:t xml:space="preserve"> (14.10.2024): </w:t>
      </w:r>
      <w:r w:rsidR="005D624A">
        <w:rPr>
          <w:rFonts w:ascii="David" w:eastAsia="Calibri" w:hAnsi="David"/>
          <w:rtl/>
        </w:rPr>
        <w:t xml:space="preserve">המערער הורשע </w:t>
      </w:r>
      <w:r w:rsidR="005D624A">
        <w:rPr>
          <w:rFonts w:ascii="David" w:hAnsi="David"/>
          <w:rtl/>
        </w:rPr>
        <w:t xml:space="preserve">בהחזקת </w:t>
      </w:r>
      <w:r w:rsidR="005D624A">
        <w:rPr>
          <w:rFonts w:ascii="David" w:hAnsi="David"/>
          <w:u w:val="single"/>
          <w:rtl/>
        </w:rPr>
        <w:t xml:space="preserve">אקדח מסוג </w:t>
      </w:r>
      <w:r w:rsidR="005D624A">
        <w:rPr>
          <w:rFonts w:ascii="David" w:hAnsi="David"/>
          <w:u w:val="single"/>
        </w:rPr>
        <w:t>FN</w:t>
      </w:r>
      <w:r w:rsidR="005D624A">
        <w:rPr>
          <w:rFonts w:ascii="David" w:hAnsi="David"/>
          <w:u w:val="single"/>
          <w:rtl/>
        </w:rPr>
        <w:t xml:space="preserve"> </w:t>
      </w:r>
      <w:r w:rsidR="005D624A">
        <w:rPr>
          <w:rFonts w:ascii="David" w:hAnsi="David" w:hint="cs"/>
          <w:u w:val="single"/>
          <w:rtl/>
        </w:rPr>
        <w:t>עם מחסנית</w:t>
      </w:r>
      <w:r w:rsidR="005D624A">
        <w:rPr>
          <w:rFonts w:ascii="David" w:hAnsi="David"/>
          <w:rtl/>
        </w:rPr>
        <w:t xml:space="preserve"> ריקה, </w:t>
      </w:r>
      <w:r w:rsidR="005D624A">
        <w:rPr>
          <w:rFonts w:ascii="David" w:hAnsi="David"/>
          <w:u w:val="single"/>
          <w:rtl/>
        </w:rPr>
        <w:t xml:space="preserve">אקדח מסוג </w:t>
      </w:r>
      <w:r w:rsidR="005D624A">
        <w:rPr>
          <w:rFonts w:ascii="David" w:hAnsi="David"/>
          <w:u w:val="single"/>
        </w:rPr>
        <w:t>STAR</w:t>
      </w:r>
      <w:r w:rsidR="005D624A">
        <w:rPr>
          <w:rFonts w:ascii="David" w:hAnsi="David"/>
          <w:rtl/>
        </w:rPr>
        <w:t xml:space="preserve"> </w:t>
      </w:r>
      <w:r w:rsidR="005D624A">
        <w:rPr>
          <w:rFonts w:ascii="David" w:hAnsi="David" w:hint="cs"/>
          <w:rtl/>
        </w:rPr>
        <w:t xml:space="preserve"> ושתי מחסניות ריקות, </w:t>
      </w:r>
      <w:r w:rsidR="005D624A">
        <w:rPr>
          <w:rFonts w:ascii="David" w:hAnsi="David" w:hint="cs"/>
          <w:u w:val="single"/>
          <w:rtl/>
        </w:rPr>
        <w:t>נשק מאולתר מסוג "קרלו"</w:t>
      </w:r>
      <w:r w:rsidR="005D624A">
        <w:rPr>
          <w:rFonts w:ascii="David" w:hAnsi="David" w:hint="cs"/>
          <w:rtl/>
        </w:rPr>
        <w:t xml:space="preserve">, </w:t>
      </w:r>
      <w:r w:rsidR="005D624A">
        <w:rPr>
          <w:rFonts w:ascii="David" w:hAnsi="David" w:hint="cs"/>
          <w:u w:val="single"/>
          <w:rtl/>
        </w:rPr>
        <w:t>כלי ירייה מאולתר דמוי עט</w:t>
      </w:r>
      <w:r w:rsidR="005D624A">
        <w:rPr>
          <w:rFonts w:ascii="David" w:hAnsi="David" w:hint="cs"/>
          <w:rtl/>
        </w:rPr>
        <w:t>, מחסנית שהכילה 11 כדורים, מחסנית ובה 2 כדורים, שתי מחסניות ריקות ושתי כוורות פלסטיק שהכילו</w:t>
      </w:r>
      <w:r w:rsidR="005D624A">
        <w:rPr>
          <w:rFonts w:ascii="David" w:hAnsi="David"/>
        </w:rPr>
        <w:t xml:space="preserve"> </w:t>
      </w:r>
      <w:r w:rsidR="005D624A">
        <w:rPr>
          <w:rFonts w:ascii="David" w:hAnsi="David"/>
          <w:rtl/>
        </w:rPr>
        <w:t xml:space="preserve">כ- 130 כדורי תחמושת שונים. הודגש בגזר הדין, כי התיקון לחוק לא חל בעניינו. </w:t>
      </w:r>
      <w:r w:rsidR="005D624A">
        <w:rPr>
          <w:rFonts w:ascii="David" w:hAnsi="David"/>
          <w:b/>
          <w:bCs/>
          <w:rtl/>
        </w:rPr>
        <w:t xml:space="preserve">בית המשפט קבע מתחם עונש הנע בין 28 ל-48 חודשי מאסר והשית על הנאשם 34 חודשי מאסר. </w:t>
      </w:r>
      <w:r w:rsidR="005D624A">
        <w:rPr>
          <w:rFonts w:ascii="David" w:hAnsi="David"/>
          <w:rtl/>
        </w:rPr>
        <w:t>ערכאת הערעור קבעה כי לא נפלה שגגה בגזר הדין, העונש שהוטל על המערער הינו מתון ביחס למדיניות הענישה כיום. אולם, לאור עקרון אחידות הענישה ומאחר שהוטל על הנאשם 1 עונש מאסר בפועל בן 24 חודשים (עונשו הוחרג בשל שיקולי שיקום) הערעור התקבל – על המערער הושתו 30 חודשי מאסר בפועל.</w:t>
      </w:r>
    </w:p>
    <w:p w14:paraId="3EBDE5F1" w14:textId="77777777" w:rsidR="005D624A" w:rsidRDefault="005D624A" w:rsidP="005D624A">
      <w:pPr>
        <w:spacing w:line="360" w:lineRule="auto"/>
        <w:ind w:left="714"/>
        <w:contextualSpacing/>
        <w:jc w:val="both"/>
        <w:rPr>
          <w:rFonts w:ascii="David" w:hAnsi="David"/>
          <w:sz w:val="2"/>
          <w:szCs w:val="2"/>
        </w:rPr>
      </w:pPr>
    </w:p>
    <w:p w14:paraId="162B130A" w14:textId="77777777" w:rsidR="005D624A" w:rsidRDefault="005D624A" w:rsidP="005D624A">
      <w:pPr>
        <w:spacing w:line="360" w:lineRule="auto"/>
        <w:ind w:left="720"/>
        <w:contextualSpacing/>
        <w:jc w:val="both"/>
        <w:rPr>
          <w:rFonts w:ascii="David" w:hAnsi="David"/>
          <w:sz w:val="20"/>
          <w:szCs w:val="20"/>
          <w:rtl/>
        </w:rPr>
      </w:pPr>
    </w:p>
    <w:p w14:paraId="0D861ADC" w14:textId="77777777" w:rsidR="005D624A" w:rsidRDefault="00F916C8" w:rsidP="005D624A">
      <w:pPr>
        <w:numPr>
          <w:ilvl w:val="0"/>
          <w:numId w:val="3"/>
        </w:numPr>
        <w:spacing w:line="360" w:lineRule="auto"/>
        <w:contextualSpacing/>
        <w:jc w:val="both"/>
        <w:rPr>
          <w:rFonts w:ascii="David" w:hAnsi="David"/>
          <w:rtl/>
        </w:rPr>
      </w:pPr>
      <w:hyperlink r:id="rId19" w:history="1">
        <w:r w:rsidRPr="00F916C8">
          <w:rPr>
            <w:rFonts w:ascii="David" w:hAnsi="David"/>
            <w:color w:val="0000FF"/>
            <w:u w:val="single"/>
            <w:rtl/>
          </w:rPr>
          <w:t>עפ"ג (ירושלים) 30958-02-23</w:t>
        </w:r>
      </w:hyperlink>
      <w:r w:rsidR="005D624A">
        <w:rPr>
          <w:rFonts w:ascii="David" w:hAnsi="David"/>
          <w:rtl/>
        </w:rPr>
        <w:t xml:space="preserve"> </w:t>
      </w:r>
      <w:r w:rsidR="005D624A">
        <w:rPr>
          <w:rFonts w:ascii="David" w:hAnsi="David"/>
          <w:b/>
          <w:bCs/>
          <w:rtl/>
        </w:rPr>
        <w:t>דעאגלה נ' מדינת ישראל</w:t>
      </w:r>
      <w:r w:rsidR="005D624A">
        <w:rPr>
          <w:rFonts w:ascii="David" w:hAnsi="David"/>
          <w:rtl/>
        </w:rPr>
        <w:t xml:space="preserve"> (01.06.2023):</w:t>
      </w:r>
      <w:r w:rsidR="005D624A">
        <w:rPr>
          <w:rFonts w:ascii="David" w:hAnsi="David"/>
        </w:rPr>
        <w:t xml:space="preserve"> </w:t>
      </w:r>
      <w:r w:rsidR="005D624A">
        <w:rPr>
          <w:rFonts w:ascii="David" w:hAnsi="David"/>
          <w:rtl/>
        </w:rPr>
        <w:t xml:space="preserve">המערער ונאשם 1 הורשעו בכך שהחזיקו בדירתם, </w:t>
      </w:r>
      <w:r w:rsidR="005D624A">
        <w:rPr>
          <w:rFonts w:ascii="David" w:hAnsi="David"/>
          <w:u w:val="single"/>
          <w:rtl/>
        </w:rPr>
        <w:t>שני אקדחים</w:t>
      </w:r>
      <w:r w:rsidR="005D624A">
        <w:rPr>
          <w:rFonts w:ascii="David" w:hAnsi="David"/>
          <w:rtl/>
        </w:rPr>
        <w:t xml:space="preserve">, מחסניות וכדורים, סמים שלא לצריכה עצמית ובכך שסחרו בסמים. הנאשמים נדונו לפני שני מותבים במסגרת ת"פ 57425-07-21 בעניינו של נאשם 1 נקבע לעבירות הנשק מתחם עונש </w:t>
      </w:r>
      <w:r w:rsidR="005D624A">
        <w:rPr>
          <w:rFonts w:ascii="David" w:hAnsi="David"/>
          <w:b/>
          <w:bCs/>
          <w:rtl/>
        </w:rPr>
        <w:t>בין 24 ל-48 חודשי מאסר</w:t>
      </w:r>
      <w:r w:rsidR="005D624A">
        <w:rPr>
          <w:rFonts w:ascii="David" w:hAnsi="David"/>
          <w:rtl/>
        </w:rPr>
        <w:t xml:space="preserve"> ולעבירות הסמים בין 36 ל-60 והושתו 48 חודשי מאסר בפועל; בעניינו של המערער נקבע </w:t>
      </w:r>
      <w:r w:rsidR="005D624A">
        <w:rPr>
          <w:rFonts w:ascii="David" w:hAnsi="David"/>
          <w:b/>
          <w:bCs/>
          <w:rtl/>
        </w:rPr>
        <w:t>לעבירות הנשק מתחם עונש בין 18 ל-36 חודשי מאסר</w:t>
      </w:r>
      <w:r w:rsidR="005D624A">
        <w:rPr>
          <w:rFonts w:ascii="David" w:hAnsi="David"/>
          <w:rtl/>
        </w:rPr>
        <w:t xml:space="preserve"> ולעבירות הסמים בין 24 ל-50 והושתו עליו 60 חודשי מאסר בפועל. במסגרת ערעורו הופחת מאסרו ל-50 חודשי מאסר. </w:t>
      </w:r>
    </w:p>
    <w:p w14:paraId="6CC1348C" w14:textId="77777777" w:rsidR="005D624A" w:rsidRDefault="005D624A" w:rsidP="005D624A">
      <w:pPr>
        <w:pStyle w:val="a9"/>
        <w:spacing w:after="0" w:line="360" w:lineRule="auto"/>
        <w:jc w:val="both"/>
        <w:rPr>
          <w:rFonts w:ascii="Arial" w:hAnsi="Arial" w:cs="David"/>
          <w:sz w:val="24"/>
          <w:szCs w:val="24"/>
        </w:rPr>
      </w:pPr>
    </w:p>
    <w:p w14:paraId="4B09DBC4" w14:textId="77777777" w:rsidR="005D624A" w:rsidRDefault="00F916C8" w:rsidP="005D624A">
      <w:pPr>
        <w:pStyle w:val="a9"/>
        <w:numPr>
          <w:ilvl w:val="0"/>
          <w:numId w:val="3"/>
        </w:numPr>
        <w:spacing w:line="360" w:lineRule="auto"/>
        <w:jc w:val="both"/>
        <w:rPr>
          <w:rFonts w:ascii="David" w:hAnsi="David" w:cs="David"/>
          <w:sz w:val="24"/>
          <w:szCs w:val="24"/>
          <w:rtl/>
        </w:rPr>
      </w:pPr>
      <w:hyperlink r:id="rId20" w:history="1">
        <w:r w:rsidRPr="00F916C8">
          <w:rPr>
            <w:rFonts w:ascii="David" w:hAnsi="David" w:cs="David"/>
            <w:color w:val="0000FF"/>
            <w:sz w:val="24"/>
            <w:szCs w:val="24"/>
            <w:u w:val="single"/>
            <w:rtl/>
          </w:rPr>
          <w:t>ת"פ (מחוזי-חיפה) 63100-02-24</w:t>
        </w:r>
      </w:hyperlink>
      <w:r w:rsidR="005D624A">
        <w:rPr>
          <w:rFonts w:ascii="David" w:hAnsi="David" w:cs="David"/>
          <w:sz w:val="24"/>
          <w:szCs w:val="24"/>
          <w:rtl/>
        </w:rPr>
        <w:t xml:space="preserve"> </w:t>
      </w:r>
      <w:r w:rsidR="005D624A">
        <w:rPr>
          <w:rFonts w:ascii="David" w:hAnsi="David" w:cs="David"/>
          <w:b/>
          <w:bCs/>
          <w:sz w:val="24"/>
          <w:szCs w:val="24"/>
          <w:rtl/>
        </w:rPr>
        <w:t>מדינת ישראל נ' כילאני מחאג'נה</w:t>
      </w:r>
      <w:r w:rsidR="005D624A">
        <w:rPr>
          <w:rFonts w:ascii="David" w:hAnsi="David" w:cs="David"/>
          <w:sz w:val="24"/>
          <w:szCs w:val="24"/>
          <w:rtl/>
        </w:rPr>
        <w:t xml:space="preserve"> (25.06.2024) [הוגש על-ידי המאשימה]: הנאשם הורשע בכך שהחזיק </w:t>
      </w:r>
      <w:r w:rsidR="005D624A">
        <w:rPr>
          <w:rFonts w:ascii="David" w:hAnsi="David" w:cs="David"/>
          <w:b/>
          <w:bCs/>
          <w:sz w:val="24"/>
          <w:szCs w:val="24"/>
          <w:rtl/>
        </w:rPr>
        <w:t>בביתו</w:t>
      </w:r>
      <w:r w:rsidR="005D624A">
        <w:rPr>
          <w:rFonts w:ascii="David" w:hAnsi="David" w:cs="David"/>
          <w:sz w:val="24"/>
          <w:szCs w:val="24"/>
          <w:rtl/>
        </w:rPr>
        <w:t xml:space="preserve"> תיק ובו </w:t>
      </w:r>
      <w:r w:rsidR="005D624A">
        <w:rPr>
          <w:rFonts w:ascii="David" w:hAnsi="David" w:cs="David"/>
          <w:sz w:val="24"/>
          <w:szCs w:val="24"/>
          <w:u w:val="single"/>
          <w:rtl/>
        </w:rPr>
        <w:t xml:space="preserve">שני אקדחים חצי אוטומטיים מסוג </w:t>
      </w:r>
      <w:r w:rsidR="005D624A">
        <w:rPr>
          <w:rFonts w:ascii="David" w:hAnsi="David" w:cs="David"/>
          <w:sz w:val="24"/>
          <w:szCs w:val="24"/>
          <w:u w:val="single"/>
        </w:rPr>
        <w:t>CZ</w:t>
      </w:r>
      <w:r w:rsidR="005D624A">
        <w:rPr>
          <w:rFonts w:ascii="David" w:hAnsi="David" w:cs="David"/>
          <w:sz w:val="24"/>
          <w:szCs w:val="24"/>
          <w:u w:val="single"/>
          <w:rtl/>
        </w:rPr>
        <w:t xml:space="preserve"> ו-</w:t>
      </w:r>
      <w:r w:rsidR="005D624A">
        <w:rPr>
          <w:rFonts w:ascii="David" w:hAnsi="David" w:cs="David"/>
          <w:sz w:val="24"/>
          <w:szCs w:val="24"/>
          <w:u w:val="single"/>
        </w:rPr>
        <w:t>DDG</w:t>
      </w:r>
      <w:r w:rsidR="005D624A">
        <w:rPr>
          <w:rFonts w:ascii="David" w:hAnsi="David" w:cs="David"/>
          <w:sz w:val="24"/>
          <w:szCs w:val="24"/>
          <w:rtl/>
        </w:rPr>
        <w:t xml:space="preserve">, </w:t>
      </w:r>
      <w:r w:rsidR="005D624A">
        <w:rPr>
          <w:rFonts w:ascii="David" w:hAnsi="David" w:cs="David"/>
          <w:sz w:val="24"/>
          <w:szCs w:val="24"/>
          <w:u w:val="single"/>
          <w:rtl/>
        </w:rPr>
        <w:t>טעונים במחסנית ובה כדורים</w:t>
      </w:r>
      <w:r w:rsidR="005D624A">
        <w:rPr>
          <w:rFonts w:ascii="David" w:hAnsi="David" w:cs="David"/>
          <w:sz w:val="24"/>
          <w:szCs w:val="24"/>
          <w:rtl/>
        </w:rPr>
        <w:t xml:space="preserve">, וכן שלוש מחסניות מלאות בתחמושת וקופסה נוספת המכילה 31 כדורים. </w:t>
      </w:r>
      <w:r w:rsidR="005D624A">
        <w:rPr>
          <w:rFonts w:ascii="David" w:hAnsi="David" w:cs="David"/>
          <w:b/>
          <w:bCs/>
          <w:sz w:val="24"/>
          <w:szCs w:val="24"/>
          <w:rtl/>
        </w:rPr>
        <w:t>בית המשפט קבע מתחם עונש הנע בין 24-40 חודשי מאסר בפועל</w:t>
      </w:r>
      <w:r w:rsidR="005D624A">
        <w:rPr>
          <w:rFonts w:ascii="David" w:hAnsi="David" w:cs="David"/>
          <w:sz w:val="24"/>
          <w:szCs w:val="24"/>
          <w:rtl/>
        </w:rPr>
        <w:t xml:space="preserve"> וגזר על הנאשם 28 חודשי מאסר בפועל לצד ענישה נלווית. </w:t>
      </w:r>
    </w:p>
    <w:p w14:paraId="5440C040" w14:textId="77777777" w:rsidR="005D624A" w:rsidRPr="005D624A" w:rsidRDefault="005D624A" w:rsidP="005D624A">
      <w:pPr>
        <w:pStyle w:val="a9"/>
        <w:spacing w:line="360" w:lineRule="auto"/>
        <w:jc w:val="both"/>
        <w:rPr>
          <w:rFonts w:ascii="David" w:hAnsi="David" w:cs="David"/>
          <w:sz w:val="12"/>
          <w:szCs w:val="12"/>
        </w:rPr>
      </w:pPr>
    </w:p>
    <w:p w14:paraId="531C2D1E" w14:textId="77777777" w:rsidR="005D624A" w:rsidRDefault="005D624A" w:rsidP="005D624A">
      <w:pPr>
        <w:pStyle w:val="a9"/>
        <w:spacing w:line="360" w:lineRule="auto"/>
        <w:jc w:val="both"/>
        <w:rPr>
          <w:rFonts w:ascii="David" w:hAnsi="David" w:cs="David"/>
          <w:sz w:val="6"/>
          <w:szCs w:val="6"/>
        </w:rPr>
      </w:pPr>
    </w:p>
    <w:p w14:paraId="7AFBB7E1" w14:textId="77777777" w:rsidR="005D624A" w:rsidRDefault="005D624A" w:rsidP="005D624A">
      <w:pPr>
        <w:pStyle w:val="a9"/>
        <w:rPr>
          <w:rFonts w:ascii="David" w:hAnsi="David" w:cs="David"/>
          <w:sz w:val="18"/>
          <w:szCs w:val="18"/>
        </w:rPr>
      </w:pPr>
    </w:p>
    <w:p w14:paraId="25CA26BB" w14:textId="77777777" w:rsidR="005D624A" w:rsidRDefault="00F916C8" w:rsidP="005D624A">
      <w:pPr>
        <w:pStyle w:val="a9"/>
        <w:numPr>
          <w:ilvl w:val="0"/>
          <w:numId w:val="3"/>
        </w:numPr>
        <w:spacing w:line="360" w:lineRule="auto"/>
        <w:jc w:val="both"/>
        <w:rPr>
          <w:rFonts w:ascii="David" w:hAnsi="David" w:cs="David"/>
          <w:sz w:val="24"/>
          <w:szCs w:val="24"/>
          <w:rtl/>
        </w:rPr>
      </w:pPr>
      <w:hyperlink r:id="rId21" w:history="1">
        <w:r w:rsidRPr="00F916C8">
          <w:rPr>
            <w:rFonts w:ascii="David" w:hAnsi="David" w:cs="David"/>
            <w:color w:val="0000FF"/>
            <w:sz w:val="24"/>
            <w:szCs w:val="24"/>
            <w:u w:val="single"/>
            <w:rtl/>
          </w:rPr>
          <w:t>ת"פ (מחוזי-ים) 16020-10-22</w:t>
        </w:r>
      </w:hyperlink>
      <w:r w:rsidR="005D624A">
        <w:rPr>
          <w:rFonts w:ascii="David" w:hAnsi="David" w:cs="David"/>
          <w:sz w:val="24"/>
          <w:szCs w:val="24"/>
          <w:rtl/>
        </w:rPr>
        <w:t xml:space="preserve"> </w:t>
      </w:r>
      <w:r w:rsidR="005D624A">
        <w:rPr>
          <w:rFonts w:ascii="David" w:hAnsi="David" w:cs="David"/>
          <w:b/>
          <w:bCs/>
          <w:sz w:val="24"/>
          <w:szCs w:val="24"/>
          <w:rtl/>
        </w:rPr>
        <w:t>מדינת ישראל נ' מאלחי</w:t>
      </w:r>
      <w:r w:rsidR="005D624A">
        <w:rPr>
          <w:rFonts w:ascii="David" w:hAnsi="David" w:cs="David"/>
          <w:sz w:val="24"/>
          <w:szCs w:val="24"/>
          <w:rtl/>
        </w:rPr>
        <w:t xml:space="preserve"> (06.08.2023) [הוגש על-ידי המאשימה]: הנאשם הורשע בכך שהחזיק בביתו בתוך תיק בארון במטבח, </w:t>
      </w:r>
      <w:r w:rsidR="005D624A">
        <w:rPr>
          <w:rFonts w:ascii="David" w:hAnsi="David" w:cs="David"/>
          <w:sz w:val="24"/>
          <w:szCs w:val="24"/>
          <w:u w:val="single"/>
          <w:rtl/>
        </w:rPr>
        <w:t xml:space="preserve">באקדח חצי אוטומטי מסוג </w:t>
      </w:r>
      <w:r w:rsidR="005D624A">
        <w:rPr>
          <w:rFonts w:ascii="David" w:hAnsi="David" w:cs="David"/>
          <w:sz w:val="24"/>
          <w:szCs w:val="24"/>
          <w:u w:val="single"/>
        </w:rPr>
        <w:t>Ghost Compact</w:t>
      </w:r>
      <w:r w:rsidR="005D624A">
        <w:rPr>
          <w:rFonts w:ascii="David" w:hAnsi="David" w:cs="David"/>
          <w:sz w:val="24"/>
          <w:szCs w:val="24"/>
          <w:rtl/>
        </w:rPr>
        <w:t xml:space="preserve">, קליבר 9 מ"מ </w:t>
      </w:r>
      <w:r w:rsidR="005D624A">
        <w:rPr>
          <w:rFonts w:ascii="David" w:hAnsi="David" w:cs="David"/>
          <w:sz w:val="24"/>
          <w:szCs w:val="24"/>
          <w:u w:val="single"/>
          <w:rtl/>
        </w:rPr>
        <w:t>ואקדח חצי אוטומטי מסוג</w:t>
      </w:r>
      <w:r w:rsidR="005D624A">
        <w:rPr>
          <w:rFonts w:ascii="David" w:hAnsi="David" w:cs="David"/>
          <w:sz w:val="24"/>
          <w:szCs w:val="24"/>
          <w:rtl/>
        </w:rPr>
        <w:t xml:space="preserve"> </w:t>
      </w:r>
      <w:r w:rsidR="005D624A">
        <w:rPr>
          <w:rFonts w:ascii="David" w:hAnsi="David" w:cs="David"/>
          <w:sz w:val="24"/>
          <w:szCs w:val="24"/>
        </w:rPr>
        <w:t>DDG</w:t>
      </w:r>
      <w:r w:rsidR="005D624A">
        <w:rPr>
          <w:rFonts w:ascii="David" w:hAnsi="David" w:cs="David"/>
          <w:sz w:val="24"/>
          <w:szCs w:val="24"/>
          <w:rtl/>
        </w:rPr>
        <w:t xml:space="preserve">, </w:t>
      </w:r>
      <w:r w:rsidR="005D624A">
        <w:rPr>
          <w:rFonts w:ascii="David" w:hAnsi="David" w:cs="David"/>
          <w:sz w:val="24"/>
          <w:szCs w:val="24"/>
          <w:u w:val="single"/>
          <w:rtl/>
        </w:rPr>
        <w:t>ושתי מחסניות תואמות טעונות</w:t>
      </w:r>
      <w:r w:rsidR="005D624A">
        <w:rPr>
          <w:rFonts w:ascii="David" w:hAnsi="David" w:cs="David"/>
          <w:sz w:val="24"/>
          <w:szCs w:val="24"/>
          <w:rtl/>
        </w:rPr>
        <w:t xml:space="preserve">. </w:t>
      </w:r>
      <w:r w:rsidR="005D624A">
        <w:rPr>
          <w:rFonts w:ascii="David" w:hAnsi="David" w:cs="David"/>
          <w:b/>
          <w:bCs/>
          <w:sz w:val="24"/>
          <w:szCs w:val="24"/>
          <w:rtl/>
        </w:rPr>
        <w:t>בית המשפט קבע מתחם עונש הנע בין 24 ל-40 חודשי מאסר בפועל</w:t>
      </w:r>
      <w:r w:rsidR="005D624A">
        <w:rPr>
          <w:rFonts w:ascii="David" w:hAnsi="David" w:cs="David"/>
          <w:sz w:val="24"/>
          <w:szCs w:val="24"/>
          <w:rtl/>
        </w:rPr>
        <w:t xml:space="preserve">, בגין עבירות הנשק וגזר על הנאשם 42 חודשי מאסר. </w:t>
      </w:r>
    </w:p>
    <w:p w14:paraId="573C8E4D" w14:textId="77777777" w:rsidR="005D624A" w:rsidRDefault="005D624A" w:rsidP="005D624A">
      <w:pPr>
        <w:pStyle w:val="a9"/>
        <w:spacing w:line="360" w:lineRule="auto"/>
        <w:jc w:val="both"/>
        <w:rPr>
          <w:rFonts w:ascii="David" w:hAnsi="David" w:cs="David"/>
          <w:sz w:val="24"/>
          <w:szCs w:val="24"/>
        </w:rPr>
      </w:pPr>
    </w:p>
    <w:p w14:paraId="492C0CEB" w14:textId="77777777" w:rsidR="005D624A" w:rsidRDefault="00F916C8" w:rsidP="005D624A">
      <w:pPr>
        <w:pStyle w:val="a9"/>
        <w:numPr>
          <w:ilvl w:val="0"/>
          <w:numId w:val="3"/>
        </w:numPr>
        <w:spacing w:line="360" w:lineRule="auto"/>
        <w:jc w:val="both"/>
        <w:rPr>
          <w:rFonts w:ascii="David" w:hAnsi="David" w:cs="David"/>
          <w:sz w:val="24"/>
          <w:szCs w:val="24"/>
        </w:rPr>
      </w:pPr>
      <w:hyperlink r:id="rId22" w:history="1">
        <w:r w:rsidRPr="00F916C8">
          <w:rPr>
            <w:rFonts w:ascii="David" w:hAnsi="David" w:cs="David"/>
            <w:color w:val="0000FF"/>
            <w:sz w:val="24"/>
            <w:szCs w:val="24"/>
            <w:u w:val="single"/>
            <w:rtl/>
          </w:rPr>
          <w:t>ת"פ (חיפה) 21108-02-24</w:t>
        </w:r>
      </w:hyperlink>
      <w:r w:rsidR="005D624A">
        <w:rPr>
          <w:rFonts w:ascii="David" w:hAnsi="David" w:cs="David"/>
          <w:sz w:val="24"/>
          <w:szCs w:val="24"/>
          <w:rtl/>
        </w:rPr>
        <w:t xml:space="preserve"> </w:t>
      </w:r>
      <w:r w:rsidR="005D624A">
        <w:rPr>
          <w:rFonts w:ascii="David" w:hAnsi="David" w:cs="David"/>
          <w:b/>
          <w:bCs/>
          <w:sz w:val="24"/>
          <w:szCs w:val="24"/>
          <w:rtl/>
        </w:rPr>
        <w:t>מדינת ישראל נ' עבד אל עאל</w:t>
      </w:r>
      <w:r w:rsidR="005D624A">
        <w:rPr>
          <w:rFonts w:ascii="David" w:hAnsi="David" w:cs="David"/>
          <w:sz w:val="24"/>
          <w:szCs w:val="24"/>
          <w:rtl/>
        </w:rPr>
        <w:t xml:space="preserve"> (13.06.2024) [הוגש מטעם ההגנה]: נקבע מתחם </w:t>
      </w:r>
      <w:r w:rsidR="005D624A">
        <w:rPr>
          <w:rFonts w:ascii="David" w:hAnsi="David" w:cs="David"/>
          <w:b/>
          <w:bCs/>
          <w:sz w:val="24"/>
          <w:szCs w:val="24"/>
          <w:rtl/>
        </w:rPr>
        <w:t>הנע בין 20 ל- 36 חודשי מאסר</w:t>
      </w:r>
      <w:r w:rsidR="005D624A">
        <w:rPr>
          <w:rFonts w:ascii="David" w:hAnsi="David" w:cs="David"/>
          <w:sz w:val="24"/>
          <w:szCs w:val="24"/>
          <w:rtl/>
        </w:rPr>
        <w:t xml:space="preserve"> </w:t>
      </w:r>
      <w:r w:rsidR="005D624A">
        <w:rPr>
          <w:rFonts w:ascii="David" w:hAnsi="David" w:cs="David"/>
          <w:sz w:val="24"/>
          <w:szCs w:val="24"/>
          <w:u w:val="single"/>
          <w:rtl/>
        </w:rPr>
        <w:t>בגין החזקת שני אקדחים שבכל אחד מהם מחסנית תואמת שהכילה 12 כדורי תחמושת</w:t>
      </w:r>
      <w:r w:rsidR="005D624A">
        <w:rPr>
          <w:rFonts w:ascii="David" w:hAnsi="David" w:cs="David"/>
          <w:sz w:val="24"/>
          <w:szCs w:val="24"/>
          <w:rtl/>
        </w:rPr>
        <w:t xml:space="preserve">. </w:t>
      </w:r>
    </w:p>
    <w:p w14:paraId="39F87142" w14:textId="77777777" w:rsidR="005D624A" w:rsidRDefault="005D624A" w:rsidP="005D624A">
      <w:pPr>
        <w:rPr>
          <w:rFonts w:ascii="David" w:hAnsi="David"/>
          <w:sz w:val="14"/>
          <w:szCs w:val="14"/>
        </w:rPr>
      </w:pPr>
    </w:p>
    <w:p w14:paraId="0B1DBB4F" w14:textId="77777777" w:rsidR="005D624A" w:rsidRPr="00D84C61" w:rsidRDefault="005D624A" w:rsidP="005D624A">
      <w:pPr>
        <w:spacing w:line="360" w:lineRule="auto"/>
        <w:jc w:val="both"/>
        <w:rPr>
          <w:rFonts w:ascii="David" w:hAnsi="David"/>
          <w:sz w:val="18"/>
          <w:szCs w:val="18"/>
          <w:rtl/>
        </w:rPr>
      </w:pPr>
    </w:p>
    <w:p w14:paraId="0EA7805F" w14:textId="77777777" w:rsidR="005D624A" w:rsidRDefault="005D624A" w:rsidP="005D624A">
      <w:pPr>
        <w:pStyle w:val="a9"/>
        <w:numPr>
          <w:ilvl w:val="0"/>
          <w:numId w:val="2"/>
        </w:numPr>
        <w:spacing w:line="360" w:lineRule="auto"/>
        <w:jc w:val="both"/>
        <w:rPr>
          <w:rFonts w:ascii="David" w:eastAsia="David" w:hAnsi="David" w:cs="David"/>
          <w:b/>
          <w:bCs/>
          <w:sz w:val="24"/>
          <w:szCs w:val="24"/>
          <w:u w:val="single"/>
        </w:rPr>
      </w:pPr>
      <w:r>
        <w:rPr>
          <w:rFonts w:ascii="David" w:eastAsia="David" w:hAnsi="David" w:cs="David"/>
          <w:sz w:val="24"/>
          <w:szCs w:val="24"/>
          <w:rtl/>
        </w:rPr>
        <w:t xml:space="preserve">עיינתי בפסיקה נוספת אשר הוגשה מטעם ההגנה ויוער, כי במרבית המקרים, ערכאות הערעור קבעו, כי העונשים ומתחמי הענישה שנקבעו במקרים שהוגשו, הינם נמוכים ואינם משקפים את מדיניות הענישה. ראו למשל </w:t>
      </w:r>
      <w:hyperlink r:id="rId23" w:history="1">
        <w:r w:rsidR="00F916C8" w:rsidRPr="00F916C8">
          <w:rPr>
            <w:rFonts w:ascii="David" w:eastAsia="David" w:hAnsi="David" w:cs="David"/>
            <w:color w:val="0000FF"/>
            <w:sz w:val="24"/>
            <w:szCs w:val="24"/>
            <w:u w:val="single"/>
            <w:rtl/>
          </w:rPr>
          <w:t>עפ"ג (חיפה) 13838-01-22</w:t>
        </w:r>
      </w:hyperlink>
      <w:r>
        <w:rPr>
          <w:rFonts w:ascii="David" w:eastAsia="David" w:hAnsi="David" w:cs="David"/>
          <w:sz w:val="24"/>
          <w:szCs w:val="24"/>
          <w:rtl/>
        </w:rPr>
        <w:t xml:space="preserve"> </w:t>
      </w:r>
      <w:r>
        <w:rPr>
          <w:rFonts w:ascii="David" w:eastAsia="David" w:hAnsi="David" w:cs="David"/>
          <w:b/>
          <w:bCs/>
          <w:sz w:val="24"/>
          <w:szCs w:val="24"/>
          <w:rtl/>
        </w:rPr>
        <w:t>מדינת ישראל נ' בשיר</w:t>
      </w:r>
      <w:r>
        <w:rPr>
          <w:rFonts w:ascii="David" w:eastAsia="David" w:hAnsi="David" w:cs="David"/>
          <w:sz w:val="24"/>
          <w:szCs w:val="24"/>
          <w:rtl/>
        </w:rPr>
        <w:t xml:space="preserve"> (10.02.2022); </w:t>
      </w:r>
      <w:hyperlink r:id="rId24" w:history="1">
        <w:r w:rsidR="00F916C8" w:rsidRPr="00F916C8">
          <w:rPr>
            <w:rFonts w:ascii="David" w:hAnsi="David" w:cs="David"/>
            <w:color w:val="0000FF"/>
            <w:sz w:val="24"/>
            <w:szCs w:val="24"/>
            <w:u w:val="single"/>
            <w:rtl/>
          </w:rPr>
          <w:t>עפ"ג (מרכז) 30632-03-21</w:t>
        </w:r>
      </w:hyperlink>
      <w:r>
        <w:rPr>
          <w:rFonts w:ascii="David" w:hAnsi="David" w:cs="David"/>
          <w:sz w:val="24"/>
          <w:szCs w:val="24"/>
          <w:rtl/>
        </w:rPr>
        <w:t xml:space="preserve">, 30639-03-21 </w:t>
      </w:r>
      <w:r>
        <w:rPr>
          <w:rFonts w:ascii="David" w:hAnsi="David" w:cs="David"/>
          <w:b/>
          <w:bCs/>
          <w:sz w:val="24"/>
          <w:szCs w:val="24"/>
          <w:rtl/>
        </w:rPr>
        <w:t>אלשמאלי נ' מדינת ישראל</w:t>
      </w:r>
      <w:r>
        <w:rPr>
          <w:rFonts w:ascii="David" w:hAnsi="David" w:cs="David"/>
          <w:sz w:val="24"/>
          <w:szCs w:val="24"/>
          <w:rtl/>
        </w:rPr>
        <w:t xml:space="preserve">, </w:t>
      </w:r>
      <w:hyperlink r:id="rId25" w:history="1">
        <w:r w:rsidR="00F916C8" w:rsidRPr="00F916C8">
          <w:rPr>
            <w:rFonts w:ascii="David" w:hAnsi="David" w:cs="David"/>
            <w:color w:val="0000FF"/>
            <w:sz w:val="24"/>
            <w:szCs w:val="24"/>
            <w:u w:val="single"/>
            <w:rtl/>
          </w:rPr>
          <w:t>עפ"ג 16368-03-21</w:t>
        </w:r>
      </w:hyperlink>
      <w:r>
        <w:rPr>
          <w:rFonts w:ascii="David" w:hAnsi="David" w:cs="David"/>
          <w:sz w:val="24"/>
          <w:szCs w:val="24"/>
          <w:rtl/>
        </w:rPr>
        <w:t xml:space="preserve"> </w:t>
      </w:r>
      <w:r>
        <w:rPr>
          <w:rFonts w:ascii="David" w:hAnsi="David" w:cs="David"/>
          <w:b/>
          <w:bCs/>
          <w:sz w:val="24"/>
          <w:szCs w:val="24"/>
          <w:rtl/>
        </w:rPr>
        <w:t>מדינת ישראל נ' אלשמאלי ואח'</w:t>
      </w:r>
      <w:r>
        <w:rPr>
          <w:rFonts w:ascii="David" w:hAnsi="David" w:cs="David"/>
          <w:sz w:val="24"/>
          <w:szCs w:val="24"/>
          <w:rtl/>
        </w:rPr>
        <w:t xml:space="preserve"> (19.9.2021);</w:t>
      </w:r>
      <w:r>
        <w:rPr>
          <w:rFonts w:ascii="David" w:eastAsia="David" w:hAnsi="David" w:cs="David"/>
          <w:sz w:val="24"/>
          <w:szCs w:val="24"/>
          <w:rtl/>
        </w:rPr>
        <w:t xml:space="preserve"> </w:t>
      </w:r>
      <w:hyperlink r:id="rId26" w:history="1">
        <w:r w:rsidR="00F916C8" w:rsidRPr="00F916C8">
          <w:rPr>
            <w:rFonts w:ascii="David" w:eastAsia="David" w:hAnsi="David" w:cs="David"/>
            <w:color w:val="0000FF"/>
            <w:sz w:val="24"/>
            <w:szCs w:val="24"/>
            <w:u w:val="single"/>
            <w:rtl/>
          </w:rPr>
          <w:t>רע"פ 3619/21</w:t>
        </w:r>
      </w:hyperlink>
      <w:r>
        <w:rPr>
          <w:rFonts w:ascii="David" w:eastAsia="David" w:hAnsi="David" w:cs="David"/>
          <w:sz w:val="24"/>
          <w:szCs w:val="24"/>
          <w:rtl/>
        </w:rPr>
        <w:t xml:space="preserve"> </w:t>
      </w:r>
      <w:r>
        <w:rPr>
          <w:rFonts w:ascii="David" w:eastAsia="David" w:hAnsi="David" w:cs="David"/>
          <w:b/>
          <w:bCs/>
          <w:sz w:val="24"/>
          <w:szCs w:val="24"/>
          <w:rtl/>
        </w:rPr>
        <w:t xml:space="preserve">אבו הלאל ואח' נ' מדינת ישראל </w:t>
      </w:r>
      <w:r>
        <w:rPr>
          <w:rFonts w:ascii="David" w:eastAsia="David" w:hAnsi="David" w:cs="David"/>
          <w:sz w:val="24"/>
          <w:szCs w:val="24"/>
          <w:rtl/>
        </w:rPr>
        <w:t>(26.5.2021)].</w:t>
      </w:r>
    </w:p>
    <w:p w14:paraId="4AF4789B" w14:textId="77777777" w:rsidR="005D624A" w:rsidRDefault="005D624A" w:rsidP="005D624A">
      <w:pPr>
        <w:pStyle w:val="a9"/>
        <w:spacing w:line="360" w:lineRule="auto"/>
        <w:jc w:val="both"/>
        <w:rPr>
          <w:rFonts w:ascii="David" w:eastAsia="David" w:hAnsi="David" w:cs="David"/>
          <w:b/>
          <w:bCs/>
          <w:sz w:val="24"/>
          <w:szCs w:val="24"/>
          <w:u w:val="single"/>
        </w:rPr>
      </w:pPr>
    </w:p>
    <w:p w14:paraId="1FC39FB6" w14:textId="77777777" w:rsidR="005D624A" w:rsidRPr="005D624A" w:rsidRDefault="005D624A" w:rsidP="005D624A">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 ב</w:t>
      </w:r>
      <w:hyperlink r:id="rId27" w:history="1">
        <w:r w:rsidR="00F916C8" w:rsidRPr="00F916C8">
          <w:rPr>
            <w:rFonts w:ascii="David" w:hAnsi="David" w:cs="David"/>
            <w:color w:val="0000FF"/>
            <w:sz w:val="24"/>
            <w:szCs w:val="24"/>
            <w:u w:val="single"/>
            <w:rtl/>
          </w:rPr>
          <w:t>ת"פ (רמלה) 10335-06-24</w:t>
        </w:r>
      </w:hyperlink>
      <w:r>
        <w:rPr>
          <w:rFonts w:ascii="David" w:hAnsi="David" w:cs="David"/>
          <w:sz w:val="24"/>
          <w:szCs w:val="24"/>
          <w:rtl/>
        </w:rPr>
        <w:t xml:space="preserve"> </w:t>
      </w:r>
      <w:r>
        <w:rPr>
          <w:rFonts w:ascii="David" w:hAnsi="David" w:cs="David"/>
          <w:b/>
          <w:bCs/>
          <w:sz w:val="24"/>
          <w:szCs w:val="24"/>
          <w:rtl/>
        </w:rPr>
        <w:t xml:space="preserve">מדינת ישראל נ' אבו עאמר </w:t>
      </w:r>
      <w:r>
        <w:rPr>
          <w:rFonts w:ascii="David" w:hAnsi="David" w:cs="David"/>
          <w:sz w:val="24"/>
          <w:szCs w:val="24"/>
          <w:rtl/>
        </w:rPr>
        <w:t xml:space="preserve">(9.1.2025) דנתי בעניינו של נאשם אשר החזיק אקדח טעון במחסנית עם 7 כדורים מתאימים שכשהוא עטוף בגרב והוסלק בין בגדים בארון בחדר השינה. במקרה זה, קבעתי מתחם עונש הולם הנע בין 15 ל-30 חודשי מאסר וגזרתי את עונשו של הנאשם, נעדר עבר פלילי, ל-16 חודשי מאסר בפועל, מאסר מותנה וקנס בסך 10,000 ₪. לא הוגש ערעור על גזר הדין. ברי כי במקרה זה בו הוחזקו שני אקדחים, מחסניות ותחמושת מתאימה, יש לקבוע מתחם ענישה מחמיר יותר, אך אין מדובר בחשבון אריתמטי ולקבוע מתחם כפול לו עותרת המאשימה. </w:t>
      </w:r>
    </w:p>
    <w:p w14:paraId="2ED2D4F2" w14:textId="77777777" w:rsidR="005D624A" w:rsidRDefault="005D624A" w:rsidP="005D624A">
      <w:pPr>
        <w:rPr>
          <w:rFonts w:ascii="David" w:hAnsi="David"/>
          <w:b/>
          <w:bCs/>
          <w:highlight w:val="yellow"/>
        </w:rPr>
      </w:pPr>
    </w:p>
    <w:p w14:paraId="69401ADC" w14:textId="77777777" w:rsidR="005D624A" w:rsidRDefault="005D624A" w:rsidP="005D624A">
      <w:pPr>
        <w:pStyle w:val="a9"/>
        <w:numPr>
          <w:ilvl w:val="0"/>
          <w:numId w:val="2"/>
        </w:numPr>
        <w:spacing w:line="360" w:lineRule="auto"/>
        <w:jc w:val="both"/>
        <w:rPr>
          <w:rFonts w:ascii="David" w:hAnsi="David" w:cs="David"/>
          <w:sz w:val="24"/>
          <w:szCs w:val="24"/>
          <w:rtl/>
        </w:rPr>
      </w:pPr>
      <w:r>
        <w:rPr>
          <w:rFonts w:ascii="David" w:hAnsi="David" w:cs="David"/>
          <w:b/>
          <w:bCs/>
          <w:sz w:val="24"/>
          <w:szCs w:val="24"/>
          <w:rtl/>
        </w:rPr>
        <w:t>לאור עקרון ההלימה, לאחר שנתתי דעתי לערכים החברתיים המוגנים, למידת הפגיעה בהם, לנסיבות ביצוע העבירה ולמדיניות הענישה הנוהגת, אני קובעת כי מתחם העונש ההולם נע בין  22 ל- 40 חודשי מאסר בפועל, מאסר מותנה וקנס</w:t>
      </w:r>
      <w:r>
        <w:rPr>
          <w:rFonts w:ascii="David" w:hAnsi="David" w:cs="David"/>
          <w:sz w:val="24"/>
          <w:szCs w:val="24"/>
          <w:rtl/>
        </w:rPr>
        <w:t xml:space="preserve">. </w:t>
      </w:r>
    </w:p>
    <w:p w14:paraId="5B5346AF" w14:textId="77777777" w:rsidR="005D624A" w:rsidRDefault="005D624A" w:rsidP="005D624A">
      <w:pPr>
        <w:pStyle w:val="a9"/>
        <w:spacing w:line="360" w:lineRule="auto"/>
        <w:jc w:val="both"/>
        <w:rPr>
          <w:rFonts w:ascii="David" w:hAnsi="David" w:cs="David"/>
          <w:sz w:val="24"/>
          <w:szCs w:val="24"/>
        </w:rPr>
      </w:pPr>
    </w:p>
    <w:p w14:paraId="24CB7C78" w14:textId="77777777" w:rsidR="005D624A" w:rsidRPr="00D84C61" w:rsidRDefault="005D624A" w:rsidP="005D624A">
      <w:pPr>
        <w:pStyle w:val="a9"/>
        <w:spacing w:after="0" w:line="360" w:lineRule="auto"/>
        <w:jc w:val="both"/>
        <w:rPr>
          <w:rFonts w:ascii="Calibri Light" w:hAnsi="Calibri Light" w:cs="Calibri Light"/>
          <w:sz w:val="24"/>
          <w:szCs w:val="24"/>
          <w:rtl/>
        </w:rPr>
      </w:pPr>
      <w:r w:rsidRPr="00D84C61">
        <w:rPr>
          <w:rFonts w:ascii="Calibri Light" w:hAnsi="Calibri Light" w:cs="Times New Roman" w:hint="cs"/>
          <w:sz w:val="24"/>
          <w:szCs w:val="24"/>
          <w:rtl/>
        </w:rPr>
        <w:t>גזירת</w:t>
      </w:r>
      <w:r w:rsidRPr="00D84C61">
        <w:rPr>
          <w:rFonts w:ascii="Calibri Light" w:hAnsi="Calibri Light" w:cs="Calibri Light"/>
          <w:sz w:val="24"/>
          <w:szCs w:val="24"/>
          <w:rtl/>
        </w:rPr>
        <w:t xml:space="preserve"> </w:t>
      </w:r>
      <w:r w:rsidRPr="00D84C61">
        <w:rPr>
          <w:rFonts w:ascii="Calibri Light" w:hAnsi="Calibri Light" w:cs="Times New Roman" w:hint="cs"/>
          <w:sz w:val="24"/>
          <w:szCs w:val="24"/>
          <w:rtl/>
        </w:rPr>
        <w:t>העונש</w:t>
      </w:r>
      <w:r w:rsidRPr="00D84C61">
        <w:rPr>
          <w:rFonts w:ascii="Calibri Light" w:hAnsi="Calibri Light" w:cs="Calibri Light"/>
          <w:sz w:val="24"/>
          <w:szCs w:val="24"/>
          <w:rtl/>
        </w:rPr>
        <w:t xml:space="preserve"> </w:t>
      </w:r>
      <w:r w:rsidRPr="00D84C61">
        <w:rPr>
          <w:rFonts w:ascii="Calibri Light" w:hAnsi="Calibri Light" w:cs="Times New Roman" w:hint="cs"/>
          <w:sz w:val="24"/>
          <w:szCs w:val="24"/>
          <w:rtl/>
        </w:rPr>
        <w:t>בגדרי</w:t>
      </w:r>
      <w:r w:rsidRPr="00D84C61">
        <w:rPr>
          <w:rFonts w:ascii="Calibri Light" w:hAnsi="Calibri Light" w:cs="Calibri Light"/>
          <w:sz w:val="24"/>
          <w:szCs w:val="24"/>
          <w:rtl/>
        </w:rPr>
        <w:t xml:space="preserve"> </w:t>
      </w:r>
      <w:r w:rsidRPr="00D84C61">
        <w:rPr>
          <w:rFonts w:ascii="Calibri Light" w:hAnsi="Calibri Light" w:cs="Times New Roman" w:hint="cs"/>
          <w:sz w:val="24"/>
          <w:szCs w:val="24"/>
          <w:rtl/>
        </w:rPr>
        <w:t>המתחם</w:t>
      </w:r>
      <w:r w:rsidRPr="00D84C61">
        <w:rPr>
          <w:rFonts w:ascii="Calibri Light" w:hAnsi="Calibri Light" w:cs="Calibri Light"/>
          <w:sz w:val="24"/>
          <w:szCs w:val="24"/>
          <w:rtl/>
        </w:rPr>
        <w:t xml:space="preserve"> </w:t>
      </w:r>
      <w:r w:rsidRPr="00D84C61">
        <w:rPr>
          <w:rFonts w:ascii="Calibri Light" w:hAnsi="Calibri Light" w:cs="Times New Roman" w:hint="cs"/>
          <w:sz w:val="24"/>
          <w:szCs w:val="24"/>
          <w:rtl/>
        </w:rPr>
        <w:t>נסיבות</w:t>
      </w:r>
      <w:r w:rsidRPr="00D84C61">
        <w:rPr>
          <w:rFonts w:ascii="Calibri Light" w:hAnsi="Calibri Light" w:cs="Calibri Light"/>
          <w:sz w:val="24"/>
          <w:szCs w:val="24"/>
          <w:rtl/>
        </w:rPr>
        <w:t xml:space="preserve"> </w:t>
      </w:r>
      <w:r w:rsidRPr="00D84C61">
        <w:rPr>
          <w:rFonts w:ascii="Calibri Light" w:hAnsi="Calibri Light" w:cs="Times New Roman" w:hint="cs"/>
          <w:sz w:val="24"/>
          <w:szCs w:val="24"/>
          <w:rtl/>
        </w:rPr>
        <w:t>שאינן</w:t>
      </w:r>
      <w:r w:rsidRPr="00D84C61">
        <w:rPr>
          <w:rFonts w:ascii="Calibri Light" w:hAnsi="Calibri Light" w:cs="Calibri Light"/>
          <w:sz w:val="24"/>
          <w:szCs w:val="24"/>
          <w:rtl/>
        </w:rPr>
        <w:t xml:space="preserve"> </w:t>
      </w:r>
      <w:r w:rsidRPr="00D84C61">
        <w:rPr>
          <w:rFonts w:ascii="Calibri Light" w:hAnsi="Calibri Light" w:cs="Times New Roman" w:hint="cs"/>
          <w:sz w:val="24"/>
          <w:szCs w:val="24"/>
          <w:rtl/>
        </w:rPr>
        <w:t>קשורות</w:t>
      </w:r>
      <w:r w:rsidRPr="00D84C61">
        <w:rPr>
          <w:rFonts w:ascii="Calibri Light" w:hAnsi="Calibri Light" w:cs="Calibri Light"/>
          <w:sz w:val="24"/>
          <w:szCs w:val="24"/>
          <w:rtl/>
        </w:rPr>
        <w:t xml:space="preserve"> </w:t>
      </w:r>
      <w:r w:rsidRPr="00D84C61">
        <w:rPr>
          <w:rFonts w:ascii="Calibri Light" w:hAnsi="Calibri Light" w:cs="Times New Roman" w:hint="cs"/>
          <w:sz w:val="24"/>
          <w:szCs w:val="24"/>
          <w:rtl/>
        </w:rPr>
        <w:t>בביצוע</w:t>
      </w:r>
      <w:r w:rsidRPr="00D84C61">
        <w:rPr>
          <w:rFonts w:ascii="Calibri Light" w:hAnsi="Calibri Light" w:cs="Calibri Light"/>
          <w:sz w:val="24"/>
          <w:szCs w:val="24"/>
          <w:rtl/>
        </w:rPr>
        <w:t xml:space="preserve"> </w:t>
      </w:r>
      <w:r w:rsidRPr="00D84C61">
        <w:rPr>
          <w:rFonts w:ascii="Calibri Light" w:hAnsi="Calibri Light" w:cs="Times New Roman" w:hint="cs"/>
          <w:sz w:val="24"/>
          <w:szCs w:val="24"/>
          <w:rtl/>
        </w:rPr>
        <w:t>העבירה</w:t>
      </w:r>
      <w:r w:rsidRPr="00D84C61">
        <w:rPr>
          <w:rFonts w:ascii="Calibri Light" w:hAnsi="Calibri Light" w:cs="Calibri Light"/>
          <w:sz w:val="24"/>
          <w:szCs w:val="24"/>
          <w:rtl/>
        </w:rPr>
        <w:t xml:space="preserve"> </w:t>
      </w:r>
    </w:p>
    <w:p w14:paraId="2D72D9B7" w14:textId="77777777" w:rsidR="005D624A" w:rsidRPr="005D624A" w:rsidRDefault="005D624A" w:rsidP="005D624A">
      <w:pPr>
        <w:spacing w:line="360" w:lineRule="auto"/>
        <w:jc w:val="both"/>
        <w:rPr>
          <w:rFonts w:ascii="Calibri Light" w:hAnsi="Calibri Light" w:cs="Calibri Light"/>
          <w:b/>
          <w:bCs/>
          <w:rtl/>
        </w:rPr>
      </w:pPr>
    </w:p>
    <w:p w14:paraId="2A171E51" w14:textId="77777777" w:rsidR="005D624A" w:rsidRDefault="005D624A" w:rsidP="005D624A">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הנאשם הודה, מבלי שניהל משפט, הביע חרטה ויש לזקוף זאת לזכותו. </w:t>
      </w:r>
    </w:p>
    <w:p w14:paraId="53F2E549" w14:textId="77777777" w:rsidR="005D624A" w:rsidRDefault="005D624A" w:rsidP="005D624A">
      <w:pPr>
        <w:pStyle w:val="a9"/>
        <w:spacing w:line="360" w:lineRule="auto"/>
        <w:jc w:val="both"/>
        <w:rPr>
          <w:rFonts w:ascii="David" w:hAnsi="David" w:cs="David"/>
          <w:sz w:val="24"/>
          <w:szCs w:val="24"/>
        </w:rPr>
      </w:pPr>
    </w:p>
    <w:p w14:paraId="285315E3" w14:textId="77777777" w:rsidR="005D624A" w:rsidRDefault="005D624A" w:rsidP="005D624A">
      <w:pPr>
        <w:pStyle w:val="a9"/>
        <w:numPr>
          <w:ilvl w:val="0"/>
          <w:numId w:val="2"/>
        </w:numPr>
        <w:spacing w:line="360" w:lineRule="auto"/>
        <w:jc w:val="both"/>
        <w:rPr>
          <w:rFonts w:ascii="David" w:hAnsi="David" w:cs="David"/>
          <w:sz w:val="24"/>
          <w:szCs w:val="24"/>
        </w:rPr>
      </w:pPr>
      <w:r>
        <w:rPr>
          <w:rFonts w:ascii="David" w:hAnsi="David" w:cs="David"/>
          <w:sz w:val="24"/>
          <w:szCs w:val="24"/>
          <w:rtl/>
        </w:rPr>
        <w:t>הנאשם יליד 1993, נשוי, אב לשתי קטינות, רוקח במקצועו, לחובתו הרשעה אחת מיום 07.01.2024 בגין קבלת דבר במרמה וזיוף מרשמים. הנאשם ביצע את העבירה במהלך עבודתו כרוקח בקופת חולים ונדון לעונש מאסר מותנה, 400 שעות של"צ וקנס. הגם שהרשעה זו אינה מן העניין, יש בה כדי ללמד שאין זו הפעם הראשונה בה הנאשם עובר על החוק במקום עבודתו ועל אף מקצועו.</w:t>
      </w:r>
    </w:p>
    <w:p w14:paraId="167B5C51" w14:textId="77777777" w:rsidR="005D624A" w:rsidRDefault="005D624A" w:rsidP="005D624A">
      <w:pPr>
        <w:pStyle w:val="a9"/>
        <w:rPr>
          <w:rFonts w:ascii="David" w:hAnsi="David" w:cs="David"/>
          <w:sz w:val="24"/>
          <w:szCs w:val="24"/>
        </w:rPr>
      </w:pPr>
    </w:p>
    <w:p w14:paraId="15914168" w14:textId="77777777" w:rsidR="005D624A" w:rsidRDefault="005D624A" w:rsidP="005D624A">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נתתי דעתי לתמונה הנורמטיבית, תפקודו התקין ותרומתו בחינוך תלמידים הנשקפת מעדותם של עדי ההגנה לעונש ומעדותה של רעייתו, אשר סיפרה על התמודדותה עם מעצרו של הנאשם בכל הכרוך בגידול בנותיהם הקטינות וההשלכות הרגשיות הנובעות מכך. </w:t>
      </w:r>
    </w:p>
    <w:p w14:paraId="0086EC2E" w14:textId="77777777" w:rsidR="005D624A" w:rsidRDefault="005D624A" w:rsidP="005D624A">
      <w:pPr>
        <w:pStyle w:val="a9"/>
        <w:rPr>
          <w:rFonts w:ascii="David" w:hAnsi="David" w:cs="David"/>
          <w:sz w:val="24"/>
          <w:szCs w:val="24"/>
          <w:highlight w:val="yellow"/>
        </w:rPr>
      </w:pPr>
    </w:p>
    <w:p w14:paraId="531F596E" w14:textId="77777777" w:rsidR="005D624A" w:rsidRDefault="005D624A" w:rsidP="005D624A">
      <w:pPr>
        <w:pStyle w:val="a9"/>
        <w:spacing w:line="360" w:lineRule="auto"/>
        <w:jc w:val="both"/>
        <w:rPr>
          <w:rFonts w:ascii="David" w:hAnsi="David" w:cs="David"/>
          <w:sz w:val="24"/>
          <w:szCs w:val="24"/>
          <w:highlight w:val="yellow"/>
          <w:rtl/>
        </w:rPr>
      </w:pPr>
    </w:p>
    <w:p w14:paraId="74B6BE0E" w14:textId="77777777" w:rsidR="005D624A" w:rsidRDefault="005D624A" w:rsidP="005D624A">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כן נתתי דעתי לכך שהנאשם נתון בתנאי מעצר מיום 12.09.2024. </w:t>
      </w:r>
    </w:p>
    <w:p w14:paraId="21A61660" w14:textId="77777777" w:rsidR="005D624A" w:rsidRDefault="005D624A" w:rsidP="005D624A">
      <w:pPr>
        <w:pStyle w:val="a9"/>
        <w:rPr>
          <w:rFonts w:ascii="David" w:hAnsi="David" w:cs="David"/>
          <w:sz w:val="24"/>
          <w:szCs w:val="24"/>
          <w:highlight w:val="yellow"/>
        </w:rPr>
      </w:pPr>
    </w:p>
    <w:p w14:paraId="7BB51AF1" w14:textId="77777777" w:rsidR="005D624A" w:rsidRDefault="005D624A" w:rsidP="005D624A">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לנוכח האמור, באיזון בין השיקולים לחומרה ולקולה מצאתי למקם את עונשו של הנאשם בחלקו התחתון של המתחם . </w:t>
      </w:r>
    </w:p>
    <w:p w14:paraId="6DD786FC" w14:textId="77777777" w:rsidR="005D624A" w:rsidRPr="00D84C61" w:rsidRDefault="005D624A" w:rsidP="005D624A">
      <w:pPr>
        <w:pStyle w:val="a9"/>
        <w:rPr>
          <w:rFonts w:ascii="David" w:hAnsi="David" w:cs="David"/>
          <w:sz w:val="24"/>
          <w:szCs w:val="24"/>
          <w:rtl/>
        </w:rPr>
      </w:pPr>
    </w:p>
    <w:p w14:paraId="00626012" w14:textId="77777777" w:rsidR="005D624A" w:rsidRDefault="005D624A" w:rsidP="005D624A">
      <w:pPr>
        <w:pStyle w:val="a9"/>
        <w:spacing w:line="360" w:lineRule="auto"/>
        <w:jc w:val="both"/>
        <w:rPr>
          <w:rFonts w:ascii="David" w:hAnsi="David" w:cs="David"/>
          <w:sz w:val="24"/>
          <w:szCs w:val="24"/>
          <w:rtl/>
        </w:rPr>
      </w:pPr>
    </w:p>
    <w:p w14:paraId="590C4304" w14:textId="77777777" w:rsidR="005D624A" w:rsidRDefault="005D624A" w:rsidP="005D624A">
      <w:pPr>
        <w:pStyle w:val="a9"/>
        <w:spacing w:line="360" w:lineRule="auto"/>
        <w:jc w:val="both"/>
        <w:rPr>
          <w:rFonts w:ascii="David" w:hAnsi="David" w:cs="David"/>
          <w:sz w:val="24"/>
          <w:szCs w:val="24"/>
          <w:rtl/>
        </w:rPr>
      </w:pPr>
    </w:p>
    <w:p w14:paraId="4673DE4D" w14:textId="77777777" w:rsidR="005D624A" w:rsidRDefault="005D624A" w:rsidP="005D624A">
      <w:pPr>
        <w:pStyle w:val="a9"/>
        <w:spacing w:line="360" w:lineRule="auto"/>
        <w:jc w:val="both"/>
        <w:rPr>
          <w:rFonts w:ascii="David" w:hAnsi="David" w:cs="David"/>
          <w:sz w:val="24"/>
          <w:szCs w:val="24"/>
          <w:rtl/>
        </w:rPr>
      </w:pPr>
    </w:p>
    <w:p w14:paraId="6623FCC6" w14:textId="77777777" w:rsidR="005D624A" w:rsidRDefault="005D624A" w:rsidP="005D624A">
      <w:pPr>
        <w:pStyle w:val="a9"/>
        <w:numPr>
          <w:ilvl w:val="0"/>
          <w:numId w:val="1"/>
        </w:numPr>
        <w:rPr>
          <w:rFonts w:ascii="David" w:hAnsi="David" w:cs="David"/>
          <w:b/>
          <w:bCs/>
          <w:sz w:val="24"/>
          <w:szCs w:val="24"/>
          <w:u w:val="double"/>
        </w:rPr>
      </w:pPr>
      <w:r w:rsidRPr="00D84C61">
        <w:rPr>
          <w:rFonts w:ascii="David" w:hAnsi="David" w:cs="David" w:hint="cs"/>
          <w:b/>
          <w:bCs/>
          <w:sz w:val="24"/>
          <w:szCs w:val="24"/>
          <w:u w:val="double"/>
          <w:rtl/>
        </w:rPr>
        <w:t>סוף דבר</w:t>
      </w:r>
      <w:r w:rsidRPr="008A6F99">
        <w:rPr>
          <w:rFonts w:ascii="David" w:hAnsi="David" w:cs="David" w:hint="cs"/>
          <w:b/>
          <w:bCs/>
          <w:sz w:val="24"/>
          <w:szCs w:val="24"/>
          <w:u w:val="double"/>
          <w:rtl/>
        </w:rPr>
        <w:t>:</w:t>
      </w:r>
    </w:p>
    <w:p w14:paraId="0DA518BE" w14:textId="77777777" w:rsidR="005D624A" w:rsidRPr="008A6F99" w:rsidRDefault="005D624A" w:rsidP="005D624A">
      <w:pPr>
        <w:pStyle w:val="a9"/>
        <w:rPr>
          <w:rFonts w:ascii="David" w:hAnsi="David" w:cs="David"/>
          <w:b/>
          <w:bCs/>
          <w:sz w:val="24"/>
          <w:szCs w:val="24"/>
          <w:u w:val="double"/>
          <w:rtl/>
        </w:rPr>
      </w:pPr>
    </w:p>
    <w:p w14:paraId="11B2D837" w14:textId="77777777" w:rsidR="005D624A" w:rsidRDefault="005D624A" w:rsidP="005D624A">
      <w:pPr>
        <w:spacing w:line="360" w:lineRule="auto"/>
        <w:ind w:firstLine="360"/>
        <w:jc w:val="both"/>
        <w:rPr>
          <w:rFonts w:ascii="David" w:hAnsi="David"/>
          <w:rtl/>
        </w:rPr>
      </w:pPr>
      <w:r w:rsidRPr="00D84C61">
        <w:rPr>
          <w:rFonts w:ascii="David" w:hAnsi="David"/>
          <w:b/>
          <w:bCs/>
          <w:u w:val="single"/>
          <w:rtl/>
        </w:rPr>
        <w:t>אני גוזרת את עונשו של הנאשם כדלקמן</w:t>
      </w:r>
      <w:r>
        <w:rPr>
          <w:rFonts w:ascii="David" w:hAnsi="David"/>
          <w:rtl/>
        </w:rPr>
        <w:t xml:space="preserve">: </w:t>
      </w:r>
    </w:p>
    <w:p w14:paraId="151D6962" w14:textId="77777777" w:rsidR="005D624A" w:rsidRDefault="005D624A" w:rsidP="005D624A">
      <w:pPr>
        <w:spacing w:line="360" w:lineRule="auto"/>
        <w:jc w:val="both"/>
        <w:rPr>
          <w:rFonts w:ascii="David" w:hAnsi="David"/>
          <w:rtl/>
        </w:rPr>
      </w:pPr>
    </w:p>
    <w:p w14:paraId="24609F4F" w14:textId="77777777" w:rsidR="005D624A" w:rsidRDefault="005D624A" w:rsidP="005D624A">
      <w:pPr>
        <w:pStyle w:val="a9"/>
        <w:numPr>
          <w:ilvl w:val="0"/>
          <w:numId w:val="4"/>
        </w:numPr>
        <w:spacing w:line="360" w:lineRule="auto"/>
        <w:jc w:val="both"/>
        <w:rPr>
          <w:rFonts w:ascii="David" w:hAnsi="David" w:cs="David"/>
          <w:sz w:val="24"/>
          <w:szCs w:val="24"/>
          <w:rtl/>
        </w:rPr>
      </w:pPr>
      <w:r>
        <w:rPr>
          <w:rFonts w:ascii="David" w:hAnsi="David" w:cs="David"/>
          <w:sz w:val="24"/>
          <w:szCs w:val="24"/>
          <w:rtl/>
        </w:rPr>
        <w:t xml:space="preserve">מאסר בפועל למשך  22 חודשים בניכוי ימי מעצרו לפי רישומי שב"ס. </w:t>
      </w:r>
    </w:p>
    <w:p w14:paraId="29CC50D9" w14:textId="77777777" w:rsidR="005D624A" w:rsidRDefault="005D624A" w:rsidP="005D624A">
      <w:pPr>
        <w:pStyle w:val="a9"/>
        <w:spacing w:line="360" w:lineRule="auto"/>
        <w:jc w:val="both"/>
        <w:rPr>
          <w:rFonts w:ascii="David" w:hAnsi="David" w:cs="David"/>
          <w:sz w:val="24"/>
          <w:szCs w:val="24"/>
        </w:rPr>
      </w:pPr>
      <w:r>
        <w:rPr>
          <w:rFonts w:ascii="David" w:hAnsi="David" w:cs="David"/>
          <w:sz w:val="24"/>
          <w:szCs w:val="24"/>
          <w:rtl/>
        </w:rPr>
        <w:t xml:space="preserve"> </w:t>
      </w:r>
    </w:p>
    <w:p w14:paraId="1E4662AF" w14:textId="77777777" w:rsidR="005D624A" w:rsidRDefault="005D624A" w:rsidP="005D624A">
      <w:pPr>
        <w:pStyle w:val="a9"/>
        <w:numPr>
          <w:ilvl w:val="0"/>
          <w:numId w:val="4"/>
        </w:numPr>
        <w:spacing w:line="360" w:lineRule="auto"/>
        <w:jc w:val="both"/>
        <w:rPr>
          <w:rFonts w:ascii="David" w:hAnsi="David" w:cs="David"/>
          <w:sz w:val="24"/>
          <w:szCs w:val="24"/>
        </w:rPr>
      </w:pPr>
      <w:r>
        <w:rPr>
          <w:rFonts w:ascii="David" w:hAnsi="David" w:cs="David"/>
          <w:sz w:val="24"/>
          <w:szCs w:val="24"/>
          <w:rtl/>
        </w:rPr>
        <w:t>מאסר מותנה למשך שמונה חודשים והתנאי הוא כי הנאשם לא יעבור עבירת נשק מסוג פשע מיום שחרורו ממאסר.</w:t>
      </w:r>
    </w:p>
    <w:p w14:paraId="0D44A2DA" w14:textId="77777777" w:rsidR="005D624A" w:rsidRDefault="005D624A" w:rsidP="005D624A">
      <w:pPr>
        <w:pStyle w:val="a9"/>
        <w:rPr>
          <w:rFonts w:ascii="David" w:hAnsi="David" w:cs="David"/>
        </w:rPr>
      </w:pPr>
    </w:p>
    <w:p w14:paraId="1D283F6B" w14:textId="77777777" w:rsidR="005D624A" w:rsidRDefault="005D624A" w:rsidP="005D624A">
      <w:pPr>
        <w:pStyle w:val="a9"/>
        <w:numPr>
          <w:ilvl w:val="0"/>
          <w:numId w:val="4"/>
        </w:numPr>
        <w:spacing w:line="360" w:lineRule="auto"/>
        <w:jc w:val="both"/>
        <w:rPr>
          <w:rFonts w:ascii="David" w:hAnsi="David" w:cs="David"/>
          <w:sz w:val="24"/>
          <w:szCs w:val="24"/>
          <w:rtl/>
        </w:rPr>
      </w:pPr>
      <w:r w:rsidRPr="008A6F99">
        <w:rPr>
          <w:rFonts w:ascii="David" w:hAnsi="David" w:cs="David"/>
          <w:sz w:val="24"/>
          <w:szCs w:val="24"/>
          <w:rtl/>
        </w:rPr>
        <w:t xml:space="preserve">קנס בסך 12,000 ₪ או </w:t>
      </w:r>
      <w:r w:rsidR="00F916C8">
        <w:rPr>
          <w:rFonts w:ascii="David" w:hAnsi="David" w:cs="David"/>
          <w:sz w:val="24"/>
          <w:szCs w:val="24"/>
          <w:rtl/>
        </w:rPr>
        <w:t xml:space="preserve"> </w:t>
      </w:r>
      <w:r w:rsidRPr="008A6F99">
        <w:rPr>
          <w:rFonts w:ascii="David" w:hAnsi="David" w:cs="David"/>
          <w:sz w:val="24"/>
          <w:szCs w:val="24"/>
          <w:rtl/>
        </w:rPr>
        <w:t xml:space="preserve">60 ימי מאסר תמורתו. הקנס ישולם ב-10 תשלומים חודשיים שווים ורצופים, החל מיום 1.10.2025 ובכל ראשון בחודש שלאחריו. לא ישולם איזה מהתשלומים במועדו, תעמוד יתרת הקנס לפירעון מידי. </w:t>
      </w:r>
    </w:p>
    <w:p w14:paraId="2C15A485" w14:textId="77777777" w:rsidR="005D624A" w:rsidRDefault="005D624A" w:rsidP="005D624A">
      <w:pPr>
        <w:spacing w:line="360" w:lineRule="auto"/>
        <w:ind w:left="720"/>
        <w:jc w:val="both"/>
        <w:rPr>
          <w:rFonts w:ascii="David" w:hAnsi="David"/>
          <w:sz w:val="22"/>
          <w:szCs w:val="22"/>
        </w:rPr>
      </w:pPr>
      <w:r>
        <w:rPr>
          <w:rFonts w:ascii="David" w:hAnsi="David"/>
          <w:rtl/>
        </w:rPr>
        <w:t>מוסבר לנאשם כי ניתן לשלם את הקנס כעבור שלושה ימים מיום מתן גזר הדין לחשבון המרכז לגביית קנסות, אגרות והוצאות ברשות האכיפה והגביה באחת מהדרכים הבאות:</w:t>
      </w:r>
    </w:p>
    <w:p w14:paraId="55554214" w14:textId="77777777" w:rsidR="005D624A" w:rsidRDefault="005D624A" w:rsidP="005D624A">
      <w:pPr>
        <w:spacing w:line="360" w:lineRule="auto"/>
        <w:ind w:left="720"/>
        <w:jc w:val="both"/>
        <w:rPr>
          <w:rFonts w:ascii="David" w:hAnsi="David"/>
          <w:rtl/>
        </w:rPr>
      </w:pPr>
    </w:p>
    <w:p w14:paraId="42D4E935" w14:textId="77777777" w:rsidR="005D624A" w:rsidRDefault="005D624A" w:rsidP="005D624A">
      <w:pPr>
        <w:numPr>
          <w:ilvl w:val="0"/>
          <w:numId w:val="5"/>
        </w:numPr>
        <w:spacing w:line="360" w:lineRule="auto"/>
        <w:jc w:val="both"/>
        <w:rPr>
          <w:rFonts w:ascii="David" w:hAnsi="David"/>
        </w:rPr>
      </w:pPr>
      <w:r>
        <w:rPr>
          <w:rFonts w:ascii="David" w:hAnsi="David"/>
          <w:rtl/>
        </w:rPr>
        <w:t xml:space="preserve">כרטיס אשראי באתר המקוון של רשות האכיפה והגביה </w:t>
      </w:r>
      <w:hyperlink r:id="rId28" w:history="1">
        <w:r>
          <w:rPr>
            <w:rStyle w:val="Hyperlink"/>
            <w:rFonts w:ascii="David" w:hAnsi="David"/>
          </w:rPr>
          <w:t>www.eca.gov.il</w:t>
        </w:r>
      </w:hyperlink>
      <w:r>
        <w:rPr>
          <w:rFonts w:ascii="David" w:hAnsi="David"/>
          <w:rtl/>
        </w:rPr>
        <w:t xml:space="preserve">; </w:t>
      </w:r>
    </w:p>
    <w:p w14:paraId="7D037E53" w14:textId="77777777" w:rsidR="005D624A" w:rsidRDefault="005D624A" w:rsidP="005D624A">
      <w:pPr>
        <w:numPr>
          <w:ilvl w:val="0"/>
          <w:numId w:val="5"/>
        </w:numPr>
        <w:spacing w:line="360" w:lineRule="auto"/>
        <w:jc w:val="both"/>
        <w:rPr>
          <w:rFonts w:ascii="David" w:hAnsi="David"/>
          <w:rtl/>
        </w:rPr>
      </w:pPr>
      <w:r>
        <w:rPr>
          <w:rFonts w:ascii="David" w:hAnsi="David"/>
          <w:rtl/>
        </w:rPr>
        <w:t xml:space="preserve">מוקד שירות טלפוני בשירות עצמי (מרכז גביה) 35592* או בטלפון 073-2055000; </w:t>
      </w:r>
    </w:p>
    <w:p w14:paraId="0A1241D3" w14:textId="77777777" w:rsidR="005D624A" w:rsidRDefault="005D624A" w:rsidP="005D624A">
      <w:pPr>
        <w:numPr>
          <w:ilvl w:val="0"/>
          <w:numId w:val="5"/>
        </w:numPr>
        <w:spacing w:line="360" w:lineRule="auto"/>
        <w:jc w:val="both"/>
        <w:rPr>
          <w:rFonts w:ascii="David" w:hAnsi="David"/>
        </w:rPr>
      </w:pPr>
      <w:r>
        <w:rPr>
          <w:rFonts w:ascii="David" w:hAnsi="David"/>
          <w:rtl/>
        </w:rPr>
        <w:t xml:space="preserve">במזומן בכל סניף של בנק דואר בהצגת תעודת זהות בלבד (אין צורך בשוברים). </w:t>
      </w:r>
    </w:p>
    <w:p w14:paraId="7973DEF1" w14:textId="77777777" w:rsidR="005D624A" w:rsidRDefault="005D624A" w:rsidP="005D624A">
      <w:pPr>
        <w:pStyle w:val="a9"/>
        <w:rPr>
          <w:rFonts w:ascii="David" w:hAnsi="David" w:cs="David"/>
          <w:sz w:val="24"/>
          <w:szCs w:val="24"/>
        </w:rPr>
      </w:pPr>
    </w:p>
    <w:p w14:paraId="6D3CB298" w14:textId="77777777" w:rsidR="005D624A" w:rsidRPr="005D624A" w:rsidRDefault="005D624A" w:rsidP="005D624A">
      <w:pPr>
        <w:spacing w:line="360" w:lineRule="auto"/>
        <w:jc w:val="both"/>
        <w:rPr>
          <w:rFonts w:ascii="David" w:eastAsia="Calibri" w:hAnsi="David"/>
          <w:rtl/>
        </w:rPr>
      </w:pPr>
    </w:p>
    <w:p w14:paraId="4C9C528D" w14:textId="77777777" w:rsidR="005D624A" w:rsidRDefault="005D624A" w:rsidP="005D624A">
      <w:pPr>
        <w:pStyle w:val="a9"/>
        <w:spacing w:line="360" w:lineRule="auto"/>
        <w:jc w:val="both"/>
        <w:rPr>
          <w:rFonts w:ascii="David" w:hAnsi="David" w:cs="David"/>
          <w:b/>
          <w:bCs/>
          <w:sz w:val="24"/>
          <w:szCs w:val="24"/>
          <w:rtl/>
        </w:rPr>
      </w:pPr>
      <w:r>
        <w:rPr>
          <w:rFonts w:ascii="David" w:hAnsi="David" w:cs="David"/>
          <w:b/>
          <w:bCs/>
          <w:sz w:val="24"/>
          <w:szCs w:val="24"/>
          <w:rtl/>
        </w:rPr>
        <w:t>הנשק והתחמושת יושמדו.</w:t>
      </w:r>
    </w:p>
    <w:p w14:paraId="2417C344" w14:textId="77777777" w:rsidR="005D624A" w:rsidRDefault="005D624A" w:rsidP="005D624A">
      <w:pPr>
        <w:pStyle w:val="a9"/>
        <w:spacing w:line="360" w:lineRule="auto"/>
        <w:jc w:val="both"/>
        <w:rPr>
          <w:rFonts w:ascii="David" w:hAnsi="David" w:cs="David"/>
          <w:b/>
          <w:bCs/>
          <w:sz w:val="24"/>
          <w:szCs w:val="24"/>
        </w:rPr>
      </w:pPr>
      <w:r>
        <w:rPr>
          <w:rFonts w:ascii="David" w:hAnsi="David" w:cs="David"/>
          <w:b/>
          <w:bCs/>
          <w:sz w:val="24"/>
          <w:szCs w:val="24"/>
          <w:rtl/>
        </w:rPr>
        <w:t xml:space="preserve">צו כללי למוצגים. </w:t>
      </w:r>
    </w:p>
    <w:p w14:paraId="3EAACB97" w14:textId="77777777" w:rsidR="005D624A" w:rsidRDefault="005D624A" w:rsidP="005D624A">
      <w:pPr>
        <w:pStyle w:val="a9"/>
        <w:spacing w:line="360" w:lineRule="auto"/>
        <w:jc w:val="both"/>
        <w:rPr>
          <w:rFonts w:ascii="David" w:hAnsi="David" w:cs="David"/>
          <w:b/>
          <w:bCs/>
          <w:sz w:val="24"/>
          <w:szCs w:val="24"/>
          <w:rtl/>
        </w:rPr>
      </w:pPr>
      <w:r>
        <w:rPr>
          <w:rFonts w:ascii="David" w:hAnsi="David" w:cs="David"/>
          <w:b/>
          <w:bCs/>
          <w:sz w:val="24"/>
          <w:szCs w:val="24"/>
          <w:rtl/>
        </w:rPr>
        <w:t>זכות ערעור לבית משפט המחוזי מרכז – לוד תוך 45 יום.</w:t>
      </w:r>
    </w:p>
    <w:p w14:paraId="39512910" w14:textId="77777777" w:rsidR="005D624A" w:rsidRDefault="005D624A" w:rsidP="005D624A">
      <w:pPr>
        <w:pStyle w:val="a9"/>
        <w:spacing w:line="360" w:lineRule="auto"/>
        <w:jc w:val="both"/>
        <w:rPr>
          <w:rFonts w:ascii="David" w:hAnsi="David" w:cs="David"/>
          <w:b/>
          <w:bCs/>
          <w:sz w:val="24"/>
          <w:szCs w:val="24"/>
          <w:rtl/>
        </w:rPr>
      </w:pPr>
    </w:p>
    <w:p w14:paraId="79A1100B" w14:textId="77777777" w:rsidR="005D624A" w:rsidRDefault="005D624A" w:rsidP="005D624A">
      <w:pPr>
        <w:pStyle w:val="a9"/>
        <w:spacing w:line="360" w:lineRule="auto"/>
        <w:jc w:val="both"/>
        <w:rPr>
          <w:rFonts w:ascii="David" w:hAnsi="David" w:cs="David"/>
          <w:b/>
          <w:bCs/>
          <w:sz w:val="24"/>
          <w:szCs w:val="24"/>
          <w:rtl/>
        </w:rPr>
      </w:pPr>
      <w:r>
        <w:rPr>
          <w:rFonts w:ascii="David" w:hAnsi="David" w:cs="David"/>
          <w:b/>
          <w:bCs/>
          <w:sz w:val="24"/>
          <w:szCs w:val="24"/>
          <w:rtl/>
        </w:rPr>
        <w:t>התיק סגור.</w:t>
      </w:r>
    </w:p>
    <w:p w14:paraId="32F16FE8" w14:textId="77777777" w:rsidR="005D624A" w:rsidRPr="00F916C8" w:rsidRDefault="00F916C8" w:rsidP="005D624A">
      <w:pPr>
        <w:rPr>
          <w:rFonts w:ascii="Calibri" w:hAnsi="Calibri" w:cs="Arial"/>
          <w:color w:val="FFFFFF"/>
          <w:sz w:val="2"/>
          <w:szCs w:val="2"/>
          <w:rtl/>
        </w:rPr>
      </w:pPr>
      <w:r w:rsidRPr="00F916C8">
        <w:rPr>
          <w:color w:val="FFFFFF"/>
          <w:sz w:val="2"/>
          <w:szCs w:val="2"/>
          <w:rtl/>
        </w:rPr>
        <w:t>5129371</w:t>
      </w:r>
      <w:r w:rsidR="005D624A" w:rsidRPr="00F916C8">
        <w:rPr>
          <w:color w:val="FFFFFF"/>
          <w:sz w:val="2"/>
          <w:szCs w:val="2"/>
          <w:rtl/>
        </w:rPr>
        <w:tab/>
      </w:r>
    </w:p>
    <w:p w14:paraId="735EDF22" w14:textId="77777777" w:rsidR="005D624A" w:rsidRPr="00F916C8" w:rsidRDefault="00F916C8" w:rsidP="005D624A">
      <w:pPr>
        <w:rPr>
          <w:rFonts w:ascii="Calibri" w:hAnsi="Calibri" w:cs="Arial"/>
          <w:color w:val="FFFFFF"/>
          <w:sz w:val="2"/>
          <w:szCs w:val="2"/>
          <w:rtl/>
        </w:rPr>
      </w:pPr>
      <w:r w:rsidRPr="00F916C8">
        <w:rPr>
          <w:rFonts w:ascii="Calibri" w:hAnsi="Calibri" w:cs="Arial"/>
          <w:color w:val="FFFFFF"/>
          <w:sz w:val="2"/>
          <w:szCs w:val="2"/>
          <w:rtl/>
        </w:rPr>
        <w:t>54678313</w:t>
      </w:r>
    </w:p>
    <w:p w14:paraId="19A322F9" w14:textId="77777777" w:rsidR="005D624A" w:rsidRPr="000F2247" w:rsidRDefault="005D624A" w:rsidP="005D624A">
      <w:pPr>
        <w:rPr>
          <w:rFonts w:ascii="Arial" w:hAnsi="Arial"/>
          <w:b/>
          <w:bCs/>
          <w:sz w:val="26"/>
          <w:szCs w:val="26"/>
          <w:rtl/>
        </w:rPr>
      </w:pPr>
    </w:p>
    <w:p w14:paraId="22817B9B" w14:textId="77777777" w:rsidR="005D624A" w:rsidRPr="000F2247" w:rsidRDefault="00F916C8" w:rsidP="005D624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אדר תשפ"ה, 27 מרץ 2025, במעמד הצדדים. </w:t>
      </w:r>
      <w:bookmarkEnd w:id="8"/>
      <w:r w:rsidR="005D624A">
        <w:rPr>
          <w:rFonts w:ascii="Arial" w:hAnsi="Arial"/>
          <w:b/>
          <w:bCs/>
          <w:sz w:val="26"/>
          <w:szCs w:val="26"/>
          <w:rtl/>
        </w:rPr>
        <w:tab/>
      </w:r>
      <w:r w:rsidR="005D624A">
        <w:rPr>
          <w:rFonts w:ascii="Arial" w:hAnsi="Arial"/>
          <w:b/>
          <w:bCs/>
          <w:sz w:val="26"/>
          <w:szCs w:val="26"/>
          <w:rtl/>
        </w:rPr>
        <w:tab/>
      </w:r>
      <w:r w:rsidR="005D624A">
        <w:rPr>
          <w:rFonts w:ascii="Arial" w:hAnsi="Arial"/>
          <w:b/>
          <w:bCs/>
          <w:sz w:val="26"/>
          <w:szCs w:val="26"/>
          <w:rtl/>
        </w:rPr>
        <w:tab/>
      </w:r>
      <w:r w:rsidR="005D624A">
        <w:rPr>
          <w:rFonts w:ascii="Arial" w:hAnsi="Arial"/>
          <w:b/>
          <w:bCs/>
          <w:sz w:val="26"/>
          <w:szCs w:val="26"/>
          <w:rtl/>
        </w:rPr>
        <w:tab/>
      </w:r>
      <w:r w:rsidR="005D624A">
        <w:rPr>
          <w:rFonts w:ascii="Arial" w:hAnsi="Arial"/>
          <w:b/>
          <w:bCs/>
          <w:sz w:val="26"/>
          <w:szCs w:val="26"/>
          <w:rtl/>
        </w:rPr>
        <w:tab/>
      </w:r>
      <w:r w:rsidR="005D624A">
        <w:rPr>
          <w:rFonts w:ascii="Arial" w:hAnsi="Arial"/>
          <w:b/>
          <w:bCs/>
          <w:sz w:val="26"/>
          <w:szCs w:val="26"/>
          <w:rtl/>
        </w:rPr>
        <w:tab/>
      </w:r>
      <w:r w:rsidR="005D624A">
        <w:rPr>
          <w:rFonts w:ascii="Arial" w:hAnsi="Arial"/>
          <w:b/>
          <w:bCs/>
          <w:sz w:val="26"/>
          <w:szCs w:val="26"/>
          <w:rtl/>
        </w:rPr>
        <w:tab/>
      </w:r>
      <w:r w:rsidR="005D624A">
        <w:rPr>
          <w:rFonts w:ascii="Arial" w:hAnsi="Arial" w:hint="cs"/>
          <w:b/>
          <w:bCs/>
          <w:sz w:val="26"/>
          <w:szCs w:val="26"/>
          <w:rtl/>
        </w:rPr>
        <w:t xml:space="preserve">         </w:t>
      </w:r>
    </w:p>
    <w:p w14:paraId="5C6FB848" w14:textId="77777777" w:rsidR="005D624A" w:rsidRPr="000F2247" w:rsidRDefault="005D624A" w:rsidP="00F916C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4FD8D3B" w14:textId="77777777" w:rsidR="005D624A" w:rsidRPr="009723BD" w:rsidRDefault="009723BD" w:rsidP="005D624A">
      <w:pPr>
        <w:jc w:val="center"/>
        <w:rPr>
          <w:rFonts w:ascii="Arial" w:hAnsi="Arial"/>
          <w:b/>
          <w:bCs/>
          <w:color w:val="FFFFFF"/>
          <w:sz w:val="2"/>
          <w:szCs w:val="2"/>
          <w:rtl/>
        </w:rPr>
      </w:pPr>
      <w:r w:rsidRPr="009723BD">
        <w:rPr>
          <w:rFonts w:ascii="Arial" w:hAnsi="Arial"/>
          <w:b/>
          <w:bCs/>
          <w:color w:val="FFFFFF"/>
          <w:sz w:val="2"/>
          <w:szCs w:val="2"/>
          <w:rtl/>
        </w:rPr>
        <w:t>5129371</w:t>
      </w:r>
    </w:p>
    <w:p w14:paraId="4E1FD990" w14:textId="77777777" w:rsidR="00B63F9A" w:rsidRPr="009723BD" w:rsidRDefault="009723BD" w:rsidP="00F916C8">
      <w:pPr>
        <w:keepNext/>
        <w:rPr>
          <w:rFonts w:ascii="David" w:hAnsi="David"/>
          <w:color w:val="FFFFFF"/>
          <w:sz w:val="2"/>
          <w:szCs w:val="2"/>
          <w:rtl/>
        </w:rPr>
      </w:pPr>
      <w:r w:rsidRPr="009723BD">
        <w:rPr>
          <w:rFonts w:ascii="David" w:hAnsi="David"/>
          <w:color w:val="FFFFFF"/>
          <w:sz w:val="2"/>
          <w:szCs w:val="2"/>
          <w:rtl/>
        </w:rPr>
        <w:t>54678313</w:t>
      </w:r>
    </w:p>
    <w:p w14:paraId="36EA4DF1" w14:textId="77777777" w:rsidR="00F916C8" w:rsidRDefault="00F916C8" w:rsidP="00F916C8">
      <w:pPr>
        <w:rPr>
          <w:rtl/>
        </w:rPr>
      </w:pPr>
    </w:p>
    <w:p w14:paraId="55BCEE37" w14:textId="77777777" w:rsidR="00F916C8" w:rsidRDefault="00F916C8" w:rsidP="00F916C8">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4C0BA1C0" w14:textId="77777777" w:rsidR="009723BD" w:rsidRPr="009723BD" w:rsidRDefault="009723BD" w:rsidP="009723BD">
      <w:pPr>
        <w:keepNext/>
        <w:rPr>
          <w:rFonts w:ascii="David" w:hAnsi="David"/>
          <w:color w:val="000000"/>
          <w:sz w:val="22"/>
          <w:szCs w:val="22"/>
          <w:rtl/>
        </w:rPr>
      </w:pPr>
    </w:p>
    <w:p w14:paraId="7549208F" w14:textId="77777777" w:rsidR="009723BD" w:rsidRPr="009723BD" w:rsidRDefault="009723BD" w:rsidP="009723BD">
      <w:pPr>
        <w:keepNext/>
        <w:rPr>
          <w:rFonts w:ascii="David" w:hAnsi="David"/>
          <w:color w:val="000000"/>
          <w:sz w:val="22"/>
          <w:szCs w:val="22"/>
          <w:rtl/>
        </w:rPr>
      </w:pPr>
      <w:r w:rsidRPr="009723BD">
        <w:rPr>
          <w:rFonts w:ascii="David" w:hAnsi="David"/>
          <w:color w:val="000000"/>
          <w:sz w:val="22"/>
          <w:szCs w:val="22"/>
          <w:rtl/>
        </w:rPr>
        <w:t>דורית סבן 54678313-/</w:t>
      </w:r>
    </w:p>
    <w:p w14:paraId="1172F7AD" w14:textId="77777777" w:rsidR="00F916C8" w:rsidRPr="00F916C8" w:rsidRDefault="009723BD" w:rsidP="009723BD">
      <w:pPr>
        <w:rPr>
          <w:color w:val="0000FF"/>
          <w:u w:val="single"/>
        </w:rPr>
      </w:pPr>
      <w:r w:rsidRPr="009723BD">
        <w:rPr>
          <w:color w:val="000000"/>
          <w:u w:val="single"/>
          <w:rtl/>
        </w:rPr>
        <w:t>נוסח מסמך זה כפוף לשינויי ניסוח ועריכה</w:t>
      </w:r>
    </w:p>
    <w:sectPr w:rsidR="00F916C8" w:rsidRPr="00F916C8" w:rsidSect="009723BD">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82B0F" w14:textId="77777777" w:rsidR="00204C54" w:rsidRDefault="00204C54" w:rsidP="004D670D">
      <w:r>
        <w:separator/>
      </w:r>
    </w:p>
  </w:endnote>
  <w:endnote w:type="continuationSeparator" w:id="0">
    <w:p w14:paraId="50FB3ACF" w14:textId="77777777" w:rsidR="00204C54" w:rsidRDefault="00204C54" w:rsidP="004D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80216" w14:textId="77777777" w:rsidR="009723BD" w:rsidRDefault="009723BD" w:rsidP="009723B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084E215" w14:textId="77777777" w:rsidR="00001FB3" w:rsidRPr="009723BD" w:rsidRDefault="009723BD" w:rsidP="009723BD">
    <w:pPr>
      <w:pStyle w:val="a5"/>
      <w:pBdr>
        <w:top w:val="single" w:sz="4" w:space="1" w:color="auto"/>
        <w:between w:val="single" w:sz="4" w:space="0" w:color="auto"/>
      </w:pBdr>
      <w:spacing w:after="60"/>
      <w:jc w:val="center"/>
      <w:rPr>
        <w:rFonts w:ascii="FrankRuehl" w:hAnsi="FrankRuehl" w:cs="FrankRuehl"/>
        <w:color w:val="000000"/>
      </w:rPr>
    </w:pPr>
    <w:r w:rsidRPr="009723B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3F4D5" w14:textId="77777777" w:rsidR="009723BD" w:rsidRDefault="009723BD" w:rsidP="009723B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4025A">
      <w:rPr>
        <w:rFonts w:ascii="FrankRuehl" w:hAnsi="FrankRuehl" w:cs="FrankRuehl"/>
        <w:noProof/>
        <w:rtl/>
      </w:rPr>
      <w:t>1</w:t>
    </w:r>
    <w:r>
      <w:rPr>
        <w:rFonts w:ascii="FrankRuehl" w:hAnsi="FrankRuehl" w:cs="FrankRuehl"/>
        <w:rtl/>
      </w:rPr>
      <w:fldChar w:fldCharType="end"/>
    </w:r>
  </w:p>
  <w:p w14:paraId="03247458" w14:textId="77777777" w:rsidR="00001FB3" w:rsidRPr="009723BD" w:rsidRDefault="009723BD" w:rsidP="009723BD">
    <w:pPr>
      <w:pStyle w:val="a5"/>
      <w:pBdr>
        <w:top w:val="single" w:sz="4" w:space="1" w:color="auto"/>
        <w:between w:val="single" w:sz="4" w:space="0" w:color="auto"/>
      </w:pBdr>
      <w:spacing w:after="60"/>
      <w:jc w:val="center"/>
      <w:rPr>
        <w:rFonts w:ascii="FrankRuehl" w:hAnsi="FrankRuehl" w:cs="FrankRuehl"/>
        <w:color w:val="000000"/>
      </w:rPr>
    </w:pPr>
    <w:r w:rsidRPr="009723BD">
      <w:rPr>
        <w:rFonts w:ascii="FrankRuehl" w:hAnsi="FrankRuehl" w:cs="FrankRuehl"/>
        <w:color w:val="000000"/>
      </w:rPr>
      <w:pict w14:anchorId="1544E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53D2B" w14:textId="77777777" w:rsidR="00204C54" w:rsidRDefault="00204C54" w:rsidP="004D670D">
      <w:r>
        <w:separator/>
      </w:r>
    </w:p>
  </w:footnote>
  <w:footnote w:type="continuationSeparator" w:id="0">
    <w:p w14:paraId="6924920B" w14:textId="77777777" w:rsidR="00204C54" w:rsidRDefault="00204C54" w:rsidP="004D6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D0BE2" w14:textId="77777777" w:rsidR="00F916C8" w:rsidRPr="009723BD" w:rsidRDefault="009723BD" w:rsidP="009723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263-10-24</w:t>
    </w:r>
    <w:r>
      <w:rPr>
        <w:rFonts w:ascii="David" w:hAnsi="David"/>
        <w:color w:val="000000"/>
        <w:sz w:val="22"/>
        <w:szCs w:val="22"/>
        <w:rtl/>
      </w:rPr>
      <w:tab/>
      <w:t xml:space="preserve"> מדינת ישראל נ' מועתז אלכורדי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9DB82" w14:textId="77777777" w:rsidR="00F916C8" w:rsidRPr="009723BD" w:rsidRDefault="009723BD" w:rsidP="009723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263-10-24</w:t>
    </w:r>
    <w:r>
      <w:rPr>
        <w:rFonts w:ascii="David" w:hAnsi="David"/>
        <w:color w:val="000000"/>
        <w:sz w:val="22"/>
        <w:szCs w:val="22"/>
        <w:rtl/>
      </w:rPr>
      <w:tab/>
      <w:t xml:space="preserve"> מדינת ישראל נ' מועתז אלכורדי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C0CED"/>
    <w:multiLevelType w:val="hybridMultilevel"/>
    <w:tmpl w:val="DC1CA25C"/>
    <w:lvl w:ilvl="0" w:tplc="A9886D98">
      <w:start w:val="1"/>
      <w:numFmt w:val="hebrew1"/>
      <w:lvlText w:val="%1."/>
      <w:lvlJc w:val="left"/>
      <w:pPr>
        <w:ind w:left="720" w:hanging="360"/>
      </w:pPr>
    </w:lvl>
    <w:lvl w:ilvl="1" w:tplc="F0A0BA4C">
      <w:start w:val="1"/>
      <w:numFmt w:val="lowerLetter"/>
      <w:lvlText w:val="%2."/>
      <w:lvlJc w:val="left"/>
      <w:pPr>
        <w:ind w:left="1440" w:hanging="360"/>
      </w:pPr>
    </w:lvl>
    <w:lvl w:ilvl="2" w:tplc="8FF42B8A">
      <w:start w:val="1"/>
      <w:numFmt w:val="lowerRoman"/>
      <w:lvlText w:val="%3."/>
      <w:lvlJc w:val="right"/>
      <w:pPr>
        <w:ind w:left="2160" w:hanging="180"/>
      </w:pPr>
    </w:lvl>
    <w:lvl w:ilvl="3" w:tplc="C12404B2">
      <w:start w:val="1"/>
      <w:numFmt w:val="decimal"/>
      <w:lvlText w:val="%4."/>
      <w:lvlJc w:val="left"/>
      <w:pPr>
        <w:ind w:left="2880" w:hanging="360"/>
      </w:pPr>
    </w:lvl>
    <w:lvl w:ilvl="4" w:tplc="98545A24">
      <w:start w:val="1"/>
      <w:numFmt w:val="lowerLetter"/>
      <w:lvlText w:val="%5."/>
      <w:lvlJc w:val="left"/>
      <w:pPr>
        <w:ind w:left="3600" w:hanging="360"/>
      </w:pPr>
    </w:lvl>
    <w:lvl w:ilvl="5" w:tplc="7DFCC33C">
      <w:start w:val="1"/>
      <w:numFmt w:val="lowerRoman"/>
      <w:lvlText w:val="%6."/>
      <w:lvlJc w:val="right"/>
      <w:pPr>
        <w:ind w:left="4320" w:hanging="180"/>
      </w:pPr>
    </w:lvl>
    <w:lvl w:ilvl="6" w:tplc="59543DE2">
      <w:start w:val="1"/>
      <w:numFmt w:val="decimal"/>
      <w:lvlText w:val="%7."/>
      <w:lvlJc w:val="left"/>
      <w:pPr>
        <w:ind w:left="5040" w:hanging="360"/>
      </w:pPr>
    </w:lvl>
    <w:lvl w:ilvl="7" w:tplc="56E642A0">
      <w:start w:val="1"/>
      <w:numFmt w:val="lowerLetter"/>
      <w:lvlText w:val="%8."/>
      <w:lvlJc w:val="left"/>
      <w:pPr>
        <w:ind w:left="5760" w:hanging="360"/>
      </w:pPr>
    </w:lvl>
    <w:lvl w:ilvl="8" w:tplc="88CC8CB0">
      <w:start w:val="1"/>
      <w:numFmt w:val="lowerRoman"/>
      <w:lvlText w:val="%9."/>
      <w:lvlJc w:val="right"/>
      <w:pPr>
        <w:ind w:left="6480" w:hanging="180"/>
      </w:pPr>
    </w:lvl>
  </w:abstractNum>
  <w:abstractNum w:abstractNumId="1" w15:restartNumberingAfterBreak="0">
    <w:nsid w:val="40F666FE"/>
    <w:multiLevelType w:val="hybridMultilevel"/>
    <w:tmpl w:val="04EC2C68"/>
    <w:lvl w:ilvl="0" w:tplc="CBF034F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45A684F"/>
    <w:multiLevelType w:val="hybridMultilevel"/>
    <w:tmpl w:val="0E589FDC"/>
    <w:lvl w:ilvl="0" w:tplc="22CC3236">
      <w:start w:val="1"/>
      <w:numFmt w:val="hebrew1"/>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8925C7"/>
    <w:multiLevelType w:val="hybridMultilevel"/>
    <w:tmpl w:val="CCC2E1A8"/>
    <w:lvl w:ilvl="0" w:tplc="BB44BF06">
      <w:start w:val="1"/>
      <w:numFmt w:val="decimal"/>
      <w:lvlText w:val="%1."/>
      <w:lvlJc w:val="left"/>
      <w:pPr>
        <w:ind w:left="720" w:hanging="360"/>
      </w:pPr>
      <w:rPr>
        <w:b/>
        <w:bCs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3FC0EC3"/>
    <w:multiLevelType w:val="hybridMultilevel"/>
    <w:tmpl w:val="82E4F8D2"/>
    <w:lvl w:ilvl="0" w:tplc="3694176A">
      <w:numFmt w:val="bullet"/>
      <w:lvlText w:val=""/>
      <w:lvlJc w:val="left"/>
      <w:pPr>
        <w:ind w:left="1440" w:hanging="360"/>
      </w:pPr>
      <w:rPr>
        <w:rFonts w:ascii="Symbol" w:eastAsia="Times New Roman"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2074351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7244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40602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77357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2844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D624A"/>
    <w:rsid w:val="00001FB3"/>
    <w:rsid w:val="00204C54"/>
    <w:rsid w:val="0035774D"/>
    <w:rsid w:val="004D670D"/>
    <w:rsid w:val="0054025A"/>
    <w:rsid w:val="005D624A"/>
    <w:rsid w:val="009723BD"/>
    <w:rsid w:val="00976529"/>
    <w:rsid w:val="00B57E80"/>
    <w:rsid w:val="00B63F9A"/>
    <w:rsid w:val="00F916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B52903"/>
  <w15:chartTrackingRefBased/>
  <w15:docId w15:val="{E215F037-3925-4157-80F7-143461B5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624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D624A"/>
    <w:pPr>
      <w:tabs>
        <w:tab w:val="center" w:pos="4153"/>
        <w:tab w:val="right" w:pos="8306"/>
      </w:tabs>
    </w:pPr>
  </w:style>
  <w:style w:type="character" w:customStyle="1" w:styleId="a4">
    <w:name w:val="כותרת עליונה תו"/>
    <w:link w:val="a3"/>
    <w:rsid w:val="005D624A"/>
    <w:rPr>
      <w:rFonts w:ascii="Times New Roman" w:eastAsia="Times New Roman" w:hAnsi="Times New Roman" w:cs="David"/>
      <w:sz w:val="24"/>
      <w:szCs w:val="24"/>
    </w:rPr>
  </w:style>
  <w:style w:type="paragraph" w:styleId="a5">
    <w:name w:val="footer"/>
    <w:basedOn w:val="a"/>
    <w:link w:val="a6"/>
    <w:rsid w:val="005D624A"/>
    <w:pPr>
      <w:tabs>
        <w:tab w:val="center" w:pos="4153"/>
        <w:tab w:val="right" w:pos="8306"/>
      </w:tabs>
    </w:pPr>
  </w:style>
  <w:style w:type="character" w:customStyle="1" w:styleId="a6">
    <w:name w:val="כותרת תחתונה תו"/>
    <w:link w:val="a5"/>
    <w:rsid w:val="005D624A"/>
    <w:rPr>
      <w:rFonts w:ascii="Times New Roman" w:eastAsia="Times New Roman" w:hAnsi="Times New Roman" w:cs="David"/>
      <w:sz w:val="24"/>
      <w:szCs w:val="24"/>
    </w:rPr>
  </w:style>
  <w:style w:type="character" w:styleId="a7">
    <w:name w:val="page number"/>
    <w:rsid w:val="005D624A"/>
  </w:style>
  <w:style w:type="character" w:styleId="Hyperlink">
    <w:name w:val="Hyperlink"/>
    <w:rsid w:val="005D624A"/>
    <w:rPr>
      <w:color w:val="0000FF"/>
      <w:u w:val="single"/>
    </w:rPr>
  </w:style>
  <w:style w:type="character" w:customStyle="1" w:styleId="a8">
    <w:name w:val="פיסקת רשימה תו"/>
    <w:link w:val="a9"/>
    <w:locked/>
    <w:rsid w:val="005D624A"/>
  </w:style>
  <w:style w:type="paragraph" w:styleId="a9">
    <w:name w:val="List Paragraph"/>
    <w:basedOn w:val="a"/>
    <w:link w:val="a8"/>
    <w:qFormat/>
    <w:rsid w:val="005D624A"/>
    <w:pPr>
      <w:spacing w:after="160" w:line="256" w:lineRule="auto"/>
      <w:ind w:left="720"/>
      <w:contextualSpacing/>
    </w:pPr>
    <w:rPr>
      <w:rFonts w:ascii="Calibri" w:eastAsia="Calibri" w:hAnsi="Calibri" w:cs="Arial"/>
      <w:sz w:val="22"/>
      <w:szCs w:val="22"/>
    </w:rPr>
  </w:style>
  <w:style w:type="character" w:customStyle="1" w:styleId="ListParagraphChar">
    <w:name w:val="List Paragraph Char"/>
    <w:link w:val="1"/>
    <w:locked/>
    <w:rsid w:val="005D624A"/>
  </w:style>
  <w:style w:type="paragraph" w:customStyle="1" w:styleId="1">
    <w:name w:val="פיסקת רשימה1"/>
    <w:basedOn w:val="a"/>
    <w:link w:val="ListParagraphChar"/>
    <w:rsid w:val="005D624A"/>
    <w:pPr>
      <w:spacing w:after="160" w:line="252"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7925239" TargetMode="External"/><Relationship Id="rId18" Type="http://schemas.openxmlformats.org/officeDocument/2006/relationships/hyperlink" Target="http://www.nevo.co.il/case/32676971" TargetMode="External"/><Relationship Id="rId26" Type="http://schemas.openxmlformats.org/officeDocument/2006/relationships/hyperlink" Target="http://www.nevo.co.il/case/27648787" TargetMode="External"/><Relationship Id="rId3" Type="http://schemas.openxmlformats.org/officeDocument/2006/relationships/settings" Target="settings.xml"/><Relationship Id="rId21" Type="http://schemas.openxmlformats.org/officeDocument/2006/relationships/hyperlink" Target="http://www.nevo.co.il/case/29049101"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case/28513828" TargetMode="External"/><Relationship Id="rId17" Type="http://schemas.openxmlformats.org/officeDocument/2006/relationships/hyperlink" Target="http://www.nevo.co.il/case/30437082" TargetMode="External"/><Relationship Id="rId25" Type="http://schemas.openxmlformats.org/officeDocument/2006/relationships/hyperlink" Target="http://www.nevo.co.il/case/27455704"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8619472" TargetMode="External"/><Relationship Id="rId20" Type="http://schemas.openxmlformats.org/officeDocument/2006/relationships/hyperlink" Target="http://www.nevo.co.il/case/30476730"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7472496"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8513828" TargetMode="External"/><Relationship Id="rId23" Type="http://schemas.openxmlformats.org/officeDocument/2006/relationships/hyperlink" Target="http://www.nevo.co.il/case/28228719" TargetMode="External"/><Relationship Id="rId28" Type="http://schemas.openxmlformats.org/officeDocument/2006/relationships/hyperlink" Target="http://www.eca.gov.il"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9397508"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30428936" TargetMode="External"/><Relationship Id="rId27" Type="http://schemas.openxmlformats.org/officeDocument/2006/relationships/hyperlink" Target="http://www.nevo.co.il/case/3073110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2649</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15864</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7864368</vt:i4>
      </vt:variant>
      <vt:variant>
        <vt:i4>63</vt:i4>
      </vt:variant>
      <vt:variant>
        <vt:i4>0</vt:i4>
      </vt:variant>
      <vt:variant>
        <vt:i4>5</vt:i4>
      </vt:variant>
      <vt:variant>
        <vt:lpwstr>http://www.eca.gov.il/</vt:lpwstr>
      </vt:variant>
      <vt:variant>
        <vt:lpwstr/>
      </vt:variant>
      <vt:variant>
        <vt:i4>3473526</vt:i4>
      </vt:variant>
      <vt:variant>
        <vt:i4>60</vt:i4>
      </vt:variant>
      <vt:variant>
        <vt:i4>0</vt:i4>
      </vt:variant>
      <vt:variant>
        <vt:i4>5</vt:i4>
      </vt:variant>
      <vt:variant>
        <vt:lpwstr>http://www.nevo.co.il/case/30731106</vt:lpwstr>
      </vt:variant>
      <vt:variant>
        <vt:lpwstr/>
      </vt:variant>
      <vt:variant>
        <vt:i4>3407984</vt:i4>
      </vt:variant>
      <vt:variant>
        <vt:i4>57</vt:i4>
      </vt:variant>
      <vt:variant>
        <vt:i4>0</vt:i4>
      </vt:variant>
      <vt:variant>
        <vt:i4>5</vt:i4>
      </vt:variant>
      <vt:variant>
        <vt:lpwstr>http://www.nevo.co.il/case/27648787</vt:lpwstr>
      </vt:variant>
      <vt:variant>
        <vt:lpwstr/>
      </vt:variant>
      <vt:variant>
        <vt:i4>3342449</vt:i4>
      </vt:variant>
      <vt:variant>
        <vt:i4>54</vt:i4>
      </vt:variant>
      <vt:variant>
        <vt:i4>0</vt:i4>
      </vt:variant>
      <vt:variant>
        <vt:i4>5</vt:i4>
      </vt:variant>
      <vt:variant>
        <vt:lpwstr>http://www.nevo.co.il/case/27455704</vt:lpwstr>
      </vt:variant>
      <vt:variant>
        <vt:lpwstr/>
      </vt:variant>
      <vt:variant>
        <vt:i4>3997808</vt:i4>
      </vt:variant>
      <vt:variant>
        <vt:i4>51</vt:i4>
      </vt:variant>
      <vt:variant>
        <vt:i4>0</vt:i4>
      </vt:variant>
      <vt:variant>
        <vt:i4>5</vt:i4>
      </vt:variant>
      <vt:variant>
        <vt:lpwstr>http://www.nevo.co.il/case/27472496</vt:lpwstr>
      </vt:variant>
      <vt:variant>
        <vt:lpwstr/>
      </vt:variant>
      <vt:variant>
        <vt:i4>3735673</vt:i4>
      </vt:variant>
      <vt:variant>
        <vt:i4>48</vt:i4>
      </vt:variant>
      <vt:variant>
        <vt:i4>0</vt:i4>
      </vt:variant>
      <vt:variant>
        <vt:i4>5</vt:i4>
      </vt:variant>
      <vt:variant>
        <vt:lpwstr>http://www.nevo.co.il/case/28228719</vt:lpwstr>
      </vt:variant>
      <vt:variant>
        <vt:lpwstr/>
      </vt:variant>
      <vt:variant>
        <vt:i4>3932287</vt:i4>
      </vt:variant>
      <vt:variant>
        <vt:i4>45</vt:i4>
      </vt:variant>
      <vt:variant>
        <vt:i4>0</vt:i4>
      </vt:variant>
      <vt:variant>
        <vt:i4>5</vt:i4>
      </vt:variant>
      <vt:variant>
        <vt:lpwstr>http://www.nevo.co.il/case/30428936</vt:lpwstr>
      </vt:variant>
      <vt:variant>
        <vt:lpwstr/>
      </vt:variant>
      <vt:variant>
        <vt:i4>3866744</vt:i4>
      </vt:variant>
      <vt:variant>
        <vt:i4>42</vt:i4>
      </vt:variant>
      <vt:variant>
        <vt:i4>0</vt:i4>
      </vt:variant>
      <vt:variant>
        <vt:i4>5</vt:i4>
      </vt:variant>
      <vt:variant>
        <vt:lpwstr>http://www.nevo.co.il/case/29049101</vt:lpwstr>
      </vt:variant>
      <vt:variant>
        <vt:lpwstr/>
      </vt:variant>
      <vt:variant>
        <vt:i4>3276916</vt:i4>
      </vt:variant>
      <vt:variant>
        <vt:i4>39</vt:i4>
      </vt:variant>
      <vt:variant>
        <vt:i4>0</vt:i4>
      </vt:variant>
      <vt:variant>
        <vt:i4>5</vt:i4>
      </vt:variant>
      <vt:variant>
        <vt:lpwstr>http://www.nevo.co.il/case/30476730</vt:lpwstr>
      </vt:variant>
      <vt:variant>
        <vt:lpwstr/>
      </vt:variant>
      <vt:variant>
        <vt:i4>3539057</vt:i4>
      </vt:variant>
      <vt:variant>
        <vt:i4>36</vt:i4>
      </vt:variant>
      <vt:variant>
        <vt:i4>0</vt:i4>
      </vt:variant>
      <vt:variant>
        <vt:i4>5</vt:i4>
      </vt:variant>
      <vt:variant>
        <vt:lpwstr>http://www.nevo.co.il/case/29397508</vt:lpwstr>
      </vt:variant>
      <vt:variant>
        <vt:lpwstr/>
      </vt:variant>
      <vt:variant>
        <vt:i4>3407992</vt:i4>
      </vt:variant>
      <vt:variant>
        <vt:i4>33</vt:i4>
      </vt:variant>
      <vt:variant>
        <vt:i4>0</vt:i4>
      </vt:variant>
      <vt:variant>
        <vt:i4>5</vt:i4>
      </vt:variant>
      <vt:variant>
        <vt:lpwstr>http://www.nevo.co.il/case/32676971</vt:lpwstr>
      </vt:variant>
      <vt:variant>
        <vt:lpwstr/>
      </vt:variant>
      <vt:variant>
        <vt:i4>3670135</vt:i4>
      </vt:variant>
      <vt:variant>
        <vt:i4>30</vt:i4>
      </vt:variant>
      <vt:variant>
        <vt:i4>0</vt:i4>
      </vt:variant>
      <vt:variant>
        <vt:i4>5</vt:i4>
      </vt:variant>
      <vt:variant>
        <vt:lpwstr>http://www.nevo.co.il/case/30437082</vt:lpwstr>
      </vt:variant>
      <vt:variant>
        <vt:lpwstr/>
      </vt:variant>
      <vt:variant>
        <vt:i4>3801209</vt:i4>
      </vt:variant>
      <vt:variant>
        <vt:i4>27</vt:i4>
      </vt:variant>
      <vt:variant>
        <vt:i4>0</vt:i4>
      </vt:variant>
      <vt:variant>
        <vt:i4>5</vt:i4>
      </vt:variant>
      <vt:variant>
        <vt:lpwstr>http://www.nevo.co.il/case/28619472</vt:lpwstr>
      </vt:variant>
      <vt:variant>
        <vt:lpwstr/>
      </vt:variant>
      <vt:variant>
        <vt:i4>3539061</vt:i4>
      </vt:variant>
      <vt:variant>
        <vt:i4>24</vt:i4>
      </vt:variant>
      <vt:variant>
        <vt:i4>0</vt:i4>
      </vt:variant>
      <vt:variant>
        <vt:i4>5</vt:i4>
      </vt:variant>
      <vt:variant>
        <vt:lpwstr>http://www.nevo.co.il/case/28513828</vt:lpwstr>
      </vt:variant>
      <vt:variant>
        <vt:lpwstr/>
      </vt:variant>
      <vt:variant>
        <vt:i4>7995492</vt:i4>
      </vt:variant>
      <vt:variant>
        <vt:i4>21</vt:i4>
      </vt:variant>
      <vt:variant>
        <vt:i4>0</vt:i4>
      </vt:variant>
      <vt:variant>
        <vt:i4>5</vt:i4>
      </vt:variant>
      <vt:variant>
        <vt:lpwstr>http://www.nevo.co.il/law/70301</vt:lpwstr>
      </vt:variant>
      <vt:variant>
        <vt:lpwstr/>
      </vt:variant>
      <vt:variant>
        <vt:i4>3997811</vt:i4>
      </vt:variant>
      <vt:variant>
        <vt:i4>18</vt:i4>
      </vt:variant>
      <vt:variant>
        <vt:i4>0</vt:i4>
      </vt:variant>
      <vt:variant>
        <vt:i4>5</vt:i4>
      </vt:variant>
      <vt:variant>
        <vt:lpwstr>http://www.nevo.co.il/case/27925239</vt:lpwstr>
      </vt:variant>
      <vt:variant>
        <vt:lpwstr/>
      </vt:variant>
      <vt:variant>
        <vt:i4>3539061</vt:i4>
      </vt:variant>
      <vt:variant>
        <vt:i4>15</vt:i4>
      </vt:variant>
      <vt:variant>
        <vt:i4>0</vt:i4>
      </vt:variant>
      <vt:variant>
        <vt:i4>5</vt:i4>
      </vt:variant>
      <vt:variant>
        <vt:lpwstr>http://www.nevo.co.il/case/28513828</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2025-04-25T11:09:00Z</dcterms:created>
  <dcterms:modified xsi:type="dcterms:W3CDTF">2025-04-25T11:09:00Z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263</vt:lpwstr>
  </property>
  <property fmtid="{D5CDD505-2E9C-101B-9397-08002B2CF9AE}" pid="6" name="NEWPARTB">
    <vt:lpwstr>10</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מועתז אלכורדי</vt:lpwstr>
  </property>
  <property fmtid="{D5CDD505-2E9C-101B-9397-08002B2CF9AE}" pid="10" name="LAWYER">
    <vt:lpwstr>אורעד שלוו;שאדי כבהא</vt:lpwstr>
  </property>
  <property fmtid="{D5CDD505-2E9C-101B-9397-08002B2CF9AE}" pid="11" name="JUDGE">
    <vt:lpwstr>דורית סבן</vt:lpwstr>
  </property>
  <property fmtid="{D5CDD505-2E9C-101B-9397-08002B2CF9AE}" pid="12" name="CITY">
    <vt:lpwstr>רמ'</vt:lpwstr>
  </property>
  <property fmtid="{D5CDD505-2E9C-101B-9397-08002B2CF9AE}" pid="13" name="DATE">
    <vt:lpwstr>20250327</vt:lpwstr>
  </property>
  <property fmtid="{D5CDD505-2E9C-101B-9397-08002B2CF9AE}" pid="14" name="TYPE_N_DATE">
    <vt:lpwstr>38020250327</vt:lpwstr>
  </property>
  <property fmtid="{D5CDD505-2E9C-101B-9397-08002B2CF9AE}" pid="15" name="CASESLISTTMP1">
    <vt:lpwstr>28513828:2;27925239;28619472;30437082;32676971;29397508;30476730;29049101;30428936;28228719;27472496;27455704;27648787;30731106</vt:lpwstr>
  </property>
  <property fmtid="{D5CDD505-2E9C-101B-9397-08002B2CF9AE}" pid="16" name="CASENOTES1">
    <vt:lpwstr>ProcID=209&amp;PartA=57425&amp;PartB=07&amp;PartC=21</vt:lpwstr>
  </property>
  <property fmtid="{D5CDD505-2E9C-101B-9397-08002B2CF9AE}" pid="17" name="WORDNUMPAGES">
    <vt:lpwstr>10</vt:lpwstr>
  </property>
  <property fmtid="{D5CDD505-2E9C-101B-9397-08002B2CF9AE}" pid="18" name="TYPE_ABS_DATE">
    <vt:lpwstr>380020250327</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vt:lpwstr>
  </property>
</Properties>
</file>