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4F5F9C" w:rsidRPr="00A2033A" w14:paraId="49233E34" w14:textId="77777777" w:rsidTr="00DD20B3">
        <w:trPr>
          <w:trHeight w:hRule="exact" w:val="418"/>
          <w:jc w:val="center"/>
        </w:trPr>
        <w:tc>
          <w:tcPr>
            <w:tcW w:w="8721" w:type="dxa"/>
            <w:gridSpan w:val="2"/>
          </w:tcPr>
          <w:p w14:paraId="174B91C0" w14:textId="77777777" w:rsidR="004F5F9C" w:rsidRPr="00A2033A" w:rsidRDefault="004F5F9C" w:rsidP="00703272">
            <w:pPr>
              <w:pStyle w:val="a3"/>
              <w:jc w:val="center"/>
              <w:rPr>
                <w:rFonts w:ascii="Tahoma" w:hAnsi="Tahoma" w:cs="Tahoma"/>
                <w:color w:val="000080"/>
                <w:rtl/>
              </w:rPr>
            </w:pPr>
            <w:bookmarkStart w:id="0" w:name="LastJudge"/>
            <w:r w:rsidRPr="00A2033A">
              <w:rPr>
                <w:rFonts w:ascii="Tahoma" w:hAnsi="Tahoma" w:cs="Tahoma"/>
                <w:b/>
                <w:bCs/>
                <w:color w:val="000080"/>
                <w:rtl/>
              </w:rPr>
              <w:t>בית משפט השלום בחיפה</w:t>
            </w:r>
          </w:p>
        </w:tc>
      </w:tr>
      <w:tr w:rsidR="004F5F9C" w:rsidRPr="00A2033A" w14:paraId="17B51021" w14:textId="77777777" w:rsidTr="00DD20B3">
        <w:trPr>
          <w:trHeight w:val="337"/>
          <w:jc w:val="center"/>
        </w:trPr>
        <w:tc>
          <w:tcPr>
            <w:tcW w:w="5058" w:type="dxa"/>
          </w:tcPr>
          <w:p w14:paraId="6816275B" w14:textId="77777777" w:rsidR="004F5F9C" w:rsidRPr="00A2033A" w:rsidRDefault="004F5F9C" w:rsidP="00703272">
            <w:pPr>
              <w:rPr>
                <w:rFonts w:cs="FrankRuehl"/>
                <w:sz w:val="28"/>
                <w:szCs w:val="28"/>
                <w:rtl/>
              </w:rPr>
            </w:pPr>
            <w:r w:rsidRPr="00A2033A">
              <w:rPr>
                <w:rFonts w:cs="FrankRuehl"/>
                <w:sz w:val="28"/>
                <w:szCs w:val="28"/>
                <w:rtl/>
              </w:rPr>
              <w:t>ת"פ</w:t>
            </w:r>
            <w:r w:rsidRPr="00A2033A">
              <w:rPr>
                <w:rFonts w:cs="FrankRuehl" w:hint="cs"/>
                <w:sz w:val="28"/>
                <w:szCs w:val="28"/>
                <w:rtl/>
              </w:rPr>
              <w:t xml:space="preserve"> </w:t>
            </w:r>
            <w:r w:rsidRPr="00A2033A">
              <w:rPr>
                <w:rFonts w:cs="FrankRuehl"/>
                <w:sz w:val="28"/>
                <w:szCs w:val="28"/>
                <w:rtl/>
              </w:rPr>
              <w:t>31552-11-24</w:t>
            </w:r>
            <w:r w:rsidRPr="00A2033A">
              <w:rPr>
                <w:rFonts w:cs="FrankRuehl" w:hint="cs"/>
                <w:sz w:val="28"/>
                <w:szCs w:val="28"/>
                <w:rtl/>
              </w:rPr>
              <w:t xml:space="preserve"> </w:t>
            </w:r>
            <w:r w:rsidRPr="00A2033A">
              <w:rPr>
                <w:rFonts w:cs="FrankRuehl"/>
                <w:sz w:val="28"/>
                <w:szCs w:val="28"/>
                <w:rtl/>
              </w:rPr>
              <w:t>מדינת ישראל נ' חאדר(עציר)</w:t>
            </w:r>
          </w:p>
          <w:p w14:paraId="34F0BF6D" w14:textId="77777777" w:rsidR="004F5F9C" w:rsidRPr="00A2033A" w:rsidRDefault="004F5F9C" w:rsidP="00703272">
            <w:pPr>
              <w:pStyle w:val="a3"/>
              <w:rPr>
                <w:rFonts w:cs="FrankRuehl"/>
                <w:sz w:val="28"/>
                <w:szCs w:val="28"/>
                <w:rtl/>
              </w:rPr>
            </w:pPr>
          </w:p>
        </w:tc>
        <w:tc>
          <w:tcPr>
            <w:tcW w:w="3663" w:type="dxa"/>
          </w:tcPr>
          <w:p w14:paraId="12EC8B9F" w14:textId="77777777" w:rsidR="004F5F9C" w:rsidRPr="00A2033A" w:rsidRDefault="004F5F9C" w:rsidP="00703272">
            <w:pPr>
              <w:pStyle w:val="a3"/>
              <w:jc w:val="right"/>
              <w:rPr>
                <w:rFonts w:cs="FrankRuehl"/>
                <w:sz w:val="28"/>
                <w:szCs w:val="28"/>
                <w:rtl/>
              </w:rPr>
            </w:pPr>
          </w:p>
        </w:tc>
      </w:tr>
    </w:tbl>
    <w:p w14:paraId="183892C4" w14:textId="77777777" w:rsidR="004F5F9C" w:rsidRPr="00A2033A" w:rsidRDefault="004F5F9C" w:rsidP="00DD20B3">
      <w:pPr>
        <w:pStyle w:val="a3"/>
        <w:rPr>
          <w:rtl/>
        </w:rPr>
      </w:pPr>
      <w:r w:rsidRPr="00A2033A">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F5F9C" w:rsidRPr="00A2033A" w14:paraId="61F92876" w14:textId="77777777" w:rsidTr="004F5F9C">
        <w:trPr>
          <w:trHeight w:val="295"/>
          <w:jc w:val="center"/>
        </w:trPr>
        <w:tc>
          <w:tcPr>
            <w:tcW w:w="923" w:type="dxa"/>
            <w:tcBorders>
              <w:top w:val="nil"/>
              <w:left w:val="nil"/>
              <w:bottom w:val="nil"/>
              <w:right w:val="nil"/>
            </w:tcBorders>
            <w:shd w:val="clear" w:color="auto" w:fill="auto"/>
          </w:tcPr>
          <w:p w14:paraId="4D631556" w14:textId="77777777" w:rsidR="004F5F9C" w:rsidRPr="00A2033A" w:rsidRDefault="004F5F9C" w:rsidP="004F5F9C">
            <w:pPr>
              <w:spacing w:line="360" w:lineRule="auto"/>
              <w:jc w:val="both"/>
              <w:rPr>
                <w:rFonts w:ascii="David" w:hAnsi="David"/>
                <w:sz w:val="26"/>
                <w:szCs w:val="26"/>
              </w:rPr>
            </w:pPr>
            <w:r w:rsidRPr="00A2033A">
              <w:rPr>
                <w:rFonts w:ascii="David" w:hAnsi="David" w:hint="cs"/>
                <w:sz w:val="26"/>
                <w:szCs w:val="26"/>
                <w:rtl/>
              </w:rPr>
              <w:t>ל</w:t>
            </w:r>
            <w:r w:rsidRPr="00A2033A">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D365D8E" w14:textId="77777777" w:rsidR="004F5F9C" w:rsidRPr="00A2033A" w:rsidRDefault="004F5F9C" w:rsidP="004F5F9C">
            <w:pPr>
              <w:spacing w:line="360" w:lineRule="auto"/>
              <w:rPr>
                <w:rFonts w:ascii="David" w:hAnsi="David"/>
                <w:b/>
                <w:bCs/>
                <w:sz w:val="26"/>
                <w:szCs w:val="26"/>
                <w:rtl/>
              </w:rPr>
            </w:pPr>
            <w:r w:rsidRPr="00A2033A">
              <w:rPr>
                <w:rFonts w:ascii="David" w:hAnsi="David"/>
                <w:b/>
                <w:bCs/>
                <w:sz w:val="26"/>
                <w:szCs w:val="26"/>
                <w:rtl/>
              </w:rPr>
              <w:t>כבוד השופטת  מריה פיקוס בוגדאנוב</w:t>
            </w:r>
          </w:p>
          <w:p w14:paraId="59AFFE34" w14:textId="77777777" w:rsidR="004F5F9C" w:rsidRPr="00A2033A" w:rsidRDefault="004F5F9C" w:rsidP="004F5F9C">
            <w:pPr>
              <w:spacing w:line="360" w:lineRule="auto"/>
              <w:rPr>
                <w:rFonts w:ascii="David" w:hAnsi="David"/>
                <w:sz w:val="26"/>
                <w:szCs w:val="26"/>
                <w:rtl/>
              </w:rPr>
            </w:pPr>
          </w:p>
          <w:p w14:paraId="4FB80734" w14:textId="77777777" w:rsidR="004F5F9C" w:rsidRPr="00A2033A" w:rsidRDefault="004F5F9C" w:rsidP="004F5F9C">
            <w:pPr>
              <w:spacing w:line="360" w:lineRule="auto"/>
              <w:jc w:val="both"/>
              <w:rPr>
                <w:rFonts w:ascii="David" w:hAnsi="David"/>
                <w:sz w:val="26"/>
                <w:szCs w:val="26"/>
              </w:rPr>
            </w:pPr>
          </w:p>
        </w:tc>
      </w:tr>
      <w:tr w:rsidR="004F5F9C" w:rsidRPr="00A2033A" w14:paraId="613AD286" w14:textId="77777777" w:rsidTr="004F5F9C">
        <w:trPr>
          <w:trHeight w:val="355"/>
          <w:jc w:val="center"/>
        </w:trPr>
        <w:tc>
          <w:tcPr>
            <w:tcW w:w="923" w:type="dxa"/>
            <w:tcBorders>
              <w:top w:val="nil"/>
              <w:left w:val="nil"/>
              <w:bottom w:val="nil"/>
              <w:right w:val="nil"/>
            </w:tcBorders>
            <w:shd w:val="clear" w:color="auto" w:fill="auto"/>
          </w:tcPr>
          <w:p w14:paraId="2E921727" w14:textId="77777777" w:rsidR="004F5F9C" w:rsidRPr="00A2033A" w:rsidRDefault="004F5F9C" w:rsidP="004F5F9C">
            <w:pPr>
              <w:spacing w:line="360" w:lineRule="auto"/>
              <w:jc w:val="both"/>
              <w:rPr>
                <w:rFonts w:ascii="David" w:hAnsi="David"/>
                <w:sz w:val="26"/>
                <w:szCs w:val="26"/>
              </w:rPr>
            </w:pPr>
            <w:bookmarkStart w:id="1" w:name="FirstAppellant"/>
            <w:r w:rsidRPr="00A2033A">
              <w:rPr>
                <w:rFonts w:ascii="David" w:hAnsi="David"/>
                <w:sz w:val="26"/>
                <w:szCs w:val="26"/>
                <w:rtl/>
              </w:rPr>
              <w:t>בעניין:</w:t>
            </w:r>
          </w:p>
        </w:tc>
        <w:tc>
          <w:tcPr>
            <w:tcW w:w="3219" w:type="dxa"/>
            <w:tcBorders>
              <w:top w:val="nil"/>
              <w:left w:val="nil"/>
              <w:bottom w:val="nil"/>
              <w:right w:val="nil"/>
            </w:tcBorders>
            <w:shd w:val="clear" w:color="auto" w:fill="auto"/>
          </w:tcPr>
          <w:p w14:paraId="358EF64E" w14:textId="77777777" w:rsidR="004F5F9C" w:rsidRPr="00A2033A" w:rsidRDefault="004F5F9C" w:rsidP="004F5F9C">
            <w:pPr>
              <w:suppressLineNumbers/>
              <w:spacing w:line="360" w:lineRule="auto"/>
            </w:pPr>
            <w:r w:rsidRPr="00A2033A">
              <w:rPr>
                <w:rFonts w:ascii="Arial" w:hAnsi="Arial" w:hint="cs"/>
                <w:b/>
                <w:bCs/>
                <w:sz w:val="26"/>
                <w:szCs w:val="26"/>
                <w:rtl/>
              </w:rPr>
              <w:t>ה</w:t>
            </w:r>
            <w:r w:rsidRPr="00A2033A">
              <w:rPr>
                <w:rFonts w:ascii="Arial" w:hAnsi="Arial"/>
                <w:b/>
                <w:bCs/>
                <w:sz w:val="26"/>
                <w:szCs w:val="26"/>
                <w:rtl/>
              </w:rPr>
              <w:t>מאשימה</w:t>
            </w:r>
          </w:p>
          <w:p w14:paraId="488BDE95" w14:textId="77777777" w:rsidR="004F5F9C" w:rsidRPr="00A2033A" w:rsidRDefault="004F5F9C" w:rsidP="004F5F9C">
            <w:pPr>
              <w:spacing w:line="360" w:lineRule="auto"/>
              <w:rPr>
                <w:rFonts w:ascii="David" w:hAnsi="David"/>
                <w:sz w:val="26"/>
                <w:szCs w:val="26"/>
              </w:rPr>
            </w:pPr>
          </w:p>
        </w:tc>
        <w:tc>
          <w:tcPr>
            <w:tcW w:w="4678" w:type="dxa"/>
            <w:tcBorders>
              <w:top w:val="nil"/>
              <w:left w:val="nil"/>
              <w:bottom w:val="nil"/>
              <w:right w:val="nil"/>
            </w:tcBorders>
            <w:shd w:val="clear" w:color="auto" w:fill="auto"/>
            <w:vAlign w:val="center"/>
          </w:tcPr>
          <w:p w14:paraId="38E6E893" w14:textId="77777777" w:rsidR="004F5F9C" w:rsidRPr="00A2033A" w:rsidRDefault="004F5F9C" w:rsidP="004F5F9C">
            <w:pPr>
              <w:suppressLineNumbers/>
              <w:spacing w:line="360" w:lineRule="auto"/>
            </w:pPr>
            <w:r w:rsidRPr="00A2033A">
              <w:rPr>
                <w:rFonts w:ascii="Arial" w:hAnsi="Arial"/>
                <w:b/>
                <w:bCs/>
                <w:sz w:val="26"/>
                <w:szCs w:val="26"/>
                <w:rtl/>
              </w:rPr>
              <w:t>מדינת ישראל</w:t>
            </w:r>
            <w:r w:rsidRPr="00A2033A">
              <w:rPr>
                <w:rFonts w:ascii="Arial" w:hAnsi="Arial" w:hint="cs"/>
                <w:b/>
                <w:bCs/>
                <w:sz w:val="26"/>
                <w:szCs w:val="26"/>
                <w:rtl/>
              </w:rPr>
              <w:t xml:space="preserve"> </w:t>
            </w:r>
          </w:p>
          <w:p w14:paraId="0D751F34" w14:textId="77777777" w:rsidR="004F5F9C" w:rsidRPr="00A2033A" w:rsidRDefault="004F5F9C" w:rsidP="004F5F9C">
            <w:pPr>
              <w:spacing w:line="360" w:lineRule="auto"/>
              <w:rPr>
                <w:rFonts w:ascii="David" w:hAnsi="David"/>
                <w:sz w:val="26"/>
                <w:szCs w:val="26"/>
              </w:rPr>
            </w:pPr>
          </w:p>
        </w:tc>
      </w:tr>
      <w:bookmarkEnd w:id="1"/>
      <w:tr w:rsidR="004F5F9C" w:rsidRPr="00A2033A" w14:paraId="161FDA9B" w14:textId="77777777" w:rsidTr="004F5F9C">
        <w:trPr>
          <w:trHeight w:val="355"/>
          <w:jc w:val="center"/>
        </w:trPr>
        <w:tc>
          <w:tcPr>
            <w:tcW w:w="923" w:type="dxa"/>
            <w:tcBorders>
              <w:top w:val="nil"/>
              <w:left w:val="nil"/>
              <w:bottom w:val="nil"/>
              <w:right w:val="nil"/>
            </w:tcBorders>
            <w:shd w:val="clear" w:color="auto" w:fill="auto"/>
          </w:tcPr>
          <w:p w14:paraId="28AB4735" w14:textId="77777777" w:rsidR="004F5F9C" w:rsidRPr="00A2033A" w:rsidRDefault="004F5F9C" w:rsidP="004F5F9C">
            <w:pPr>
              <w:spacing w:line="360" w:lineRule="auto"/>
              <w:jc w:val="both"/>
              <w:rPr>
                <w:rFonts w:ascii="David" w:hAnsi="David"/>
                <w:sz w:val="26"/>
                <w:szCs w:val="26"/>
                <w:rtl/>
              </w:rPr>
            </w:pPr>
          </w:p>
        </w:tc>
        <w:tc>
          <w:tcPr>
            <w:tcW w:w="7897" w:type="dxa"/>
            <w:gridSpan w:val="2"/>
            <w:tcBorders>
              <w:top w:val="nil"/>
              <w:left w:val="nil"/>
              <w:bottom w:val="nil"/>
              <w:right w:val="nil"/>
            </w:tcBorders>
            <w:shd w:val="clear" w:color="auto" w:fill="auto"/>
          </w:tcPr>
          <w:p w14:paraId="4DD77EA4" w14:textId="77777777" w:rsidR="004F5F9C" w:rsidRPr="00A2033A" w:rsidRDefault="004F5F9C" w:rsidP="004F5F9C">
            <w:pPr>
              <w:spacing w:line="360" w:lineRule="auto"/>
              <w:jc w:val="center"/>
              <w:rPr>
                <w:rFonts w:ascii="David" w:hAnsi="David"/>
                <w:b/>
                <w:bCs/>
                <w:sz w:val="26"/>
                <w:szCs w:val="26"/>
                <w:rtl/>
              </w:rPr>
            </w:pPr>
          </w:p>
          <w:p w14:paraId="5F2230DE" w14:textId="77777777" w:rsidR="004F5F9C" w:rsidRPr="00A2033A" w:rsidRDefault="004F5F9C" w:rsidP="004F5F9C">
            <w:pPr>
              <w:spacing w:line="360" w:lineRule="auto"/>
              <w:jc w:val="center"/>
              <w:rPr>
                <w:rFonts w:ascii="David" w:hAnsi="David"/>
                <w:b/>
                <w:bCs/>
                <w:sz w:val="26"/>
                <w:szCs w:val="26"/>
                <w:rtl/>
              </w:rPr>
            </w:pPr>
            <w:r w:rsidRPr="00A2033A">
              <w:rPr>
                <w:rFonts w:ascii="David" w:hAnsi="David"/>
                <w:b/>
                <w:bCs/>
                <w:sz w:val="26"/>
                <w:szCs w:val="26"/>
                <w:rtl/>
              </w:rPr>
              <w:t>נגד</w:t>
            </w:r>
          </w:p>
          <w:p w14:paraId="3DB9A5F1" w14:textId="77777777" w:rsidR="004F5F9C" w:rsidRPr="00A2033A" w:rsidRDefault="004F5F9C" w:rsidP="004F5F9C">
            <w:pPr>
              <w:spacing w:line="360" w:lineRule="auto"/>
              <w:jc w:val="both"/>
              <w:rPr>
                <w:rFonts w:ascii="David" w:hAnsi="David"/>
                <w:sz w:val="26"/>
                <w:szCs w:val="26"/>
              </w:rPr>
            </w:pPr>
          </w:p>
        </w:tc>
      </w:tr>
      <w:tr w:rsidR="004F5F9C" w:rsidRPr="00A2033A" w14:paraId="160772CD" w14:textId="77777777" w:rsidTr="004F5F9C">
        <w:trPr>
          <w:trHeight w:val="355"/>
          <w:jc w:val="center"/>
        </w:trPr>
        <w:tc>
          <w:tcPr>
            <w:tcW w:w="923" w:type="dxa"/>
            <w:tcBorders>
              <w:top w:val="nil"/>
              <w:left w:val="nil"/>
              <w:bottom w:val="nil"/>
              <w:right w:val="nil"/>
            </w:tcBorders>
            <w:shd w:val="clear" w:color="auto" w:fill="auto"/>
          </w:tcPr>
          <w:p w14:paraId="5F122DCB" w14:textId="77777777" w:rsidR="004F5F9C" w:rsidRPr="00A2033A" w:rsidRDefault="004F5F9C" w:rsidP="004F5F9C">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5773BB82" w14:textId="77777777" w:rsidR="004F5F9C" w:rsidRPr="00A2033A" w:rsidRDefault="004F5F9C" w:rsidP="004F5F9C">
            <w:pPr>
              <w:spacing w:line="360" w:lineRule="auto"/>
              <w:rPr>
                <w:rFonts w:ascii="Arial" w:hAnsi="Arial"/>
                <w:b/>
                <w:bCs/>
                <w:sz w:val="26"/>
                <w:szCs w:val="26"/>
                <w:rtl/>
              </w:rPr>
            </w:pPr>
            <w:r w:rsidRPr="00A2033A">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DED403F" w14:textId="77777777" w:rsidR="004F5F9C" w:rsidRPr="00A2033A" w:rsidRDefault="004F5F9C" w:rsidP="004F5F9C">
            <w:pPr>
              <w:suppressLineNumbers/>
              <w:spacing w:line="360" w:lineRule="auto"/>
            </w:pPr>
            <w:r w:rsidRPr="00A2033A">
              <w:rPr>
                <w:rFonts w:ascii="Arial" w:hAnsi="Arial"/>
                <w:b/>
                <w:bCs/>
                <w:sz w:val="26"/>
                <w:szCs w:val="26"/>
                <w:rtl/>
              </w:rPr>
              <w:t>סאבא חאדר (עציר)</w:t>
            </w:r>
            <w:r w:rsidRPr="00A2033A">
              <w:rPr>
                <w:rFonts w:ascii="Arial" w:hAnsi="Arial" w:hint="cs"/>
                <w:b/>
                <w:bCs/>
                <w:sz w:val="26"/>
                <w:szCs w:val="26"/>
                <w:rtl/>
              </w:rPr>
              <w:t xml:space="preserve"> </w:t>
            </w:r>
          </w:p>
          <w:p w14:paraId="61C67871" w14:textId="77777777" w:rsidR="004F5F9C" w:rsidRPr="00A2033A" w:rsidRDefault="004F5F9C" w:rsidP="004F5F9C">
            <w:pPr>
              <w:spacing w:line="360" w:lineRule="auto"/>
              <w:rPr>
                <w:rFonts w:ascii="David" w:hAnsi="David"/>
                <w:sz w:val="26"/>
                <w:szCs w:val="26"/>
              </w:rPr>
            </w:pPr>
          </w:p>
        </w:tc>
      </w:tr>
    </w:tbl>
    <w:p w14:paraId="36CBDD98" w14:textId="77777777" w:rsidR="00A2033A" w:rsidRPr="00A2033A" w:rsidRDefault="00A2033A" w:rsidP="00A2033A">
      <w:pPr>
        <w:spacing w:before="120" w:after="120" w:line="240" w:lineRule="exact"/>
        <w:ind w:left="283" w:hanging="283"/>
        <w:jc w:val="both"/>
        <w:rPr>
          <w:rFonts w:ascii="FrankRuehl" w:hAnsi="FrankRuehl" w:cs="FrankRuehl"/>
          <w:rtl/>
        </w:rPr>
      </w:pPr>
    </w:p>
    <w:p w14:paraId="4600CFC2" w14:textId="77777777" w:rsidR="00A2033A" w:rsidRPr="00A2033A" w:rsidRDefault="00A2033A" w:rsidP="00A2033A">
      <w:pPr>
        <w:rPr>
          <w:rtl/>
        </w:rPr>
      </w:pPr>
    </w:p>
    <w:p w14:paraId="282F2084" w14:textId="77777777" w:rsidR="00DD20B3" w:rsidRPr="00DD20B3" w:rsidRDefault="00DD20B3" w:rsidP="00DD20B3">
      <w:pPr>
        <w:spacing w:before="120" w:after="120" w:line="240" w:lineRule="exact"/>
        <w:ind w:left="283" w:hanging="283"/>
        <w:jc w:val="both"/>
        <w:rPr>
          <w:rFonts w:ascii="FrankRuehl" w:hAnsi="FrankRuehl" w:cs="FrankRuehl"/>
          <w:rtl/>
        </w:rPr>
      </w:pPr>
      <w:bookmarkStart w:id="2" w:name="LawTable"/>
      <w:bookmarkEnd w:id="2"/>
    </w:p>
    <w:p w14:paraId="32FF3608" w14:textId="77777777" w:rsidR="00DD20B3" w:rsidRPr="00DD20B3" w:rsidRDefault="00DD20B3" w:rsidP="00DD20B3">
      <w:pPr>
        <w:spacing w:before="120" w:after="120" w:line="240" w:lineRule="exact"/>
        <w:ind w:left="283" w:hanging="283"/>
        <w:jc w:val="both"/>
        <w:rPr>
          <w:rFonts w:ascii="FrankRuehl" w:hAnsi="FrankRuehl" w:cs="FrankRuehl"/>
          <w:rtl/>
        </w:rPr>
      </w:pPr>
      <w:r w:rsidRPr="00DD20B3">
        <w:rPr>
          <w:rFonts w:ascii="FrankRuehl" w:hAnsi="FrankRuehl" w:cs="FrankRuehl"/>
          <w:rtl/>
        </w:rPr>
        <w:t xml:space="preserve">חקיקה שאוזכרה: </w:t>
      </w:r>
    </w:p>
    <w:p w14:paraId="03C88EBA" w14:textId="77777777" w:rsidR="00DD20B3" w:rsidRPr="00DD20B3" w:rsidRDefault="00DD20B3" w:rsidP="00DD20B3">
      <w:pPr>
        <w:spacing w:before="120" w:after="120" w:line="240" w:lineRule="exact"/>
        <w:ind w:left="283" w:hanging="283"/>
        <w:jc w:val="both"/>
        <w:rPr>
          <w:rFonts w:ascii="FrankRuehl" w:hAnsi="FrankRuehl" w:cs="FrankRuehl"/>
          <w:color w:val="0000FF"/>
          <w:rtl/>
        </w:rPr>
      </w:pPr>
      <w:hyperlink r:id="rId7" w:history="1">
        <w:r w:rsidRPr="00DD20B3">
          <w:rPr>
            <w:rStyle w:val="Hyperlink"/>
            <w:rFonts w:ascii="FrankRuehl" w:hAnsi="FrankRuehl" w:cs="FrankRuehl"/>
            <w:u w:val="none"/>
            <w:rtl/>
          </w:rPr>
          <w:t>חוק העונשין, תשל"ז-1977</w:t>
        </w:r>
      </w:hyperlink>
      <w:r w:rsidRPr="00DD20B3">
        <w:rPr>
          <w:rFonts w:ascii="FrankRuehl" w:hAnsi="FrankRuehl" w:cs="FrankRuehl"/>
          <w:color w:val="0000FF"/>
          <w:rtl/>
        </w:rPr>
        <w:t xml:space="preserve">: סע'  </w:t>
      </w:r>
      <w:hyperlink r:id="rId8" w:history="1">
        <w:r w:rsidRPr="00DD20B3">
          <w:rPr>
            <w:rStyle w:val="Hyperlink"/>
            <w:rFonts w:ascii="FrankRuehl" w:hAnsi="FrankRuehl" w:cs="FrankRuehl"/>
            <w:u w:val="none"/>
          </w:rPr>
          <w:t>29</w:t>
        </w:r>
      </w:hyperlink>
      <w:r w:rsidRPr="00DD20B3">
        <w:rPr>
          <w:rFonts w:ascii="FrankRuehl" w:hAnsi="FrankRuehl" w:cs="FrankRuehl"/>
          <w:color w:val="0000FF"/>
          <w:rtl/>
        </w:rPr>
        <w:t xml:space="preserve">, </w:t>
      </w:r>
      <w:hyperlink r:id="rId9" w:history="1">
        <w:r w:rsidRPr="00DD20B3">
          <w:rPr>
            <w:rStyle w:val="Hyperlink"/>
            <w:rFonts w:ascii="FrankRuehl" w:hAnsi="FrankRuehl" w:cs="FrankRuehl"/>
            <w:u w:val="none"/>
          </w:rPr>
          <w:t>40</w:t>
        </w:r>
        <w:r w:rsidRPr="00DD20B3">
          <w:rPr>
            <w:rStyle w:val="Hyperlink"/>
            <w:rFonts w:ascii="FrankRuehl" w:hAnsi="FrankRuehl" w:cs="FrankRuehl"/>
            <w:u w:val="none"/>
            <w:rtl/>
          </w:rPr>
          <w:t>ג</w:t>
        </w:r>
      </w:hyperlink>
      <w:r w:rsidRPr="00DD20B3">
        <w:rPr>
          <w:rFonts w:ascii="FrankRuehl" w:hAnsi="FrankRuehl" w:cs="FrankRuehl"/>
          <w:color w:val="0000FF"/>
          <w:rtl/>
        </w:rPr>
        <w:t xml:space="preserve">(א), </w:t>
      </w:r>
      <w:hyperlink r:id="rId10" w:history="1">
        <w:r w:rsidRPr="00DD20B3">
          <w:rPr>
            <w:rStyle w:val="Hyperlink"/>
            <w:rFonts w:ascii="FrankRuehl" w:hAnsi="FrankRuehl" w:cs="FrankRuehl"/>
            <w:u w:val="none"/>
          </w:rPr>
          <w:t>144</w:t>
        </w:r>
      </w:hyperlink>
      <w:r w:rsidRPr="00DD20B3">
        <w:rPr>
          <w:rFonts w:ascii="FrankRuehl" w:hAnsi="FrankRuehl" w:cs="FrankRuehl"/>
          <w:color w:val="0000FF"/>
          <w:rtl/>
        </w:rPr>
        <w:t xml:space="preserve">(א), </w:t>
      </w:r>
      <w:hyperlink r:id="rId11" w:history="1">
        <w:r w:rsidRPr="00DD20B3">
          <w:rPr>
            <w:rStyle w:val="Hyperlink"/>
            <w:rFonts w:ascii="FrankRuehl" w:hAnsi="FrankRuehl" w:cs="FrankRuehl"/>
            <w:u w:val="none"/>
          </w:rPr>
          <w:t>144</w:t>
        </w:r>
      </w:hyperlink>
      <w:r w:rsidRPr="00DD20B3">
        <w:rPr>
          <w:rFonts w:ascii="FrankRuehl" w:hAnsi="FrankRuehl" w:cs="FrankRuehl"/>
          <w:color w:val="0000FF"/>
          <w:rtl/>
        </w:rPr>
        <w:t>(ז)</w:t>
      </w:r>
    </w:p>
    <w:p w14:paraId="4018236D" w14:textId="77777777" w:rsidR="00A2033A" w:rsidRPr="00DD20B3" w:rsidRDefault="00A2033A" w:rsidP="00DD20B3">
      <w:bookmarkStart w:id="3" w:name="LawTable_End"/>
      <w:bookmarkEnd w:id="3"/>
    </w:p>
    <w:p w14:paraId="7913ECBA" w14:textId="77777777" w:rsidR="00DD20B3" w:rsidRPr="00A2033A" w:rsidRDefault="00DD20B3" w:rsidP="00A2033A">
      <w:pPr>
        <w:spacing w:before="240" w:after="240"/>
        <w:jc w:val="center"/>
        <w:rPr>
          <w:rFonts w:ascii="David" w:hAnsi="David"/>
          <w:b/>
          <w:bCs/>
          <w:sz w:val="32"/>
          <w:szCs w:val="32"/>
          <w:u w:val="single"/>
          <w:rtl/>
        </w:rPr>
      </w:pPr>
      <w:bookmarkStart w:id="4" w:name="PsakDin" w:colFirst="0" w:colLast="0"/>
      <w:bookmarkEnd w:id="0"/>
      <w:r w:rsidRPr="00A2033A">
        <w:rPr>
          <w:rFonts w:ascii="David" w:hAnsi="David"/>
          <w:b/>
          <w:bCs/>
          <w:sz w:val="32"/>
          <w:szCs w:val="32"/>
          <w:u w:val="single"/>
          <w:rtl/>
        </w:rPr>
        <w:t>גזר דין</w:t>
      </w:r>
    </w:p>
    <w:p w14:paraId="0C6D9D80" w14:textId="77777777" w:rsidR="00DD20B3" w:rsidRPr="00A2033A" w:rsidRDefault="00DD20B3" w:rsidP="00A2033A">
      <w:pPr>
        <w:spacing w:before="240" w:after="240"/>
        <w:jc w:val="center"/>
        <w:rPr>
          <w:rFonts w:ascii="David" w:hAnsi="David"/>
          <w:bCs/>
          <w:sz w:val="32"/>
          <w:szCs w:val="32"/>
          <w:u w:val="single"/>
          <w:rtl/>
        </w:rPr>
      </w:pPr>
    </w:p>
    <w:p w14:paraId="643FE9C6" w14:textId="77777777" w:rsidR="004F5F9C" w:rsidRDefault="004F5F9C" w:rsidP="004F5F9C">
      <w:pPr>
        <w:spacing w:before="240" w:after="240" w:line="360" w:lineRule="auto"/>
        <w:jc w:val="both"/>
        <w:rPr>
          <w:rFonts w:ascii="Arial" w:hAnsi="Arial"/>
          <w:rtl/>
        </w:rPr>
      </w:pPr>
      <w:bookmarkStart w:id="5" w:name="ABSTRACT_START"/>
      <w:bookmarkEnd w:id="4"/>
      <w:bookmarkEnd w:id="5"/>
      <w:r>
        <w:rPr>
          <w:rFonts w:ascii="Arial" w:hAnsi="Arial" w:hint="cs"/>
          <w:rtl/>
        </w:rPr>
        <w:t xml:space="preserve">הנאשם הודה בעובדות כתב האישום והורשע בביצוע עבירות  של החזקת נשק שלא כדין בניגוד </w:t>
      </w:r>
      <w:hyperlink r:id="rId12" w:history="1">
        <w:r w:rsidR="00DD20B3" w:rsidRPr="00DD20B3">
          <w:rPr>
            <w:rStyle w:val="Hyperlink"/>
            <w:rFonts w:ascii="Arial" w:hAnsi="Arial" w:hint="eastAsia"/>
            <w:rtl/>
          </w:rPr>
          <w:t>לסעיף</w:t>
        </w:r>
        <w:r w:rsidR="00DD20B3" w:rsidRPr="00DD20B3">
          <w:rPr>
            <w:rStyle w:val="Hyperlink"/>
            <w:rFonts w:ascii="Arial" w:hAnsi="Arial"/>
            <w:rtl/>
          </w:rPr>
          <w:t xml:space="preserve"> 144(א)</w:t>
        </w:r>
      </w:hyperlink>
      <w:r>
        <w:rPr>
          <w:rFonts w:ascii="Arial" w:hAnsi="Arial" w:hint="cs"/>
          <w:rtl/>
        </w:rPr>
        <w:t xml:space="preserve"> ל</w:t>
      </w:r>
      <w:hyperlink r:id="rId13" w:history="1">
        <w:r w:rsidR="00A2033A" w:rsidRPr="00A2033A">
          <w:rPr>
            <w:rFonts w:ascii="Arial" w:hAnsi="Arial"/>
            <w:color w:val="0000FF"/>
            <w:u w:val="single"/>
            <w:rtl/>
          </w:rPr>
          <w:t>חוק העונשין</w:t>
        </w:r>
      </w:hyperlink>
      <w:r>
        <w:rPr>
          <w:rFonts w:ascii="Arial" w:hAnsi="Arial" w:hint="cs"/>
          <w:rtl/>
        </w:rPr>
        <w:t xml:space="preserve"> תשל"ז-1977 (להלן:</w:t>
      </w:r>
      <w:r>
        <w:rPr>
          <w:rFonts w:ascii="Arial" w:hAnsi="Arial" w:hint="cs"/>
        </w:rPr>
        <w:t xml:space="preserve"> </w:t>
      </w:r>
      <w:r>
        <w:rPr>
          <w:rFonts w:ascii="Arial" w:hAnsi="Arial" w:hint="cs"/>
          <w:rtl/>
        </w:rPr>
        <w:t>"</w:t>
      </w:r>
      <w:r w:rsidRPr="00461DE4">
        <w:rPr>
          <w:rFonts w:ascii="Arial" w:hAnsi="Arial" w:hint="cs"/>
          <w:b/>
          <w:bCs/>
          <w:rtl/>
        </w:rPr>
        <w:t>חוק העונשין</w:t>
      </w:r>
      <w:r>
        <w:rPr>
          <w:rFonts w:ascii="Arial" w:hAnsi="Arial" w:hint="cs"/>
          <w:rtl/>
        </w:rPr>
        <w:t xml:space="preserve">") והחזקת חלקי נשק ותחמושת בניגוד </w:t>
      </w:r>
      <w:hyperlink r:id="rId14" w:history="1">
        <w:r w:rsidR="00DD20B3" w:rsidRPr="00DD20B3">
          <w:rPr>
            <w:rStyle w:val="Hyperlink"/>
            <w:rFonts w:ascii="Arial" w:hAnsi="Arial" w:hint="eastAsia"/>
            <w:rtl/>
          </w:rPr>
          <w:t>לסעיף</w:t>
        </w:r>
        <w:r w:rsidR="00DD20B3" w:rsidRPr="00DD20B3">
          <w:rPr>
            <w:rStyle w:val="Hyperlink"/>
            <w:rFonts w:ascii="Arial" w:hAnsi="Arial"/>
            <w:rtl/>
          </w:rPr>
          <w:t xml:space="preserve"> 144(א)</w:t>
        </w:r>
      </w:hyperlink>
      <w:r>
        <w:rPr>
          <w:rFonts w:ascii="Arial" w:hAnsi="Arial" w:hint="cs"/>
          <w:rtl/>
        </w:rPr>
        <w:t xml:space="preserve"> לחוק העונשין.</w:t>
      </w:r>
    </w:p>
    <w:p w14:paraId="02F84C91" w14:textId="77777777" w:rsidR="004F5F9C" w:rsidRPr="000547F1" w:rsidRDefault="004F5F9C" w:rsidP="004F5F9C">
      <w:pPr>
        <w:spacing w:before="240" w:after="240"/>
        <w:rPr>
          <w:rFonts w:ascii="Arial" w:hAnsi="Arial"/>
          <w:b/>
          <w:bCs/>
          <w:rtl/>
        </w:rPr>
      </w:pPr>
      <w:bookmarkStart w:id="6" w:name="ABSTRACT_END"/>
      <w:bookmarkEnd w:id="6"/>
      <w:r w:rsidRPr="000547F1">
        <w:rPr>
          <w:rFonts w:ascii="Arial" w:hAnsi="Arial" w:hint="cs"/>
          <w:b/>
          <w:bCs/>
          <w:rtl/>
        </w:rPr>
        <w:t>עובדות כתב האישום</w:t>
      </w:r>
      <w:r>
        <w:rPr>
          <w:rFonts w:ascii="Arial" w:hAnsi="Arial" w:hint="cs"/>
          <w:b/>
          <w:bCs/>
          <w:rtl/>
        </w:rPr>
        <w:t xml:space="preserve"> בתמצית</w:t>
      </w:r>
      <w:r w:rsidRPr="000547F1">
        <w:rPr>
          <w:rFonts w:ascii="Arial" w:hAnsi="Arial" w:hint="cs"/>
          <w:b/>
          <w:bCs/>
          <w:rtl/>
        </w:rPr>
        <w:t>:</w:t>
      </w:r>
    </w:p>
    <w:p w14:paraId="0A9DFEEA" w14:textId="77777777" w:rsidR="004F5F9C" w:rsidRDefault="004F5F9C" w:rsidP="004F5F9C">
      <w:pPr>
        <w:spacing w:before="240" w:after="240" w:line="360" w:lineRule="auto"/>
        <w:jc w:val="both"/>
        <w:rPr>
          <w:rFonts w:ascii="Arial" w:hAnsi="Arial"/>
          <w:rtl/>
        </w:rPr>
      </w:pPr>
      <w:r>
        <w:rPr>
          <w:rFonts w:ascii="Arial" w:hAnsi="Arial" w:hint="cs"/>
          <w:rtl/>
        </w:rPr>
        <w:t>במועדים הרלוונטיים לכתב האישום, התגורר הנאשם בבית הוריו בחיפה ברח' ראהבת (להלן: "</w:t>
      </w:r>
      <w:r w:rsidRPr="003235E7">
        <w:rPr>
          <w:rFonts w:ascii="Arial" w:hAnsi="Arial" w:hint="cs"/>
          <w:b/>
          <w:bCs/>
          <w:rtl/>
        </w:rPr>
        <w:t>הבית</w:t>
      </w:r>
      <w:r>
        <w:rPr>
          <w:rFonts w:ascii="Arial" w:hAnsi="Arial" w:hint="cs"/>
          <w:rtl/>
        </w:rPr>
        <w:t xml:space="preserve">"). </w:t>
      </w:r>
    </w:p>
    <w:p w14:paraId="6A491F3D" w14:textId="77777777" w:rsidR="004F5F9C" w:rsidRPr="003235E7" w:rsidRDefault="004F5F9C" w:rsidP="004F5F9C">
      <w:pPr>
        <w:spacing w:before="240" w:after="240" w:line="360" w:lineRule="auto"/>
        <w:jc w:val="both"/>
        <w:rPr>
          <w:rFonts w:ascii="Arial" w:hAnsi="Arial"/>
          <w:rtl/>
        </w:rPr>
      </w:pPr>
      <w:r>
        <w:rPr>
          <w:rFonts w:ascii="Arial" w:hAnsi="Arial" w:hint="cs"/>
          <w:rtl/>
        </w:rPr>
        <w:t xml:space="preserve">בתאריך 27.10.24, סמוך לשעה 12:20 בוצע בבית חיפוש משטרתי כדין. על גג הבית בו מתגורר הנאשם, בתוך כספת נמצא כי הנאשם החזיק, אקדח חצי אוטומטי,  </w:t>
      </w:r>
      <w:r w:rsidRPr="003235E7">
        <w:rPr>
          <w:rFonts w:ascii="Arial" w:hAnsi="Arial" w:hint="cs"/>
          <w:rtl/>
        </w:rPr>
        <w:t xml:space="preserve">קליבר 9 מ"מ פאראבלום, </w:t>
      </w:r>
      <w:r>
        <w:rPr>
          <w:rFonts w:ascii="Arial" w:hAnsi="Arial" w:hint="cs"/>
          <w:rtl/>
        </w:rPr>
        <w:t xml:space="preserve">אשר עטוף בבד. האקדח הוא </w:t>
      </w:r>
      <w:r w:rsidRPr="003235E7">
        <w:rPr>
          <w:rFonts w:ascii="Arial" w:hAnsi="Arial" w:hint="cs"/>
          <w:rtl/>
        </w:rPr>
        <w:t>כלי</w:t>
      </w:r>
      <w:r>
        <w:rPr>
          <w:rFonts w:ascii="Arial" w:hAnsi="Arial" w:hint="cs"/>
          <w:rtl/>
        </w:rPr>
        <w:t xml:space="preserve"> נשק</w:t>
      </w:r>
      <w:r w:rsidRPr="003235E7">
        <w:rPr>
          <w:rFonts w:ascii="Arial" w:hAnsi="Arial" w:hint="cs"/>
          <w:rtl/>
        </w:rPr>
        <w:t xml:space="preserve"> </w:t>
      </w:r>
      <w:r>
        <w:rPr>
          <w:rFonts w:ascii="Arial" w:hAnsi="Arial" w:hint="cs"/>
          <w:rtl/>
        </w:rPr>
        <w:t>ש</w:t>
      </w:r>
      <w:r w:rsidRPr="003235E7">
        <w:rPr>
          <w:rFonts w:ascii="Arial" w:hAnsi="Arial" w:hint="cs"/>
          <w:rtl/>
        </w:rPr>
        <w:t>סו</w:t>
      </w:r>
      <w:r>
        <w:rPr>
          <w:rFonts w:ascii="Arial" w:hAnsi="Arial" w:hint="cs"/>
          <w:rtl/>
        </w:rPr>
        <w:t xml:space="preserve">גל לירות כדור ושבכוחו להמית אדם. לצד האקדח נמצאה </w:t>
      </w:r>
      <w:r w:rsidRPr="003235E7">
        <w:rPr>
          <w:rFonts w:ascii="Arial" w:hAnsi="Arial" w:hint="cs"/>
          <w:rtl/>
        </w:rPr>
        <w:lastRenderedPageBreak/>
        <w:t>מחסנית עטופה בניילון כחול נצמד, תואמת לנשק וכן 86 כדורים שהם תחמושת מסוג 9 מ"מ התואמים לנשק.</w:t>
      </w:r>
    </w:p>
    <w:p w14:paraId="12405BE4" w14:textId="77777777" w:rsidR="004F5F9C" w:rsidRPr="003235E7" w:rsidRDefault="004F5F9C" w:rsidP="004F5F9C">
      <w:pPr>
        <w:spacing w:before="240" w:after="240" w:line="360" w:lineRule="auto"/>
        <w:jc w:val="both"/>
        <w:rPr>
          <w:rFonts w:ascii="Arial" w:hAnsi="Arial"/>
          <w:rtl/>
        </w:rPr>
      </w:pPr>
      <w:r>
        <w:rPr>
          <w:rFonts w:ascii="Arial" w:hAnsi="Arial" w:hint="cs"/>
          <w:rtl/>
        </w:rPr>
        <w:t xml:space="preserve"> </w:t>
      </w:r>
    </w:p>
    <w:p w14:paraId="4A12043B" w14:textId="77777777" w:rsidR="004F5F9C" w:rsidRPr="000F2247" w:rsidRDefault="004F5F9C" w:rsidP="004F5F9C">
      <w:pPr>
        <w:spacing w:before="240" w:after="240"/>
        <w:rPr>
          <w:rFonts w:ascii="Arial" w:hAnsi="Arial"/>
          <w:b/>
          <w:bCs/>
          <w:sz w:val="26"/>
          <w:szCs w:val="26"/>
          <w:rtl/>
        </w:rPr>
      </w:pPr>
    </w:p>
    <w:p w14:paraId="3039336F" w14:textId="77777777" w:rsidR="004F5F9C" w:rsidRDefault="004F5F9C" w:rsidP="004F5F9C">
      <w:pPr>
        <w:spacing w:before="240" w:after="240" w:line="360" w:lineRule="auto"/>
        <w:jc w:val="both"/>
        <w:rPr>
          <w:rFonts w:ascii="Arial" w:hAnsi="Arial"/>
          <w:b/>
          <w:bCs/>
          <w:rtl/>
        </w:rPr>
      </w:pPr>
    </w:p>
    <w:p w14:paraId="1D7707A9" w14:textId="77777777" w:rsidR="004F5F9C" w:rsidRDefault="004F5F9C" w:rsidP="004F5F9C">
      <w:pPr>
        <w:spacing w:before="240" w:after="240" w:line="360" w:lineRule="auto"/>
        <w:jc w:val="both"/>
        <w:rPr>
          <w:rFonts w:ascii="Arial" w:hAnsi="Arial"/>
          <w:b/>
          <w:bCs/>
          <w:rtl/>
        </w:rPr>
      </w:pPr>
      <w:r>
        <w:rPr>
          <w:rFonts w:ascii="Arial" w:hAnsi="Arial" w:hint="cs"/>
          <w:b/>
          <w:bCs/>
          <w:rtl/>
        </w:rPr>
        <w:t>ראיות לעונש:</w:t>
      </w:r>
    </w:p>
    <w:p w14:paraId="7A6DAC2B" w14:textId="77777777" w:rsidR="004F5F9C" w:rsidRPr="000547F1" w:rsidRDefault="004F5F9C" w:rsidP="004F5F9C">
      <w:pPr>
        <w:spacing w:before="240" w:after="240" w:line="360" w:lineRule="auto"/>
        <w:jc w:val="both"/>
        <w:rPr>
          <w:rFonts w:ascii="Arial" w:hAnsi="Arial"/>
          <w:rtl/>
        </w:rPr>
      </w:pPr>
      <w:r w:rsidRPr="000547F1">
        <w:rPr>
          <w:rFonts w:ascii="Arial" w:hAnsi="Arial" w:hint="cs"/>
          <w:rtl/>
        </w:rPr>
        <w:t xml:space="preserve">מטעם הנאשם העידה אמו ואמרה כי הנאשם הוא בן יחיד אשר דואג להוריו החולים ולאחיותיו, הוא עובד בשתי עבודות ואין לו סכסוכים.  </w:t>
      </w:r>
    </w:p>
    <w:p w14:paraId="5C72DC4A" w14:textId="77777777" w:rsidR="004F5F9C" w:rsidRDefault="004F5F9C" w:rsidP="004F5F9C">
      <w:pPr>
        <w:spacing w:before="240" w:after="240" w:line="360" w:lineRule="auto"/>
        <w:jc w:val="both"/>
        <w:rPr>
          <w:rFonts w:ascii="Arial" w:hAnsi="Arial"/>
          <w:b/>
          <w:bCs/>
          <w:rtl/>
        </w:rPr>
      </w:pPr>
      <w:r w:rsidRPr="000547F1">
        <w:rPr>
          <w:rFonts w:ascii="Arial" w:hAnsi="Arial" w:hint="cs"/>
          <w:b/>
          <w:bCs/>
          <w:rtl/>
        </w:rPr>
        <w:t>טיעוני הצדדים:</w:t>
      </w:r>
    </w:p>
    <w:p w14:paraId="3D79E7A9" w14:textId="77777777" w:rsidR="004F5F9C" w:rsidRDefault="004F5F9C" w:rsidP="004F5F9C">
      <w:pPr>
        <w:spacing w:before="240" w:after="240" w:line="360" w:lineRule="auto"/>
        <w:jc w:val="both"/>
        <w:rPr>
          <w:rFonts w:ascii="Arial" w:hAnsi="Arial"/>
          <w:rtl/>
        </w:rPr>
      </w:pPr>
      <w:r w:rsidRPr="000547F1">
        <w:rPr>
          <w:rFonts w:ascii="Arial" w:hAnsi="Arial" w:hint="cs"/>
          <w:b/>
          <w:bCs/>
          <w:rtl/>
        </w:rPr>
        <w:t>המאשימה</w:t>
      </w:r>
      <w:r w:rsidRPr="000547F1">
        <w:rPr>
          <w:rFonts w:ascii="Arial" w:hAnsi="Arial" w:hint="cs"/>
          <w:rtl/>
        </w:rPr>
        <w:t xml:space="preserve"> טענה בטיעוניה בכתב (טע/1) ובעל פה</w:t>
      </w:r>
      <w:r>
        <w:rPr>
          <w:rFonts w:ascii="Arial" w:hAnsi="Arial" w:hint="cs"/>
          <w:rtl/>
        </w:rPr>
        <w:t>,</w:t>
      </w:r>
      <w:r w:rsidRPr="000547F1">
        <w:rPr>
          <w:rFonts w:ascii="Arial" w:hAnsi="Arial" w:hint="cs"/>
          <w:rtl/>
        </w:rPr>
        <w:t xml:space="preserve"> כי הנאשם במעשיו פגע בערכים של הגנה על חיי אדם, הגנה על שלום חייו, גופו ובטחונו של הציבור. המאשימה הפנתה להנחיית פרקליט המדינה 9.16 אשר תוקנה לאחרונה כך שהוחמר רף הענישה בעבי</w:t>
      </w:r>
      <w:r>
        <w:rPr>
          <w:rFonts w:ascii="Arial" w:hAnsi="Arial" w:hint="cs"/>
          <w:rtl/>
        </w:rPr>
        <w:t>רות הנשק השונות ולפסיקה וטענה</w:t>
      </w:r>
      <w:r w:rsidRPr="000547F1">
        <w:rPr>
          <w:rFonts w:ascii="Arial" w:hAnsi="Arial" w:hint="cs"/>
          <w:rtl/>
        </w:rPr>
        <w:t xml:space="preserve"> </w:t>
      </w:r>
      <w:r>
        <w:rPr>
          <w:rFonts w:ascii="Arial" w:hAnsi="Arial" w:hint="cs"/>
          <w:rtl/>
        </w:rPr>
        <w:t xml:space="preserve">כי </w:t>
      </w:r>
      <w:r w:rsidRPr="000547F1">
        <w:rPr>
          <w:rFonts w:ascii="Arial" w:hAnsi="Arial" w:hint="cs"/>
          <w:rtl/>
        </w:rPr>
        <w:t>מתחם העונש ההולם נע בין 20 ל-36 חודשי מאסר בפועל.</w:t>
      </w:r>
      <w:r>
        <w:rPr>
          <w:rFonts w:ascii="Arial" w:hAnsi="Arial" w:hint="cs"/>
          <w:rtl/>
        </w:rPr>
        <w:t xml:space="preserve"> המאשימה הדגישה את תיקון החוק אשר קבע עונשי מינימום בעבירות בנשק. </w:t>
      </w:r>
    </w:p>
    <w:p w14:paraId="08B92400" w14:textId="77777777" w:rsidR="004F5F9C" w:rsidRPr="000547F1" w:rsidRDefault="004F5F9C" w:rsidP="004F5F9C">
      <w:pPr>
        <w:spacing w:before="240" w:after="240" w:line="360" w:lineRule="auto"/>
        <w:jc w:val="both"/>
        <w:rPr>
          <w:rFonts w:ascii="Arial" w:hAnsi="Arial"/>
          <w:rtl/>
        </w:rPr>
      </w:pPr>
      <w:r w:rsidRPr="000547F1">
        <w:rPr>
          <w:rFonts w:ascii="Arial" w:hAnsi="Arial" w:hint="cs"/>
          <w:rtl/>
        </w:rPr>
        <w:t>מאחר והנאשם ללא עבר פלילי</w:t>
      </w:r>
      <w:r>
        <w:rPr>
          <w:rFonts w:ascii="Arial" w:hAnsi="Arial" w:hint="cs"/>
          <w:rtl/>
        </w:rPr>
        <w:t>,</w:t>
      </w:r>
      <w:r w:rsidRPr="000547F1">
        <w:rPr>
          <w:rFonts w:ascii="Arial" w:hAnsi="Arial" w:hint="cs"/>
          <w:rtl/>
        </w:rPr>
        <w:t xml:space="preserve"> עתרה המאשימה להטיל על הנאשם עונש מאסר בפועל ברף התחתון של המתחם לו עתרה בצירוף מאסר על תנאי, קנס והתחייבות. </w:t>
      </w:r>
    </w:p>
    <w:p w14:paraId="41A6D32A" w14:textId="77777777" w:rsidR="004F5F9C" w:rsidRDefault="004F5F9C" w:rsidP="004F5F9C">
      <w:pPr>
        <w:spacing w:before="240" w:after="240" w:line="360" w:lineRule="auto"/>
        <w:jc w:val="both"/>
        <w:rPr>
          <w:rFonts w:ascii="Arial" w:hAnsi="Arial"/>
          <w:rtl/>
        </w:rPr>
      </w:pPr>
      <w:r>
        <w:rPr>
          <w:rFonts w:ascii="Arial" w:hAnsi="Arial" w:hint="cs"/>
          <w:rtl/>
        </w:rPr>
        <w:t xml:space="preserve">ב"כ הנאשם חלק על מתחם העונש ההולם לו עתרה המאשימה וטען כי מתחם העונש ההולם בגין החזקת אקדח ותחמושת, מתחיל מ-10 חודשי מאסר ועד ל-12 חודשי מאסר בפועל. ב"כ הנאשם הדגיש, כי הגם שנקבע עונש מינימום בעבירות בנשק, עונש זה יכול לכלול גם עונש מאסר על תנאי. </w:t>
      </w:r>
    </w:p>
    <w:p w14:paraId="37FFD0D1" w14:textId="77777777" w:rsidR="004F5F9C" w:rsidRDefault="004F5F9C" w:rsidP="004F5F9C">
      <w:pPr>
        <w:spacing w:before="240" w:after="240" w:line="360" w:lineRule="auto"/>
        <w:jc w:val="both"/>
        <w:rPr>
          <w:rFonts w:ascii="Arial" w:hAnsi="Arial"/>
          <w:rtl/>
        </w:rPr>
      </w:pPr>
      <w:r>
        <w:rPr>
          <w:rFonts w:ascii="Arial" w:hAnsi="Arial" w:hint="cs"/>
          <w:rtl/>
        </w:rPr>
        <w:t xml:space="preserve">באשר לעונשו של הנאשם, בתוך מתחם הענש ההולם, ב"כ הנאשם הדגיש כי לחובתו של הנאשם אין הרשעות קודמות, כי הנאשם  עצור עד תום ההליכים והמעצר חידד עבורו את גבולות המותר והאסור. עוד נטען, כי יש להתחשב בכך שהנאשם הודה במסגרת הליך מוקד, נטל אחריות על מעשיו והביע חרטה. כמו גם ביקש ב"כ הנאשם להתחשב בעובדה כי הנאשם אמון על פרנסת המשפחה ותומך כלכלית בהוריו. </w:t>
      </w:r>
    </w:p>
    <w:p w14:paraId="6BFAC49B" w14:textId="77777777" w:rsidR="004F5F9C" w:rsidRDefault="004F5F9C" w:rsidP="004F5F9C">
      <w:pPr>
        <w:spacing w:before="240" w:after="240" w:line="360" w:lineRule="auto"/>
        <w:jc w:val="both"/>
        <w:rPr>
          <w:rFonts w:ascii="Arial" w:hAnsi="Arial"/>
          <w:b/>
          <w:bCs/>
          <w:rtl/>
        </w:rPr>
      </w:pPr>
      <w:r w:rsidRPr="000547F1">
        <w:rPr>
          <w:rFonts w:ascii="Arial" w:hAnsi="Arial" w:hint="cs"/>
          <w:b/>
          <w:bCs/>
          <w:rtl/>
        </w:rPr>
        <w:t>דברי הנאשם:</w:t>
      </w:r>
    </w:p>
    <w:p w14:paraId="0E55509E" w14:textId="77777777" w:rsidR="004F5F9C" w:rsidRPr="00E56933" w:rsidRDefault="004F5F9C" w:rsidP="004F5F9C">
      <w:pPr>
        <w:spacing w:before="240" w:after="240" w:line="360" w:lineRule="auto"/>
        <w:jc w:val="both"/>
        <w:rPr>
          <w:rFonts w:ascii="Arial" w:hAnsi="Arial"/>
          <w:rtl/>
        </w:rPr>
      </w:pPr>
      <w:r w:rsidRPr="00E56933">
        <w:rPr>
          <w:rFonts w:ascii="Arial" w:hAnsi="Arial" w:hint="cs"/>
          <w:rtl/>
        </w:rPr>
        <w:t xml:space="preserve">הנאשם הצטער על מעשיו, ואמר כי הוא מפרנס את המשפחה ורוצה לחזור לביתו. </w:t>
      </w:r>
    </w:p>
    <w:p w14:paraId="7A027CDC" w14:textId="77777777" w:rsidR="004F5F9C" w:rsidRPr="00E56933" w:rsidRDefault="004F5F9C" w:rsidP="004F5F9C">
      <w:pPr>
        <w:spacing w:before="240" w:after="240" w:line="360" w:lineRule="auto"/>
        <w:jc w:val="both"/>
        <w:rPr>
          <w:rFonts w:ascii="Arial" w:hAnsi="Arial"/>
          <w:b/>
          <w:bCs/>
          <w:rtl/>
        </w:rPr>
      </w:pPr>
      <w:r w:rsidRPr="00E56933">
        <w:rPr>
          <w:rFonts w:ascii="Arial" w:hAnsi="Arial" w:hint="cs"/>
          <w:b/>
          <w:bCs/>
          <w:rtl/>
        </w:rPr>
        <w:t>דיון והכרעה:</w:t>
      </w:r>
    </w:p>
    <w:p w14:paraId="4C7CFE5B" w14:textId="77777777" w:rsidR="004F5F9C" w:rsidRPr="004F5F9C" w:rsidRDefault="004F5F9C" w:rsidP="004F5F9C">
      <w:pPr>
        <w:spacing w:before="240" w:after="240" w:line="360" w:lineRule="auto"/>
        <w:jc w:val="both"/>
        <w:rPr>
          <w:rFonts w:ascii="Calibri" w:eastAsia="Calibri" w:hAnsi="Calibri"/>
        </w:rPr>
      </w:pPr>
      <w:r w:rsidRPr="004F5F9C">
        <w:rPr>
          <w:rFonts w:ascii="Calibri" w:eastAsia="Calibri" w:hAnsi="Calibri"/>
          <w:rtl/>
        </w:rPr>
        <w:lastRenderedPageBreak/>
        <w:t>בית המשפט קובע את מתחם העונש ההולם בהתאם לעיקרון ההלימה, שביישומו על בית המשפט להתחשב בערך החברתי שנפגע מביצוע העבירה, במדיניות הענישה הנהוגה ובנסיבות הקשורות בביצוע העבירה (</w:t>
      </w:r>
      <w:hyperlink r:id="rId15" w:history="1">
        <w:r w:rsidR="00A2033A" w:rsidRPr="00A2033A">
          <w:rPr>
            <w:rFonts w:ascii="Calibri" w:eastAsia="Calibri" w:hAnsi="Calibri" w:hint="cs"/>
            <w:color w:val="0000FF"/>
            <w:u w:val="single"/>
            <w:rtl/>
          </w:rPr>
          <w:t>ע</w:t>
        </w:r>
        <w:r w:rsidR="00A2033A" w:rsidRPr="00A2033A">
          <w:rPr>
            <w:rFonts w:ascii="Calibri" w:eastAsia="Calibri" w:hAnsi="Calibri"/>
            <w:color w:val="0000FF"/>
            <w:u w:val="single"/>
            <w:rtl/>
          </w:rPr>
          <w:t>"</w:t>
        </w:r>
        <w:r w:rsidR="00A2033A" w:rsidRPr="00A2033A">
          <w:rPr>
            <w:rFonts w:ascii="Calibri" w:eastAsia="Calibri" w:hAnsi="Calibri" w:hint="cs"/>
            <w:color w:val="0000FF"/>
            <w:u w:val="single"/>
            <w:rtl/>
          </w:rPr>
          <w:t>פ</w:t>
        </w:r>
        <w:r w:rsidR="00A2033A" w:rsidRPr="00A2033A">
          <w:rPr>
            <w:rFonts w:ascii="Calibri" w:eastAsia="Calibri" w:hAnsi="Calibri"/>
            <w:color w:val="0000FF"/>
            <w:u w:val="single"/>
            <w:rtl/>
          </w:rPr>
          <w:t xml:space="preserve"> 8641/12</w:t>
        </w:r>
      </w:hyperlink>
      <w:r w:rsidRPr="004F5F9C">
        <w:rPr>
          <w:rFonts w:ascii="Calibri" w:eastAsia="Calibri" w:hAnsi="Calibri"/>
          <w:rtl/>
        </w:rPr>
        <w:t xml:space="preserve"> </w:t>
      </w:r>
      <w:r w:rsidRPr="004F5F9C">
        <w:rPr>
          <w:rFonts w:ascii="Calibri" w:eastAsia="Calibri" w:hAnsi="Calibri"/>
          <w:b/>
          <w:bCs/>
          <w:rtl/>
        </w:rPr>
        <w:t>מוחמד סעד נ' מ"י</w:t>
      </w:r>
      <w:r w:rsidRPr="004F5F9C">
        <w:rPr>
          <w:rFonts w:ascii="Calibri" w:eastAsia="Calibri" w:hAnsi="Calibri"/>
          <w:rtl/>
        </w:rPr>
        <w:t xml:space="preserve"> (5.8.13)).</w:t>
      </w:r>
    </w:p>
    <w:p w14:paraId="7236BB67" w14:textId="77777777" w:rsidR="004F5F9C" w:rsidRDefault="004F5F9C" w:rsidP="004F5F9C">
      <w:pPr>
        <w:spacing w:before="240" w:after="240" w:line="360" w:lineRule="auto"/>
        <w:jc w:val="both"/>
        <w:rPr>
          <w:rFonts w:ascii="David" w:hAnsi="David"/>
        </w:rPr>
      </w:pPr>
      <w:r>
        <w:rPr>
          <w:rFonts w:ascii="David" w:hAnsi="David"/>
          <w:b/>
          <w:bCs/>
          <w:rtl/>
        </w:rPr>
        <w:t>הערך החברתי המוגן</w:t>
      </w:r>
      <w:r>
        <w:rPr>
          <w:rFonts w:ascii="David" w:hAnsi="David"/>
          <w:rtl/>
        </w:rPr>
        <w:t xml:space="preserve"> שנפגע מביצוע עבירות של החזקת נשק ותחמושת, הוא ערך של הגנה על חיי אדם והגנה על תחושת הביטחון של הציבור.  </w:t>
      </w:r>
    </w:p>
    <w:p w14:paraId="38C05029" w14:textId="77777777" w:rsidR="004F5F9C" w:rsidRDefault="004F5F9C" w:rsidP="004F5F9C">
      <w:pPr>
        <w:spacing w:before="240" w:after="240" w:line="360" w:lineRule="auto"/>
        <w:jc w:val="both"/>
        <w:rPr>
          <w:rFonts w:ascii="David" w:hAnsi="David"/>
          <w:b/>
          <w:bCs/>
          <w:rtl/>
        </w:rPr>
      </w:pPr>
      <w:r>
        <w:rPr>
          <w:rFonts w:ascii="David" w:hAnsi="David"/>
          <w:rtl/>
        </w:rPr>
        <w:t>באשר לחומרה היתרה שיש לראות בביצוע עבירות בנשק, קבע בית המשפט העליון ב</w:t>
      </w:r>
      <w:hyperlink r:id="rId16" w:history="1">
        <w:r w:rsidR="00A2033A" w:rsidRPr="00A2033A">
          <w:rPr>
            <w:rFonts w:ascii="David" w:hAnsi="David"/>
            <w:color w:val="0000FF"/>
            <w:u w:val="single"/>
            <w:rtl/>
          </w:rPr>
          <w:t>ע"פ 1945/13</w:t>
        </w:r>
      </w:hyperlink>
      <w:r>
        <w:rPr>
          <w:rFonts w:ascii="David" w:hAnsi="David"/>
          <w:rtl/>
        </w:rPr>
        <w:t xml:space="preserve"> </w:t>
      </w:r>
      <w:r>
        <w:rPr>
          <w:rFonts w:ascii="David" w:hAnsi="David"/>
          <w:b/>
          <w:bCs/>
          <w:rtl/>
        </w:rPr>
        <w:t xml:space="preserve">מדינת ישראל נ' עבד אל כרים סלימאן, </w:t>
      </w:r>
      <w:r>
        <w:rPr>
          <w:rFonts w:ascii="David" w:hAnsi="David"/>
          <w:rtl/>
        </w:rPr>
        <w:t>(19.1.14) מדיניות ברורה:</w:t>
      </w:r>
    </w:p>
    <w:p w14:paraId="44D0048B" w14:textId="77777777" w:rsidR="004F5F9C" w:rsidRDefault="004F5F9C" w:rsidP="004F5F9C">
      <w:pPr>
        <w:spacing w:before="240" w:after="240" w:line="360" w:lineRule="auto"/>
        <w:ind w:left="850"/>
        <w:jc w:val="both"/>
        <w:rPr>
          <w:rFonts w:ascii="David" w:hAnsi="David"/>
          <w:b/>
          <w:bCs/>
        </w:rPr>
      </w:pPr>
      <w:r>
        <w:rPr>
          <w:rFonts w:ascii="David" w:hAnsi="David"/>
          <w:b/>
          <w:b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p>
    <w:p w14:paraId="7B4B258E" w14:textId="77777777" w:rsidR="004F5F9C" w:rsidRDefault="004F5F9C" w:rsidP="004F5F9C">
      <w:pPr>
        <w:spacing w:before="240" w:after="240" w:line="360" w:lineRule="auto"/>
        <w:jc w:val="both"/>
        <w:rPr>
          <w:rFonts w:ascii="David" w:hAnsi="David"/>
          <w:rtl/>
        </w:rPr>
      </w:pPr>
      <w:r>
        <w:rPr>
          <w:rFonts w:ascii="David" w:hAnsi="David"/>
          <w:rtl/>
        </w:rPr>
        <w:t>לאחרונה תוקן החוק, באופן שקבע כי העונש שיושת על מבצע העבירה יתחיל מרבע העונש המרבי שנקבע לעבירה, אלא אם החליט בית המשפט מטעמים מיוחדים להקל בעונש, והעונש לא יהיה כולו על תנאי (</w:t>
      </w:r>
      <w:hyperlink r:id="rId17" w:history="1">
        <w:r w:rsidR="00DD20B3" w:rsidRPr="00DD20B3">
          <w:rPr>
            <w:rStyle w:val="Hyperlink"/>
            <w:rFonts w:ascii="David" w:hAnsi="David"/>
            <w:rtl/>
          </w:rPr>
          <w:t>סעיף 144(ז)</w:t>
        </w:r>
      </w:hyperlink>
      <w:r>
        <w:rPr>
          <w:rFonts w:ascii="David" w:hAnsi="David"/>
          <w:rtl/>
        </w:rPr>
        <w:t xml:space="preserve"> ל</w:t>
      </w:r>
      <w:hyperlink r:id="rId18" w:history="1">
        <w:r w:rsidR="00A2033A" w:rsidRPr="00A2033A">
          <w:rPr>
            <w:rFonts w:ascii="David" w:hAnsi="David"/>
            <w:color w:val="0000FF"/>
            <w:u w:val="single"/>
            <w:rtl/>
          </w:rPr>
          <w:t>חוק העונשין</w:t>
        </w:r>
      </w:hyperlink>
      <w:r>
        <w:rPr>
          <w:rFonts w:ascii="David" w:hAnsi="David"/>
          <w:rtl/>
        </w:rPr>
        <w:t xml:space="preserve">, חוק העונשין (תיקון מס' 140 - הוראת שעה), התשפ"ב-2021).  </w:t>
      </w:r>
    </w:p>
    <w:p w14:paraId="0CECA95B" w14:textId="77777777" w:rsidR="004F5F9C" w:rsidRDefault="004F5F9C" w:rsidP="004F5F9C">
      <w:pPr>
        <w:spacing w:before="240" w:after="240" w:line="360" w:lineRule="auto"/>
        <w:jc w:val="both"/>
        <w:rPr>
          <w:rFonts w:ascii="David" w:hAnsi="David"/>
          <w:rtl/>
        </w:rPr>
      </w:pPr>
      <w:r>
        <w:rPr>
          <w:rFonts w:ascii="David" w:hAnsi="David"/>
          <w:rtl/>
        </w:rPr>
        <w:t>בפסיקה נקבע, כי החזקתו</w:t>
      </w:r>
      <w:r>
        <w:rPr>
          <w:rFonts w:ascii="David" w:hAnsi="David"/>
        </w:rPr>
        <w:t xml:space="preserve"> </w:t>
      </w:r>
      <w:r>
        <w:rPr>
          <w:rFonts w:ascii="David" w:hAnsi="David"/>
          <w:rtl/>
        </w:rPr>
        <w:t>של</w:t>
      </w:r>
      <w:r>
        <w:rPr>
          <w:rFonts w:ascii="David" w:hAnsi="David"/>
        </w:rPr>
        <w:t xml:space="preserve"> </w:t>
      </w:r>
      <w:r>
        <w:rPr>
          <w:rFonts w:ascii="David" w:hAnsi="David"/>
          <w:rtl/>
        </w:rPr>
        <w:t>נשק</w:t>
      </w:r>
      <w:r>
        <w:rPr>
          <w:rFonts w:ascii="David" w:hAnsi="David"/>
        </w:rPr>
        <w:t xml:space="preserve"> </w:t>
      </w:r>
      <w:r>
        <w:rPr>
          <w:rFonts w:ascii="David" w:hAnsi="David"/>
          <w:rtl/>
        </w:rPr>
        <w:t>חם</w:t>
      </w:r>
      <w:r>
        <w:rPr>
          <w:rFonts w:ascii="David" w:hAnsi="David"/>
        </w:rPr>
        <w:t xml:space="preserve"> </w:t>
      </w:r>
      <w:r>
        <w:rPr>
          <w:rFonts w:ascii="David" w:hAnsi="David"/>
          <w:rtl/>
        </w:rPr>
        <w:t>באופן</w:t>
      </w:r>
      <w:r>
        <w:rPr>
          <w:rFonts w:ascii="David" w:hAnsi="David"/>
        </w:rPr>
        <w:t xml:space="preserve"> </w:t>
      </w:r>
      <w:r>
        <w:rPr>
          <w:rFonts w:ascii="David" w:hAnsi="David"/>
          <w:rtl/>
        </w:rPr>
        <w:t>בלתי</w:t>
      </w:r>
      <w:r>
        <w:rPr>
          <w:rFonts w:ascii="David" w:hAnsi="David"/>
        </w:rPr>
        <w:t xml:space="preserve"> </w:t>
      </w:r>
      <w:r>
        <w:rPr>
          <w:rFonts w:ascii="David" w:hAnsi="David"/>
          <w:rtl/>
        </w:rPr>
        <w:t>חוקי,</w:t>
      </w:r>
      <w:r>
        <w:rPr>
          <w:rFonts w:ascii="David" w:hAnsi="David"/>
        </w:rPr>
        <w:t xml:space="preserve"> </w:t>
      </w:r>
      <w:r>
        <w:rPr>
          <w:rFonts w:ascii="David" w:hAnsi="David"/>
          <w:rtl/>
        </w:rPr>
        <w:t>עלול להוביל</w:t>
      </w:r>
      <w:r>
        <w:rPr>
          <w:rFonts w:ascii="David" w:hAnsi="David"/>
        </w:rPr>
        <w:t xml:space="preserve"> </w:t>
      </w:r>
      <w:r>
        <w:rPr>
          <w:rFonts w:ascii="David" w:hAnsi="David"/>
          <w:rtl/>
        </w:rPr>
        <w:t>לאלימות</w:t>
      </w:r>
      <w:r>
        <w:rPr>
          <w:rFonts w:ascii="David" w:hAnsi="David"/>
        </w:rPr>
        <w:t xml:space="preserve"> </w:t>
      </w:r>
      <w:r>
        <w:rPr>
          <w:rFonts w:ascii="David" w:hAnsi="David"/>
          <w:rtl/>
        </w:rPr>
        <w:t>קשה</w:t>
      </w:r>
      <w:r>
        <w:rPr>
          <w:rFonts w:ascii="David" w:hAnsi="David"/>
        </w:rPr>
        <w:t xml:space="preserve"> </w:t>
      </w:r>
      <w:r>
        <w:rPr>
          <w:rFonts w:ascii="David" w:hAnsi="David"/>
          <w:rtl/>
        </w:rPr>
        <w:t>עד</w:t>
      </w:r>
      <w:r>
        <w:rPr>
          <w:rFonts w:ascii="David" w:hAnsi="David"/>
        </w:rPr>
        <w:t xml:space="preserve"> </w:t>
      </w:r>
      <w:r>
        <w:rPr>
          <w:rFonts w:ascii="David" w:hAnsi="David"/>
          <w:rtl/>
        </w:rPr>
        <w:t>קטלנית. זמינות כלי</w:t>
      </w:r>
      <w:r>
        <w:rPr>
          <w:rFonts w:ascii="David" w:hAnsi="David"/>
        </w:rPr>
        <w:t xml:space="preserve"> </w:t>
      </w:r>
      <w:r>
        <w:rPr>
          <w:rFonts w:ascii="David" w:hAnsi="David"/>
          <w:rtl/>
        </w:rPr>
        <w:t>הנשק</w:t>
      </w:r>
      <w:r>
        <w:rPr>
          <w:rFonts w:ascii="David" w:hAnsi="David"/>
        </w:rPr>
        <w:t xml:space="preserve"> </w:t>
      </w:r>
      <w:r>
        <w:rPr>
          <w:rFonts w:ascii="David" w:hAnsi="David"/>
          <w:rtl/>
        </w:rPr>
        <w:t>העוברים</w:t>
      </w:r>
      <w:r>
        <w:rPr>
          <w:rFonts w:ascii="David" w:hAnsi="David"/>
        </w:rPr>
        <w:t xml:space="preserve"> </w:t>
      </w:r>
      <w:r>
        <w:rPr>
          <w:rFonts w:ascii="David" w:hAnsi="David"/>
          <w:rtl/>
        </w:rPr>
        <w:t>מיד</w:t>
      </w:r>
      <w:r>
        <w:rPr>
          <w:rFonts w:ascii="David" w:hAnsi="David"/>
        </w:rPr>
        <w:t xml:space="preserve"> </w:t>
      </w:r>
      <w:r>
        <w:rPr>
          <w:rFonts w:ascii="David" w:hAnsi="David"/>
          <w:rtl/>
        </w:rPr>
        <w:t>ליד, אם</w:t>
      </w:r>
      <w:r>
        <w:rPr>
          <w:rFonts w:ascii="David" w:hAnsi="David"/>
        </w:rPr>
        <w:t xml:space="preserve"> </w:t>
      </w:r>
      <w:r>
        <w:rPr>
          <w:rFonts w:ascii="David" w:hAnsi="David"/>
          <w:rtl/>
        </w:rPr>
        <w:t>לידיים</w:t>
      </w:r>
      <w:r>
        <w:rPr>
          <w:rFonts w:ascii="David" w:hAnsi="David"/>
        </w:rPr>
        <w:t xml:space="preserve"> </w:t>
      </w:r>
      <w:r>
        <w:rPr>
          <w:rFonts w:ascii="David" w:hAnsi="David"/>
          <w:rtl/>
        </w:rPr>
        <w:t>עוינות ואם לידיים פליליות, תורמים</w:t>
      </w:r>
      <w:r>
        <w:rPr>
          <w:rFonts w:ascii="David" w:hAnsi="David"/>
        </w:rPr>
        <w:t xml:space="preserve"> </w:t>
      </w:r>
      <w:r>
        <w:rPr>
          <w:rFonts w:ascii="David" w:hAnsi="David"/>
          <w:rtl/>
        </w:rPr>
        <w:t>להגדלת</w:t>
      </w:r>
      <w:r>
        <w:rPr>
          <w:rFonts w:ascii="David" w:hAnsi="David"/>
        </w:rPr>
        <w:t xml:space="preserve"> </w:t>
      </w:r>
      <w:r>
        <w:rPr>
          <w:rFonts w:ascii="David" w:hAnsi="David"/>
          <w:rtl/>
        </w:rPr>
        <w:t>מעגל</w:t>
      </w:r>
      <w:r>
        <w:rPr>
          <w:rFonts w:ascii="David" w:hAnsi="David"/>
        </w:rPr>
        <w:t xml:space="preserve"> </w:t>
      </w:r>
      <w:r>
        <w:rPr>
          <w:rFonts w:ascii="David" w:hAnsi="David"/>
          <w:rtl/>
        </w:rPr>
        <w:t>האלימות</w:t>
      </w:r>
      <w:r>
        <w:rPr>
          <w:rFonts w:ascii="David" w:hAnsi="David"/>
        </w:rPr>
        <w:t xml:space="preserve"> </w:t>
      </w:r>
      <w:r>
        <w:rPr>
          <w:rFonts w:ascii="David" w:hAnsi="David"/>
          <w:rtl/>
        </w:rPr>
        <w:t>ולתוצאות</w:t>
      </w:r>
      <w:r>
        <w:rPr>
          <w:rFonts w:ascii="David" w:hAnsi="David"/>
        </w:rPr>
        <w:t xml:space="preserve"> </w:t>
      </w:r>
      <w:r>
        <w:rPr>
          <w:rFonts w:ascii="David" w:hAnsi="David"/>
          <w:rtl/>
        </w:rPr>
        <w:t>הקשות</w:t>
      </w:r>
      <w:r>
        <w:rPr>
          <w:rFonts w:ascii="David" w:hAnsi="David"/>
        </w:rPr>
        <w:t xml:space="preserve"> </w:t>
      </w:r>
      <w:r>
        <w:rPr>
          <w:rFonts w:ascii="David" w:hAnsi="David"/>
          <w:rtl/>
        </w:rPr>
        <w:t>הנובעות</w:t>
      </w:r>
      <w:r>
        <w:rPr>
          <w:rFonts w:ascii="David" w:hAnsi="David"/>
        </w:rPr>
        <w:t xml:space="preserve"> </w:t>
      </w:r>
      <w:r>
        <w:rPr>
          <w:rFonts w:ascii="David" w:hAnsi="David"/>
          <w:rtl/>
        </w:rPr>
        <w:t xml:space="preserve">מכך. בשנים האחרונות אנו עדים לגל אלימות קשה תוך שימוש בנשק חם הגובה חיי אדם. </w:t>
      </w:r>
    </w:p>
    <w:p w14:paraId="6E29C9C5" w14:textId="77777777" w:rsidR="004F5F9C" w:rsidRDefault="004F5F9C" w:rsidP="004F5F9C">
      <w:pPr>
        <w:spacing w:before="240" w:after="240" w:line="360" w:lineRule="auto"/>
        <w:jc w:val="both"/>
        <w:rPr>
          <w:rFonts w:ascii="David" w:hAnsi="David"/>
        </w:rPr>
      </w:pPr>
      <w:r>
        <w:rPr>
          <w:rFonts w:ascii="David" w:hAnsi="David"/>
          <w:rtl/>
        </w:rPr>
        <w:t xml:space="preserve">לעניין זה ראה ע"פ 1332/04 </w:t>
      </w:r>
      <w:r>
        <w:rPr>
          <w:rFonts w:ascii="David" w:hAnsi="David"/>
          <w:b/>
          <w:bCs/>
          <w:rtl/>
        </w:rPr>
        <w:t>מדינת ישראל נ' פס</w:t>
      </w:r>
      <w:r>
        <w:rPr>
          <w:rFonts w:ascii="David" w:hAnsi="David"/>
          <w:rtl/>
        </w:rPr>
        <w:t>, פ"ד נח (5), 541 בעמ' 545:</w:t>
      </w:r>
    </w:p>
    <w:p w14:paraId="542E6FDE" w14:textId="77777777" w:rsidR="004F5F9C" w:rsidRDefault="004F5F9C" w:rsidP="004F5F9C">
      <w:pPr>
        <w:spacing w:before="240" w:after="240" w:line="360" w:lineRule="auto"/>
        <w:ind w:left="850"/>
        <w:jc w:val="both"/>
        <w:rPr>
          <w:rFonts w:ascii="David" w:hAnsi="David"/>
          <w:rtl/>
        </w:rPr>
      </w:pPr>
      <w:r>
        <w:rPr>
          <w:rFonts w:ascii="David" w:hAnsi="David"/>
          <w:b/>
          <w:bCs/>
          <w:rtl/>
        </w:rPr>
        <w:t xml:space="preserve">"...המציאות השוררת בארץ - זמינותו של נשק חם ורב עוצמה שיש עמו פוטנציאל להסלמה באלימות העבריינית... מחייבת מתן ביטוי עונשי הולם והחמרה ברמת הענישה" </w:t>
      </w:r>
    </w:p>
    <w:p w14:paraId="148687AB" w14:textId="77777777" w:rsidR="004F5F9C" w:rsidRDefault="004F5F9C" w:rsidP="004F5F9C">
      <w:pPr>
        <w:spacing w:before="240" w:after="240" w:line="360" w:lineRule="auto"/>
        <w:jc w:val="both"/>
        <w:rPr>
          <w:rFonts w:ascii="David" w:hAnsi="David"/>
          <w:rtl/>
        </w:rPr>
      </w:pPr>
      <w:r>
        <w:rPr>
          <w:rFonts w:ascii="David" w:hAnsi="David"/>
          <w:b/>
          <w:bCs/>
          <w:rtl/>
        </w:rPr>
        <w:t xml:space="preserve">באשר לנסיבות הקשורות בביצוע העבירות: </w:t>
      </w:r>
    </w:p>
    <w:p w14:paraId="080F73CE" w14:textId="77777777" w:rsidR="004F5F9C" w:rsidRDefault="004F5F9C" w:rsidP="004F5F9C">
      <w:pPr>
        <w:spacing w:before="240" w:after="240" w:line="360" w:lineRule="auto"/>
        <w:jc w:val="both"/>
        <w:rPr>
          <w:rFonts w:ascii="David" w:hAnsi="David"/>
          <w:rtl/>
        </w:rPr>
      </w:pPr>
      <w:r w:rsidRPr="00E57CAB">
        <w:rPr>
          <w:rFonts w:ascii="David" w:hAnsi="David" w:hint="cs"/>
          <w:rtl/>
        </w:rPr>
        <w:t>מדובר בביצוע עביר</w:t>
      </w:r>
      <w:r>
        <w:rPr>
          <w:rFonts w:ascii="David" w:hAnsi="David" w:hint="cs"/>
          <w:rtl/>
        </w:rPr>
        <w:t xml:space="preserve">ות מתוכננות, כאשר הנאשם החזיק בכספת שעל גג ביתו </w:t>
      </w:r>
      <w:r>
        <w:rPr>
          <w:rFonts w:ascii="David" w:hAnsi="David"/>
          <w:rtl/>
        </w:rPr>
        <w:t xml:space="preserve">אקדח </w:t>
      </w:r>
      <w:r>
        <w:rPr>
          <w:rFonts w:ascii="David" w:hAnsi="David" w:hint="cs"/>
          <w:rtl/>
        </w:rPr>
        <w:t xml:space="preserve">חצי אוטומטי כשלצדו מחסנית תואמת לנשק ו- 86 כדורים התואמים לנשק. </w:t>
      </w:r>
    </w:p>
    <w:p w14:paraId="53DA60A7" w14:textId="77777777" w:rsidR="004F5F9C" w:rsidRDefault="004F5F9C" w:rsidP="004F5F9C">
      <w:pPr>
        <w:spacing w:before="240" w:after="240" w:line="360" w:lineRule="auto"/>
        <w:jc w:val="both"/>
        <w:rPr>
          <w:rFonts w:ascii="David" w:hAnsi="David"/>
          <w:color w:val="000000"/>
          <w:rtl/>
        </w:rPr>
      </w:pPr>
      <w:r>
        <w:rPr>
          <w:rFonts w:ascii="David" w:hAnsi="David"/>
          <w:color w:val="000000"/>
          <w:rtl/>
        </w:rPr>
        <w:t xml:space="preserve">חלקו של הנאשם בביצוע העבירות היה בלעדי, כאשר מיקום כלי הנשק </w:t>
      </w:r>
      <w:r>
        <w:rPr>
          <w:rFonts w:ascii="David" w:hAnsi="David" w:hint="cs"/>
          <w:color w:val="000000"/>
          <w:rtl/>
        </w:rPr>
        <w:t>בכספת שעל גג ביתו לצד תחמושת מתאימה</w:t>
      </w:r>
      <w:r>
        <w:rPr>
          <w:rFonts w:ascii="David" w:hAnsi="David"/>
          <w:color w:val="000000"/>
          <w:rtl/>
        </w:rPr>
        <w:t xml:space="preserve">, מלמד על הזמינות והמוכנות לעשות בו שימוש. </w:t>
      </w:r>
    </w:p>
    <w:p w14:paraId="7BBAD70F" w14:textId="77777777" w:rsidR="004F5F9C" w:rsidRDefault="004F5F9C" w:rsidP="004F5F9C">
      <w:pPr>
        <w:spacing w:before="240" w:after="240" w:line="360" w:lineRule="auto"/>
        <w:jc w:val="both"/>
        <w:rPr>
          <w:rFonts w:ascii="David" w:hAnsi="David"/>
          <w:rtl/>
        </w:rPr>
      </w:pPr>
      <w:r>
        <w:rPr>
          <w:rFonts w:ascii="David" w:hAnsi="David"/>
          <w:rtl/>
        </w:rPr>
        <w:t xml:space="preserve">הנאשם החזיק באקדח </w:t>
      </w:r>
      <w:r>
        <w:rPr>
          <w:rFonts w:ascii="David" w:hAnsi="David" w:hint="cs"/>
          <w:rtl/>
        </w:rPr>
        <w:t xml:space="preserve">חצי אוטומטי </w:t>
      </w:r>
      <w:r>
        <w:rPr>
          <w:rFonts w:ascii="David" w:hAnsi="David"/>
          <w:rtl/>
        </w:rPr>
        <w:t>עם תחמושת תואמת</w:t>
      </w:r>
      <w:r>
        <w:rPr>
          <w:rFonts w:ascii="David" w:hAnsi="David" w:hint="cs"/>
          <w:rtl/>
        </w:rPr>
        <w:t xml:space="preserve"> בכמות לא מבוטלת</w:t>
      </w:r>
      <w:r>
        <w:rPr>
          <w:rFonts w:ascii="David" w:hAnsi="David"/>
          <w:rtl/>
        </w:rPr>
        <w:t xml:space="preserve">. מכאן, שגם אם לא נגרם נזק בפועל, הרי פוטנציאל הנזק הוא גדול אשר עלול להביא לפגיעה בגוף ואף לקיפוח חיי אדם.  </w:t>
      </w:r>
    </w:p>
    <w:p w14:paraId="49D945F9" w14:textId="77777777" w:rsidR="004F5F9C" w:rsidRDefault="004F5F9C" w:rsidP="004F5F9C">
      <w:pPr>
        <w:spacing w:before="240" w:after="240" w:line="360" w:lineRule="auto"/>
        <w:jc w:val="both"/>
        <w:rPr>
          <w:rFonts w:ascii="David" w:hAnsi="David"/>
        </w:rPr>
      </w:pPr>
      <w:r>
        <w:rPr>
          <w:rFonts w:ascii="David" w:hAnsi="David"/>
          <w:b/>
          <w:bCs/>
          <w:rtl/>
        </w:rPr>
        <w:t>מידת הפגיעה בערכים המוגנים</w:t>
      </w:r>
      <w:r>
        <w:rPr>
          <w:rFonts w:ascii="David" w:hAnsi="David"/>
          <w:rtl/>
        </w:rPr>
        <w:t xml:space="preserve">: בשים לב לעובדה כי מדובר באקדח, אשר הוחזק </w:t>
      </w:r>
      <w:r>
        <w:rPr>
          <w:rFonts w:ascii="David" w:hAnsi="David" w:hint="cs"/>
          <w:rtl/>
        </w:rPr>
        <w:t xml:space="preserve"> יחד עם תחמושת תואמת </w:t>
      </w:r>
      <w:r>
        <w:rPr>
          <w:rFonts w:ascii="David" w:hAnsi="David"/>
          <w:rtl/>
        </w:rPr>
        <w:t>ובהישג ידו של הנאשם, ו</w:t>
      </w:r>
      <w:r>
        <w:rPr>
          <w:rFonts w:ascii="David" w:hAnsi="David" w:hint="cs"/>
          <w:rtl/>
        </w:rPr>
        <w:t>בשים לב ל</w:t>
      </w:r>
      <w:r>
        <w:rPr>
          <w:rFonts w:ascii="David" w:hAnsi="David"/>
          <w:rtl/>
        </w:rPr>
        <w:t xml:space="preserve">נזק הפוטנציאלי הגדול, אני קובעת כי מידת הפגיעה בערכים המוגנים היא ממשית. </w:t>
      </w:r>
    </w:p>
    <w:p w14:paraId="2F5E2E1C" w14:textId="77777777" w:rsidR="004F5F9C" w:rsidRDefault="004F5F9C" w:rsidP="004F5F9C">
      <w:pPr>
        <w:spacing w:before="240" w:after="240" w:line="360" w:lineRule="auto"/>
        <w:jc w:val="both"/>
        <w:rPr>
          <w:rFonts w:ascii="David" w:hAnsi="David"/>
          <w:b/>
          <w:bCs/>
          <w:rtl/>
        </w:rPr>
      </w:pPr>
      <w:r>
        <w:rPr>
          <w:rFonts w:ascii="David" w:hAnsi="David"/>
          <w:b/>
          <w:bCs/>
          <w:rtl/>
        </w:rPr>
        <w:t>באשר למדיניות הענישה הנהוגה:</w:t>
      </w:r>
    </w:p>
    <w:p w14:paraId="4B1BBB0B" w14:textId="77777777" w:rsidR="004F5F9C" w:rsidRPr="00696F78" w:rsidRDefault="004F5F9C" w:rsidP="004F5F9C">
      <w:pPr>
        <w:spacing w:before="240" w:after="240" w:line="360" w:lineRule="auto"/>
        <w:jc w:val="both"/>
        <w:rPr>
          <w:rFonts w:ascii="David" w:hAnsi="David"/>
          <w:rtl/>
        </w:rPr>
      </w:pPr>
      <w:r w:rsidRPr="00696F78">
        <w:rPr>
          <w:rFonts w:ascii="David" w:hAnsi="David" w:hint="cs"/>
          <w:rtl/>
        </w:rPr>
        <w:t>המאשימה לא עשתה הבחנה בפסיקה אליה הפנתה</w:t>
      </w:r>
      <w:r>
        <w:rPr>
          <w:rFonts w:ascii="David" w:hAnsi="David" w:hint="cs"/>
          <w:rtl/>
        </w:rPr>
        <w:t>,</w:t>
      </w:r>
      <w:r w:rsidRPr="00696F78">
        <w:rPr>
          <w:rFonts w:ascii="David" w:hAnsi="David" w:hint="cs"/>
          <w:rtl/>
        </w:rPr>
        <w:t xml:space="preserve"> בין פסיקה בה נידונו מקרים של החזקת נשק ארוך אוטומטי לבין פסיקה בגין החזקת אקדחים, כאשר ישנו הבדל במדיניות הענישה הנוהגת, ואף הנחי</w:t>
      </w:r>
      <w:r>
        <w:rPr>
          <w:rFonts w:ascii="David" w:hAnsi="David" w:hint="cs"/>
          <w:rtl/>
        </w:rPr>
        <w:t>י</w:t>
      </w:r>
      <w:r w:rsidRPr="00696F78">
        <w:rPr>
          <w:rFonts w:ascii="David" w:hAnsi="David" w:hint="cs"/>
          <w:rtl/>
        </w:rPr>
        <w:t xml:space="preserve">ת פרקליט המדינה, אליה הפנתה המאשימה עושה הבחנה בעניין זה. על כן להלן אתייחס רק לפסיקה הנוגעת במדיניות הענישה בגין החזקת אקדח לצד תחמושת. </w:t>
      </w:r>
    </w:p>
    <w:p w14:paraId="01E36ACB" w14:textId="77777777" w:rsidR="004F5F9C" w:rsidRDefault="004F5F9C" w:rsidP="004F5F9C">
      <w:pPr>
        <w:pStyle w:val="aa"/>
        <w:numPr>
          <w:ilvl w:val="0"/>
          <w:numId w:val="1"/>
        </w:numPr>
        <w:spacing w:before="240" w:after="240" w:line="360" w:lineRule="auto"/>
        <w:ind w:left="283" w:hanging="283"/>
        <w:jc w:val="both"/>
      </w:pPr>
      <w:r>
        <w:rPr>
          <w:rFonts w:hint="cs"/>
          <w:rtl/>
        </w:rPr>
        <w:t>ב</w:t>
      </w:r>
      <w:hyperlink r:id="rId19" w:history="1">
        <w:r w:rsidR="00A2033A" w:rsidRPr="00A2033A">
          <w:rPr>
            <w:color w:val="0000FF"/>
            <w:u w:val="single"/>
            <w:rtl/>
          </w:rPr>
          <w:t>עפ"ג 25700-08-22</w:t>
        </w:r>
      </w:hyperlink>
      <w:r>
        <w:rPr>
          <w:rFonts w:hint="cs"/>
          <w:rtl/>
        </w:rPr>
        <w:t xml:space="preserve"> </w:t>
      </w:r>
      <w:r>
        <w:rPr>
          <w:rFonts w:hint="cs"/>
          <w:b/>
          <w:bCs/>
          <w:rtl/>
        </w:rPr>
        <w:t>אלבחירי נ' מדינת ישראל</w:t>
      </w:r>
      <w:r>
        <w:rPr>
          <w:rFonts w:hint="cs"/>
          <w:rtl/>
        </w:rPr>
        <w:t xml:space="preserve"> (7.12.22), אליו הפנתה המאשימה, המערער הורשע על פי הודאתו בביצוע עבירות של החזקת נשק (אקדח חצי אוטומטי) ותחמושת. המערער החזיק בביתו במזוודת מתכת שהונחה מעל ארון המטבח, באקדח חצי אוטומטי מסוג </w:t>
      </w:r>
      <w:r>
        <w:t>FN</w:t>
      </w:r>
      <w:r>
        <w:rPr>
          <w:rtl/>
        </w:rPr>
        <w:t xml:space="preserve"> </w:t>
      </w:r>
      <w:r>
        <w:rPr>
          <w:rFonts w:hint="cs"/>
          <w:rtl/>
        </w:rPr>
        <w:t xml:space="preserve">ובו מחסנית, במחסנית נוספת של אקדח ובחמש קופסאות תחמושת שהכילו 213 כדורי 9 מ"מ. </w:t>
      </w:r>
      <w:r>
        <w:rPr>
          <w:rFonts w:hint="cs"/>
          <w:b/>
          <w:bCs/>
          <w:rtl/>
        </w:rPr>
        <w:t>נקבע כי מתחם העונש ההולם מתחיל מ- 12 ועד 36 חודשי מאסר בפועל, בצירוף ענישה נלווית</w:t>
      </w:r>
      <w:r>
        <w:rPr>
          <w:rFonts w:hint="cs"/>
          <w:rtl/>
        </w:rPr>
        <w:t>. המערער נדון ל-18 חודשי מאסר לריצוי בפועל וענישה נלווית. ערעור שהוגש לבית המשפט המחוזי על חומרת העונש נדחה.</w:t>
      </w:r>
    </w:p>
    <w:p w14:paraId="0C84A067" w14:textId="77777777" w:rsidR="004F5F9C" w:rsidRDefault="004F5F9C" w:rsidP="004F5F9C">
      <w:pPr>
        <w:pStyle w:val="aa"/>
        <w:numPr>
          <w:ilvl w:val="0"/>
          <w:numId w:val="1"/>
        </w:numPr>
        <w:spacing w:before="240" w:after="240" w:line="360" w:lineRule="auto"/>
        <w:ind w:left="283" w:hanging="283"/>
        <w:jc w:val="both"/>
        <w:rPr>
          <w:rFonts w:ascii="Arial" w:hAnsi="Arial"/>
        </w:rPr>
      </w:pPr>
      <w:r w:rsidRPr="007A53C5">
        <w:rPr>
          <w:rFonts w:ascii="Arial" w:hAnsi="Arial"/>
          <w:rtl/>
        </w:rPr>
        <w:t>ב</w:t>
      </w:r>
      <w:hyperlink r:id="rId20" w:history="1">
        <w:r w:rsidR="00A2033A" w:rsidRPr="00A2033A">
          <w:rPr>
            <w:rFonts w:ascii="Arial" w:hAnsi="Arial"/>
            <w:color w:val="0000FF"/>
            <w:u w:val="single"/>
            <w:rtl/>
          </w:rPr>
          <w:t>רע"פ 5613/20</w:t>
        </w:r>
      </w:hyperlink>
      <w:r w:rsidRPr="007A53C5">
        <w:rPr>
          <w:rFonts w:ascii="Arial" w:hAnsi="Arial"/>
          <w:rtl/>
        </w:rPr>
        <w:t xml:space="preserve"> </w:t>
      </w:r>
      <w:r w:rsidRPr="007A53C5">
        <w:rPr>
          <w:rFonts w:ascii="Arial" w:hAnsi="Arial"/>
          <w:b/>
          <w:bCs/>
          <w:rtl/>
        </w:rPr>
        <w:t>אל הוזייל נ' מדינת ישראל</w:t>
      </w:r>
      <w:r w:rsidRPr="007A53C5">
        <w:rPr>
          <w:rFonts w:ascii="Arial" w:hAnsi="Arial"/>
          <w:rtl/>
        </w:rPr>
        <w:t xml:space="preserve"> </w:t>
      </w:r>
      <w:r w:rsidRPr="007A53C5">
        <w:rPr>
          <w:rFonts w:ascii="Arial" w:hAnsi="Arial" w:hint="cs"/>
          <w:rtl/>
        </w:rPr>
        <w:t>(25.8.20), אליו הפנתה המאשימה,</w:t>
      </w:r>
      <w:r w:rsidRPr="007A53C5">
        <w:rPr>
          <w:rFonts w:ascii="Arial" w:hAnsi="Arial"/>
          <w:rtl/>
        </w:rPr>
        <w:t xml:space="preserve"> </w:t>
      </w:r>
      <w:r w:rsidRPr="007A53C5">
        <w:rPr>
          <w:rFonts w:ascii="Arial" w:hAnsi="Arial" w:hint="cs"/>
          <w:rtl/>
        </w:rPr>
        <w:t>המבקש</w:t>
      </w:r>
      <w:r w:rsidRPr="007A53C5">
        <w:rPr>
          <w:rFonts w:ascii="Arial" w:hAnsi="Arial"/>
          <w:rtl/>
        </w:rPr>
        <w:t xml:space="preserve"> הורשע בעבירות של החזקת נשק שלא כדין, והחזקת תחמושת, </w:t>
      </w:r>
      <w:r w:rsidRPr="007A53C5">
        <w:rPr>
          <w:rFonts w:ascii="Arial" w:hAnsi="Arial" w:hint="cs"/>
          <w:rtl/>
        </w:rPr>
        <w:t>לאחר ש</w:t>
      </w:r>
      <w:r w:rsidRPr="007A53C5">
        <w:rPr>
          <w:rFonts w:ascii="Arial" w:hAnsi="Arial"/>
          <w:rtl/>
        </w:rPr>
        <w:t xml:space="preserve">החזיק במקום מגוריו אקדח מסוג </w:t>
      </w:r>
      <w:r w:rsidRPr="005A306B">
        <w:t>FN</w:t>
      </w:r>
      <w:r w:rsidRPr="007A53C5">
        <w:rPr>
          <w:rFonts w:ascii="Arial" w:hAnsi="Arial"/>
          <w:rtl/>
        </w:rPr>
        <w:t xml:space="preserve"> בקוטר 9 מ"מ, וכן 20 כדורים בעלי קוטר זהה.</w:t>
      </w:r>
      <w:r w:rsidRPr="007A53C5">
        <w:rPr>
          <w:rFonts w:ascii="Arial" w:hAnsi="Arial" w:hint="cs"/>
          <w:rtl/>
        </w:rPr>
        <w:t xml:space="preserve"> </w:t>
      </w:r>
      <w:r w:rsidRPr="007A53C5">
        <w:rPr>
          <w:rFonts w:ascii="Arial" w:hAnsi="Arial"/>
          <w:rtl/>
        </w:rPr>
        <w:t xml:space="preserve">נאשם נרתם להליך טיפולי ושירות המבחן המליץ בעניינו על הטלת צו מבחן לצד מאסר בדרך של עבודות שירות. </w:t>
      </w:r>
      <w:r w:rsidRPr="007A53C5">
        <w:rPr>
          <w:rFonts w:ascii="Arial" w:hAnsi="Arial"/>
          <w:b/>
          <w:bCs/>
          <w:rtl/>
        </w:rPr>
        <w:t>נקבע בבית משפט השלום מתחם עונש הנע בין 11 חודשי מאסר בפועל לבין 33 חודשי מאסר בפועל</w:t>
      </w:r>
      <w:r w:rsidRPr="007A53C5">
        <w:rPr>
          <w:rFonts w:ascii="Arial" w:hAnsi="Arial" w:hint="cs"/>
          <w:rtl/>
        </w:rPr>
        <w:t>.</w:t>
      </w:r>
      <w:r w:rsidRPr="007A53C5">
        <w:rPr>
          <w:rFonts w:ascii="Arial" w:hAnsi="Arial"/>
          <w:rtl/>
        </w:rPr>
        <w:t xml:space="preserve"> </w:t>
      </w:r>
      <w:r w:rsidRPr="007A53C5">
        <w:rPr>
          <w:rFonts w:ascii="Arial" w:hAnsi="Arial" w:hint="cs"/>
          <w:rtl/>
        </w:rPr>
        <w:t xml:space="preserve">על המבקש </w:t>
      </w:r>
      <w:r w:rsidRPr="007A53C5">
        <w:rPr>
          <w:rFonts w:ascii="Arial" w:hAnsi="Arial"/>
          <w:rtl/>
        </w:rPr>
        <w:t xml:space="preserve">הושת  מאסר בפועל בן 12 חודשים לצד מאסר על תנאי. בית המשפט המחוזי דחה את הערעור </w:t>
      </w:r>
      <w:r w:rsidRPr="007A53C5">
        <w:rPr>
          <w:rFonts w:ascii="Arial" w:hAnsi="Arial" w:hint="cs"/>
          <w:rtl/>
        </w:rPr>
        <w:t xml:space="preserve">שהגיש המבקש </w:t>
      </w:r>
      <w:r w:rsidRPr="007A53C5">
        <w:rPr>
          <w:rFonts w:ascii="Arial" w:hAnsi="Arial"/>
          <w:rtl/>
        </w:rPr>
        <w:t>תוך שעמד על התגברות התופעה של החזקת נשק בלתי חוקי והצורך בענישה מרתיעה. בית המשפט העליון דחה את בקשת רשות הערעור</w:t>
      </w:r>
      <w:r w:rsidRPr="007A53C5">
        <w:rPr>
          <w:rFonts w:ascii="Arial" w:hAnsi="Arial" w:hint="cs"/>
          <w:rtl/>
        </w:rPr>
        <w:t xml:space="preserve"> אף הוא.</w:t>
      </w:r>
    </w:p>
    <w:p w14:paraId="570A3ACD" w14:textId="77777777" w:rsidR="004F5F9C" w:rsidRPr="00540724" w:rsidRDefault="004F5F9C" w:rsidP="004F5F9C">
      <w:pPr>
        <w:pStyle w:val="aa"/>
        <w:numPr>
          <w:ilvl w:val="0"/>
          <w:numId w:val="1"/>
        </w:numPr>
        <w:spacing w:before="240" w:after="240" w:line="360" w:lineRule="auto"/>
        <w:ind w:left="283" w:hanging="283"/>
        <w:jc w:val="both"/>
      </w:pPr>
      <w:r w:rsidRPr="00540724">
        <w:rPr>
          <w:rFonts w:hint="cs"/>
          <w:rtl/>
        </w:rPr>
        <w:t>ב</w:t>
      </w:r>
      <w:hyperlink r:id="rId21" w:history="1">
        <w:r w:rsidR="00A2033A" w:rsidRPr="00A2033A">
          <w:rPr>
            <w:color w:val="0000FF"/>
            <w:u w:val="single"/>
            <w:rtl/>
          </w:rPr>
          <w:t>עפ"ג 24796-06-20</w:t>
        </w:r>
      </w:hyperlink>
      <w:r w:rsidRPr="00540724">
        <w:rPr>
          <w:rFonts w:hint="cs"/>
          <w:rtl/>
        </w:rPr>
        <w:t xml:space="preserve"> </w:t>
      </w:r>
      <w:r w:rsidRPr="00540724">
        <w:rPr>
          <w:rFonts w:hint="cs"/>
          <w:b/>
          <w:bCs/>
          <w:rtl/>
        </w:rPr>
        <w:t>פאדי חג'אזי נ' מדינת ישראל</w:t>
      </w:r>
      <w:r w:rsidRPr="00540724">
        <w:rPr>
          <w:rFonts w:hint="cs"/>
          <w:rtl/>
        </w:rPr>
        <w:t xml:space="preserve"> (9.7.20), אליו הפנתה המאשימה, </w:t>
      </w:r>
      <w:r>
        <w:rPr>
          <w:rFonts w:hint="cs"/>
          <w:rtl/>
        </w:rPr>
        <w:t xml:space="preserve">המערער הורשע </w:t>
      </w:r>
      <w:r>
        <w:rPr>
          <w:rtl/>
        </w:rPr>
        <w:t xml:space="preserve">בעבירות </w:t>
      </w:r>
      <w:r>
        <w:rPr>
          <w:rFonts w:hint="cs"/>
          <w:rtl/>
        </w:rPr>
        <w:t>של</w:t>
      </w:r>
      <w:r w:rsidRPr="00540724">
        <w:rPr>
          <w:rtl/>
        </w:rPr>
        <w:t>החזקת נשק שלא כדין</w:t>
      </w:r>
      <w:r>
        <w:rPr>
          <w:rtl/>
        </w:rPr>
        <w:t xml:space="preserve"> </w:t>
      </w:r>
      <w:r w:rsidRPr="00540724">
        <w:rPr>
          <w:rtl/>
        </w:rPr>
        <w:t>והחזקת חלק של נשק או תחמושת</w:t>
      </w:r>
      <w:r w:rsidRPr="00540724">
        <w:rPr>
          <w:rFonts w:hint="cs"/>
          <w:rtl/>
        </w:rPr>
        <w:t>.</w:t>
      </w:r>
      <w:r>
        <w:rPr>
          <w:rtl/>
        </w:rPr>
        <w:t xml:space="preserve"> </w:t>
      </w:r>
      <w:r w:rsidRPr="00540724">
        <w:rPr>
          <w:rtl/>
        </w:rPr>
        <w:t xml:space="preserve">המערער </w:t>
      </w:r>
      <w:r w:rsidRPr="00540724">
        <w:rPr>
          <w:rFonts w:hint="cs"/>
          <w:rtl/>
        </w:rPr>
        <w:t xml:space="preserve">נמצא </w:t>
      </w:r>
      <w:r w:rsidRPr="00540724">
        <w:rPr>
          <w:rtl/>
        </w:rPr>
        <w:t xml:space="preserve">יושב בפתח חוות-סוסים כשהוא מחזיק על רגלו באקדח חצי אוטומטי מסוג </w:t>
      </w:r>
      <w:r w:rsidRPr="00540724">
        <w:t>CZ</w:t>
      </w:r>
      <w:r>
        <w:rPr>
          <w:rtl/>
        </w:rPr>
        <w:t xml:space="preserve"> מודל 75 </w:t>
      </w:r>
      <w:r>
        <w:rPr>
          <w:rFonts w:hint="cs"/>
          <w:rtl/>
        </w:rPr>
        <w:t>וב</w:t>
      </w:r>
      <w:r w:rsidRPr="00540724">
        <w:rPr>
          <w:rtl/>
        </w:rPr>
        <w:t xml:space="preserve">תוכו מחסנית תואמת טעונה ב-15 כדורים בעלי קוטר 9 מ"מ במצב "הכנס". </w:t>
      </w:r>
      <w:r w:rsidRPr="00540724">
        <w:rPr>
          <w:rFonts w:hint="cs"/>
          <w:b/>
          <w:bCs/>
          <w:rtl/>
        </w:rPr>
        <w:t xml:space="preserve">נקבע כי </w:t>
      </w:r>
      <w:r w:rsidRPr="00540724">
        <w:rPr>
          <w:b/>
          <w:bCs/>
          <w:rtl/>
        </w:rPr>
        <w:t xml:space="preserve">מתחם </w:t>
      </w:r>
      <w:r w:rsidRPr="00540724">
        <w:rPr>
          <w:rFonts w:hint="cs"/>
          <w:b/>
          <w:bCs/>
          <w:rtl/>
        </w:rPr>
        <w:t>ה</w:t>
      </w:r>
      <w:r w:rsidRPr="00540724">
        <w:rPr>
          <w:b/>
          <w:bCs/>
          <w:rtl/>
        </w:rPr>
        <w:t>עונש ה</w:t>
      </w:r>
      <w:r w:rsidRPr="00540724">
        <w:rPr>
          <w:rFonts w:hint="cs"/>
          <w:b/>
          <w:bCs/>
          <w:rtl/>
        </w:rPr>
        <w:t>ה</w:t>
      </w:r>
      <w:r w:rsidRPr="00540724">
        <w:rPr>
          <w:b/>
          <w:bCs/>
          <w:rtl/>
        </w:rPr>
        <w:t>ולם נע בין 10 לבין 24 חודשי מאסר לריצוי בפועל לצד עונשים נלווים</w:t>
      </w:r>
      <w:r>
        <w:rPr>
          <w:rtl/>
        </w:rPr>
        <w:t>. על</w:t>
      </w:r>
      <w:r>
        <w:rPr>
          <w:rFonts w:hint="cs"/>
          <w:rtl/>
        </w:rPr>
        <w:t xml:space="preserve"> המערער הוטלו</w:t>
      </w:r>
      <w:r>
        <w:rPr>
          <w:rtl/>
        </w:rPr>
        <w:t xml:space="preserve"> </w:t>
      </w:r>
      <w:r w:rsidRPr="00540724">
        <w:rPr>
          <w:rtl/>
        </w:rPr>
        <w:t>15 חודשי מאסר לריצוי בפועל</w:t>
      </w:r>
      <w:r w:rsidRPr="00540724">
        <w:rPr>
          <w:rFonts w:hint="cs"/>
          <w:rtl/>
        </w:rPr>
        <w:t xml:space="preserve"> וענישה נלווית. </w:t>
      </w:r>
      <w:r>
        <w:rPr>
          <w:rFonts w:hint="cs"/>
          <w:rtl/>
        </w:rPr>
        <w:t>ערעור המערער לבית המשפט המחוזי נדחה.</w:t>
      </w:r>
    </w:p>
    <w:p w14:paraId="3E7EC1D3" w14:textId="77777777" w:rsidR="004F5F9C" w:rsidRDefault="004F5F9C" w:rsidP="004F5F9C">
      <w:pPr>
        <w:pStyle w:val="aa"/>
        <w:numPr>
          <w:ilvl w:val="0"/>
          <w:numId w:val="1"/>
        </w:numPr>
        <w:spacing w:before="240" w:after="240" w:line="360" w:lineRule="auto"/>
        <w:ind w:left="283" w:hanging="283"/>
        <w:jc w:val="both"/>
        <w:rPr>
          <w:rFonts w:ascii="Arial" w:hAnsi="Arial"/>
        </w:rPr>
      </w:pPr>
      <w:r w:rsidRPr="0086507B">
        <w:rPr>
          <w:rFonts w:ascii="Arial" w:hAnsi="Arial"/>
          <w:rtl/>
        </w:rPr>
        <w:t>ב</w:t>
      </w:r>
      <w:hyperlink r:id="rId22" w:history="1">
        <w:r w:rsidR="00A2033A" w:rsidRPr="00A2033A">
          <w:rPr>
            <w:rFonts w:ascii="Arial" w:hAnsi="Arial"/>
            <w:color w:val="0000FF"/>
            <w:u w:val="single"/>
            <w:rtl/>
          </w:rPr>
          <w:t>ע"פ 2482/22</w:t>
        </w:r>
      </w:hyperlink>
      <w:r w:rsidRPr="0086507B">
        <w:rPr>
          <w:rFonts w:ascii="Arial" w:hAnsi="Arial"/>
          <w:rtl/>
        </w:rPr>
        <w:t xml:space="preserve"> </w:t>
      </w:r>
      <w:r w:rsidRPr="0086507B">
        <w:rPr>
          <w:rFonts w:ascii="Arial" w:hAnsi="Arial"/>
          <w:b/>
          <w:bCs/>
          <w:rtl/>
        </w:rPr>
        <w:t>מדינת ישראל נ' אחמד קדורה</w:t>
      </w:r>
      <w:r w:rsidRPr="0086507B">
        <w:rPr>
          <w:rFonts w:ascii="Arial" w:hAnsi="Arial"/>
          <w:rtl/>
        </w:rPr>
        <w:t xml:space="preserve"> (14.4.22)</w:t>
      </w:r>
      <w:r w:rsidRPr="0086507B">
        <w:rPr>
          <w:rFonts w:ascii="Arial" w:hAnsi="Arial" w:hint="cs"/>
          <w:rtl/>
        </w:rPr>
        <w:t>, אליו הפנתה המאשימה,</w:t>
      </w:r>
      <w:r w:rsidRPr="0086507B">
        <w:rPr>
          <w:rFonts w:ascii="Arial" w:hAnsi="Arial"/>
          <w:rtl/>
        </w:rPr>
        <w:t xml:space="preserve"> המשיב הורשע לאחר הודאתו בעבירה של החזקת נשק בצוותא עם אחר, לפי </w:t>
      </w:r>
      <w:hyperlink r:id="rId23" w:history="1">
        <w:r w:rsidR="00DD20B3" w:rsidRPr="00DD20B3">
          <w:rPr>
            <w:rStyle w:val="Hyperlink"/>
            <w:rFonts w:ascii="Arial" w:hAnsi="Arial"/>
            <w:rtl/>
          </w:rPr>
          <w:t>סעיף 144(א)</w:t>
        </w:r>
      </w:hyperlink>
      <w:r w:rsidRPr="0086507B">
        <w:rPr>
          <w:rFonts w:ascii="Arial" w:hAnsi="Arial"/>
          <w:rtl/>
        </w:rPr>
        <w:t xml:space="preserve"> רישא וסיפא בצירוף </w:t>
      </w:r>
      <w:hyperlink r:id="rId24" w:history="1">
        <w:r w:rsidR="00DD20B3" w:rsidRPr="00DD20B3">
          <w:rPr>
            <w:rStyle w:val="Hyperlink"/>
            <w:rFonts w:ascii="Arial" w:hAnsi="Arial"/>
            <w:rtl/>
          </w:rPr>
          <w:t>סעיף 29</w:t>
        </w:r>
      </w:hyperlink>
      <w:r w:rsidRPr="0086507B">
        <w:rPr>
          <w:rFonts w:ascii="Arial" w:hAnsi="Arial"/>
          <w:rtl/>
        </w:rPr>
        <w:t xml:space="preserve"> ל</w:t>
      </w:r>
      <w:hyperlink r:id="rId25" w:history="1">
        <w:r w:rsidR="00A2033A" w:rsidRPr="00A2033A">
          <w:rPr>
            <w:rFonts w:ascii="Arial" w:hAnsi="Arial"/>
            <w:color w:val="0000FF"/>
            <w:u w:val="single"/>
            <w:rtl/>
          </w:rPr>
          <w:t>חוק העונשין</w:t>
        </w:r>
      </w:hyperlink>
      <w:r w:rsidRPr="0086507B">
        <w:rPr>
          <w:rFonts w:ascii="Arial" w:hAnsi="Arial"/>
          <w:rtl/>
        </w:rPr>
        <w:t xml:space="preserve">. המשיב החזיק באקדח "גלוק", מחסנית עם כדורים ורימון הלם. בית המשפט המחוזי קבע כי </w:t>
      </w:r>
      <w:r w:rsidRPr="0086507B">
        <w:rPr>
          <w:rFonts w:ascii="Arial" w:hAnsi="Arial"/>
          <w:b/>
          <w:bCs/>
          <w:rtl/>
        </w:rPr>
        <w:t xml:space="preserve">מתחם העונש ההולם נע בין 10 ל-36 חודשי מאסר </w:t>
      </w:r>
      <w:r>
        <w:rPr>
          <w:rFonts w:ascii="Arial" w:hAnsi="Arial"/>
          <w:b/>
          <w:bCs/>
          <w:rtl/>
        </w:rPr>
        <w:t>בפועל</w:t>
      </w:r>
      <w:r>
        <w:rPr>
          <w:rFonts w:ascii="Arial" w:hAnsi="Arial"/>
          <w:rtl/>
        </w:rPr>
        <w:t xml:space="preserve"> וגזר את עונשו של המשיב ברף התחתון של המתחם, כך שהושתו עליו 10 חודשי מאסר בפועל וענישה נלווית וזאת בשים לב לתקופה הקצרה שבה הוחזק הנשק, שפסקה ביוזמת המשיב לאחר ימים ספורים, לשיתוף הפעולה של המשיב בחקירתו בעניין האקדח, הגם שהאקדח לא נתפס, להודאתו המידית ללא צורך בשמיעת עדים, לגילו הצעיר (19 שנים) ולעברו הנקי. ערעור על קולת העונש שהגישה המדינה לבית המשפט העליון התקבל והעונש הוחמר ל- 18 חודשי מאסר בפועל. </w:t>
      </w:r>
    </w:p>
    <w:p w14:paraId="1FDE93C5" w14:textId="77777777" w:rsidR="004F5F9C" w:rsidRPr="00D0583F" w:rsidRDefault="004F5F9C" w:rsidP="004F5F9C">
      <w:pPr>
        <w:pStyle w:val="aa"/>
        <w:numPr>
          <w:ilvl w:val="0"/>
          <w:numId w:val="1"/>
        </w:numPr>
        <w:spacing w:before="240" w:after="240" w:line="360" w:lineRule="auto"/>
        <w:ind w:left="283" w:hanging="283"/>
        <w:jc w:val="both"/>
        <w:rPr>
          <w:rFonts w:ascii="Arial" w:hAnsi="Arial"/>
        </w:rPr>
      </w:pPr>
      <w:r>
        <w:rPr>
          <w:rFonts w:ascii="Arial" w:hAnsi="Arial" w:hint="cs"/>
          <w:rtl/>
        </w:rPr>
        <w:t>ב</w:t>
      </w:r>
      <w:hyperlink r:id="rId26" w:history="1">
        <w:r w:rsidR="00A2033A" w:rsidRPr="00A2033A">
          <w:rPr>
            <w:color w:val="0000FF"/>
            <w:u w:val="single"/>
            <w:rtl/>
          </w:rPr>
          <w:t>עפ"ג 21260-10-19</w:t>
        </w:r>
      </w:hyperlink>
      <w:r w:rsidRPr="00D0583F">
        <w:rPr>
          <w:rFonts w:hint="cs"/>
          <w:rtl/>
        </w:rPr>
        <w:t xml:space="preserve"> </w:t>
      </w:r>
      <w:r w:rsidRPr="00D0583F">
        <w:rPr>
          <w:rFonts w:hint="cs"/>
          <w:b/>
          <w:bCs/>
          <w:rtl/>
        </w:rPr>
        <w:t>מדינת ישראל נ' מזריב</w:t>
      </w:r>
      <w:r>
        <w:rPr>
          <w:rFonts w:hint="cs"/>
          <w:rtl/>
        </w:rPr>
        <w:t xml:space="preserve"> (24.11.19), אליו הפנה ב"כ הנאשם,</w:t>
      </w:r>
      <w:r>
        <w:rPr>
          <w:rFonts w:hint="cs"/>
        </w:rPr>
        <w:t xml:space="preserve"> </w:t>
      </w:r>
      <w:r>
        <w:rPr>
          <w:rFonts w:hint="cs"/>
          <w:rtl/>
        </w:rPr>
        <w:t>המשיב הורשע על פי הודאתו בעבירה של החזקת נשק שלא כדין. במסגרת חיפוש כדין שבוצע בביתו של המשיב נמצא כי הוא החזיק בארון בגדים בחדר השינה, בנשק תת מקלע מאולתר ולצדו מחסנית ייעודית מלאה ב – 21 כדורים. הנשק והמחסנית היו מוסלקים בתוך קופסת נעליים בארון נעול</w:t>
      </w:r>
      <w:r>
        <w:t>.</w:t>
      </w:r>
      <w:r>
        <w:rPr>
          <w:rFonts w:hint="cs"/>
          <w:rtl/>
        </w:rPr>
        <w:t xml:space="preserve"> בית משפט השלום קבע כי </w:t>
      </w:r>
      <w:r w:rsidRPr="00D0583F">
        <w:rPr>
          <w:rFonts w:hint="cs"/>
          <w:b/>
          <w:bCs/>
          <w:rtl/>
        </w:rPr>
        <w:t>מתחם העונש ההולם נע בין 12 חודשי מאסר בפועל עד 24 חודשים, בצירוף ענישה נלווית</w:t>
      </w:r>
      <w:r>
        <w:rPr>
          <w:rFonts w:hint="cs"/>
          <w:rtl/>
        </w:rPr>
        <w:t>. בית משפט השלום החליט לסטות ממתחם העונש ההולם משיקולי שיקום ודן את המשיב ל- 9 חודשי מאסר בפועל, לריצוי בדרך של עבודות שירות וענישה נלווית. המדינה ערערה על קולת העונש לבית המשפט המחוזי אשר קיבל את הערעור וקבע כי לא היה מקום לחרוג לקולא ממתחם העונש ההולם. מאחר וערכאת הערעור איננה ממצה את הדין עם הנאשם, נקבע כי על המשיב יוטלו 12 חודשי מאסר בפועל בניכוי ימי מעצרו, כאשר צו המבחן שהוטל עליו בוטל ויתר רכיבי גזר הדין נותרו על כנם</w:t>
      </w:r>
      <w:r>
        <w:t>.</w:t>
      </w:r>
    </w:p>
    <w:p w14:paraId="38D7B76C" w14:textId="77777777" w:rsidR="004F5F9C" w:rsidRDefault="004F5F9C" w:rsidP="004F5F9C">
      <w:pPr>
        <w:pStyle w:val="aa"/>
        <w:numPr>
          <w:ilvl w:val="0"/>
          <w:numId w:val="1"/>
        </w:numPr>
        <w:spacing w:before="240" w:after="240" w:line="360" w:lineRule="auto"/>
        <w:ind w:left="283" w:hanging="283"/>
        <w:jc w:val="both"/>
        <w:rPr>
          <w:rFonts w:ascii="Arial" w:hAnsi="Arial"/>
        </w:rPr>
      </w:pPr>
      <w:r w:rsidRPr="00C45D4E">
        <w:rPr>
          <w:rtl/>
        </w:rPr>
        <w:t>ב</w:t>
      </w:r>
      <w:hyperlink r:id="rId27" w:history="1">
        <w:r w:rsidR="00A2033A" w:rsidRPr="00A2033A">
          <w:rPr>
            <w:color w:val="0000FF"/>
            <w:u w:val="single"/>
            <w:rtl/>
          </w:rPr>
          <w:t>עפ"ג 33419-03-24</w:t>
        </w:r>
      </w:hyperlink>
      <w:r w:rsidRPr="00C45D4E">
        <w:rPr>
          <w:rtl/>
        </w:rPr>
        <w:t xml:space="preserve"> </w:t>
      </w:r>
      <w:r w:rsidRPr="00C45D4E">
        <w:rPr>
          <w:b/>
          <w:bCs/>
          <w:rtl/>
        </w:rPr>
        <w:t>מדינת ישראל נ' גרנאוי</w:t>
      </w:r>
      <w:r>
        <w:rPr>
          <w:rtl/>
        </w:rPr>
        <w:t xml:space="preserve"> (3.4.24) הנאשם הורשע בעבירה של החזקת אקדח חצי אוטומטי, קליבר 9 מ"מ פארבלום. </w:t>
      </w:r>
      <w:r w:rsidRPr="00C45D4E">
        <w:rPr>
          <w:b/>
          <w:bCs/>
          <w:rtl/>
        </w:rPr>
        <w:t>נקבע כי מתחם העונש ההולם נע בין 12 ל- 36 חודשי מאסר בפועל.</w:t>
      </w:r>
      <w:r>
        <w:rPr>
          <w:rtl/>
        </w:rPr>
        <w:t xml:space="preserve"> על הנאשם נגזרו 12 חודשי מאסר בפועל וענישה נלווית. המדינה ערערה על קולת העונש. בערעור נקבע כי מבלי לקבוע מסמרות לגבי מתחם העונש ההולם המתאים למקרה זה, נקבע כי העונש שבית המשפט הטיל, הגם שהוא מקל יחסית לעונשים המקובלים בנסיבות, איננו חורג במידה המצדיקה התערבות ערכאת הערעור</w:t>
      </w:r>
      <w:r>
        <w:t>.</w:t>
      </w:r>
    </w:p>
    <w:p w14:paraId="46A46F51" w14:textId="77777777" w:rsidR="004F5F9C" w:rsidRDefault="004F5F9C" w:rsidP="004F5F9C">
      <w:pPr>
        <w:pStyle w:val="aa"/>
        <w:numPr>
          <w:ilvl w:val="0"/>
          <w:numId w:val="1"/>
        </w:numPr>
        <w:spacing w:before="240" w:after="240" w:line="360" w:lineRule="auto"/>
        <w:ind w:left="283" w:hanging="283"/>
        <w:jc w:val="both"/>
        <w:rPr>
          <w:rFonts w:ascii="Arial" w:hAnsi="Arial"/>
        </w:rPr>
      </w:pPr>
      <w:r w:rsidRPr="00D0583F">
        <w:rPr>
          <w:rFonts w:hint="cs"/>
          <w:rtl/>
        </w:rPr>
        <w:t>ב</w:t>
      </w:r>
      <w:hyperlink r:id="rId28" w:history="1">
        <w:r w:rsidR="00A2033A" w:rsidRPr="00A2033A">
          <w:rPr>
            <w:color w:val="0000FF"/>
            <w:u w:val="single"/>
            <w:rtl/>
          </w:rPr>
          <w:t>עפ"ג 34568-12-18</w:t>
        </w:r>
      </w:hyperlink>
      <w:r w:rsidRPr="00D0583F">
        <w:rPr>
          <w:rFonts w:hint="cs"/>
          <w:rtl/>
        </w:rPr>
        <w:t xml:space="preserve"> </w:t>
      </w:r>
      <w:r w:rsidRPr="00D0583F">
        <w:rPr>
          <w:rFonts w:hint="cs"/>
          <w:b/>
          <w:bCs/>
          <w:rtl/>
        </w:rPr>
        <w:t>מדינת ישראל נ' ארקן אסעדי</w:t>
      </w:r>
      <w:r w:rsidRPr="00D0583F">
        <w:rPr>
          <w:rFonts w:hint="cs"/>
          <w:rtl/>
        </w:rPr>
        <w:t xml:space="preserve"> (17.1.19), אליו הפנה ב"כ הנאשם, המשיב  הורשע בעבירה של החזקת נשק שלא כדין, </w:t>
      </w:r>
      <w:r>
        <w:rPr>
          <w:rFonts w:hint="cs"/>
          <w:rtl/>
        </w:rPr>
        <w:t>ו</w:t>
      </w:r>
      <w:r w:rsidRPr="00D0583F">
        <w:rPr>
          <w:rFonts w:hint="cs"/>
          <w:rtl/>
        </w:rPr>
        <w:t>בעבירה של החזק</w:t>
      </w:r>
      <w:r>
        <w:rPr>
          <w:rFonts w:hint="cs"/>
          <w:rtl/>
        </w:rPr>
        <w:t>ת חלק של נשק או תחמושת שלא כדין</w:t>
      </w:r>
      <w:r w:rsidRPr="00D0583F">
        <w:rPr>
          <w:rFonts w:hint="cs"/>
          <w:rtl/>
        </w:rPr>
        <w:t xml:space="preserve">. במהלך חיפוש בביתו של המשיב נתפס בחדר הילדים נשק-חפץ דמוי תת מקלע מסוג קארל גוסטב, שסוגל לירות כדור שבכוחו להמית אדם,  מונח על גבי מזרון </w:t>
      </w:r>
      <w:r>
        <w:rPr>
          <w:rFonts w:hint="cs"/>
          <w:rtl/>
        </w:rPr>
        <w:t xml:space="preserve">סמוך ללול הילדים, כשהוא עטוף בחולצה שחורה ומונח בתוך שקית, ולצדו בתוך השקית מחסנית ריקה תואמת לנשק. בחדר סמוך בכספת נעולה ומקובעת לקיר נתפסו 50 כדורי 9 מ"מ תואמים לנשק, בתוך תושבת פלסטיק ייעודית, עטופים בניילון שקוף נצמד. </w:t>
      </w:r>
      <w:r w:rsidRPr="00D0583F">
        <w:rPr>
          <w:rFonts w:hint="cs"/>
          <w:b/>
          <w:bCs/>
          <w:rtl/>
        </w:rPr>
        <w:t>בית משפט השלום קבע כי מתחם העונש ההולם נע בין 10 ל- 30 חודשי מאסר בפועל לצד רכיבי ענישה נוספים</w:t>
      </w:r>
      <w:r>
        <w:rPr>
          <w:rFonts w:hint="cs"/>
          <w:rtl/>
        </w:rPr>
        <w:t>.</w:t>
      </w:r>
      <w:r>
        <w:rPr>
          <w:rFonts w:hint="cs"/>
        </w:rPr>
        <w:t xml:space="preserve"> </w:t>
      </w:r>
      <w:r>
        <w:rPr>
          <w:rFonts w:hint="cs"/>
          <w:rtl/>
        </w:rPr>
        <w:t xml:space="preserve"> בשל שיקולי שיקום סטה בית המשפט ממתחם העונש ההולם והטיל</w:t>
      </w:r>
      <w:r>
        <w:rPr>
          <w:rFonts w:hint="cs"/>
        </w:rPr>
        <w:t xml:space="preserve"> </w:t>
      </w:r>
      <w:r>
        <w:rPr>
          <w:rFonts w:hint="cs"/>
          <w:rtl/>
        </w:rPr>
        <w:t xml:space="preserve">על המשיב 6 חודשי מאסר בפועל לריצוי בעבודות שירות וענישה נלווית. המדינה ערערה לבית המשפט המחוזי על קולת העונש, אשר קיבל את הערעור וקבע כי לא היה מקום במקרה זה לסטות ממתחם העונש ההולם משיקולי שיקום. לאחר שבית המשפט ציין כי אינו ממצה את הדין עם המשיב במסגרת הערעור, הוחמר עונשו של המשיב ל-9 חודשי מאסר בפועל, צו המבחן בוטל ורכיבי המאסר המותנה נותרו על כנם.  </w:t>
      </w:r>
    </w:p>
    <w:p w14:paraId="2D4F6266" w14:textId="77777777" w:rsidR="004F5F9C" w:rsidRPr="007D70EA" w:rsidRDefault="004F5F9C" w:rsidP="004F5F9C">
      <w:pPr>
        <w:pStyle w:val="aa"/>
        <w:numPr>
          <w:ilvl w:val="0"/>
          <w:numId w:val="1"/>
        </w:numPr>
        <w:spacing w:before="240" w:after="240" w:line="360" w:lineRule="auto"/>
        <w:ind w:left="283" w:hanging="283"/>
        <w:jc w:val="both"/>
        <w:rPr>
          <w:rFonts w:ascii="Arial" w:hAnsi="Arial"/>
        </w:rPr>
      </w:pPr>
      <w:r>
        <w:rPr>
          <w:rFonts w:hint="cs"/>
          <w:rtl/>
        </w:rPr>
        <w:t>ב</w:t>
      </w:r>
      <w:hyperlink r:id="rId29" w:history="1">
        <w:r w:rsidR="00A2033A" w:rsidRPr="00A2033A">
          <w:rPr>
            <w:color w:val="0000FF"/>
            <w:u w:val="single"/>
            <w:rtl/>
          </w:rPr>
          <w:t>עפ"ג 28287-02-21</w:t>
        </w:r>
      </w:hyperlink>
      <w:r>
        <w:rPr>
          <w:rFonts w:hint="cs"/>
          <w:rtl/>
        </w:rPr>
        <w:t xml:space="preserve"> </w:t>
      </w:r>
      <w:r w:rsidRPr="00D0583F">
        <w:rPr>
          <w:rFonts w:hint="cs"/>
          <w:b/>
          <w:bCs/>
          <w:rtl/>
        </w:rPr>
        <w:t>מדינת ישראל נ' אבו הלאל</w:t>
      </w:r>
      <w:r>
        <w:rPr>
          <w:rFonts w:hint="cs"/>
          <w:rtl/>
        </w:rPr>
        <w:t xml:space="preserve"> (22.4.21), אליו הפנה ב"כ הנאשם, המבקשים הורשעו על פי הודאתם בעבירות החזקת נשק ותחמושת שלא כדין, זאת, בגין החזקת שני כלי נשק מאולתרים מסוג קרלו, מחסניות, ו-4 כדורי 9 מ"מ, וכן החזקה של כדור תחמושת המשמש נשק ארוך על ידי המבקש 1</w:t>
      </w:r>
      <w:r>
        <w:t>.</w:t>
      </w:r>
      <w:r>
        <w:rPr>
          <w:rtl/>
        </w:rPr>
        <w:t xml:space="preserve"> </w:t>
      </w:r>
      <w:r w:rsidRPr="00D0583F">
        <w:rPr>
          <w:rFonts w:hint="cs"/>
          <w:b/>
          <w:bCs/>
          <w:rtl/>
        </w:rPr>
        <w:t>בית משפט השלום קבע כי מתחם העונש ההולם נע בין 10 ל-18 חודשי מאסר בפועל</w:t>
      </w:r>
      <w:r>
        <w:rPr>
          <w:rFonts w:hint="cs"/>
          <w:rtl/>
        </w:rPr>
        <w:t xml:space="preserve">. נוכח שיקולי שיקום, בית משפט השלום סטה לקולא ממתחם העונש ההולם, והשית על כל אחד מהמבקשים 9 חודשי מאסר בפועל, אשר ירוצו בדרך של עבודות שירות וענישה נלווית. המדינה הגישה ערעור על קולת העונש לבית המשפט המחוזי אשר התקבל ונקבע כי </w:t>
      </w:r>
      <w:r w:rsidRPr="00D0583F">
        <w:rPr>
          <w:rFonts w:hint="cs"/>
          <w:b/>
          <w:bCs/>
          <w:rtl/>
        </w:rPr>
        <w:t>מתחם העונש ההולם נע בין 10 ל-24 חודשי מאסר בפועל</w:t>
      </w:r>
      <w:r>
        <w:rPr>
          <w:rFonts w:hint="cs"/>
          <w:rtl/>
        </w:rPr>
        <w:t>. בית המשפט גזר על כל אחד מהמבקשים, חלף עבודות השירות, 10 חודשי מאסר בפועל, בניכוי ימי מעצרם. עונש המאסר המותנה, שהושת על המבקשים בבית משפט השלום, נותר על כנו</w:t>
      </w:r>
      <w:r>
        <w:t>.</w:t>
      </w:r>
      <w:r>
        <w:rPr>
          <w:rFonts w:hint="cs"/>
          <w:rtl/>
        </w:rPr>
        <w:t xml:space="preserve"> בקשת רשות ערעור שהגישו המבקשים לבית המשפט העליון נדחתה </w:t>
      </w:r>
      <w:r w:rsidRPr="00833506">
        <w:rPr>
          <w:rFonts w:hint="cs"/>
          <w:rtl/>
        </w:rPr>
        <w:t>(</w:t>
      </w:r>
      <w:hyperlink r:id="rId30" w:history="1">
        <w:r w:rsidR="00A2033A" w:rsidRPr="00A2033A">
          <w:rPr>
            <w:color w:val="0000FF"/>
            <w:u w:val="single"/>
            <w:rtl/>
          </w:rPr>
          <w:t>רע"פ 3619/21</w:t>
        </w:r>
      </w:hyperlink>
      <w:r>
        <w:rPr>
          <w:rFonts w:hint="cs"/>
          <w:rtl/>
        </w:rPr>
        <w:t xml:space="preserve"> (26.5.21)).</w:t>
      </w:r>
    </w:p>
    <w:p w14:paraId="597EB314" w14:textId="77777777" w:rsidR="004F5F9C" w:rsidRPr="00C45D4E" w:rsidRDefault="004F5F9C" w:rsidP="004F5F9C">
      <w:pPr>
        <w:pStyle w:val="aa"/>
        <w:numPr>
          <w:ilvl w:val="0"/>
          <w:numId w:val="1"/>
        </w:numPr>
        <w:spacing w:before="240" w:after="240" w:line="360" w:lineRule="auto"/>
        <w:ind w:left="283" w:hanging="283"/>
        <w:jc w:val="both"/>
        <w:rPr>
          <w:rFonts w:ascii="Arial" w:hAnsi="Arial"/>
        </w:rPr>
      </w:pPr>
      <w:r>
        <w:rPr>
          <w:rtl/>
        </w:rPr>
        <w:t>ב</w:t>
      </w:r>
      <w:hyperlink r:id="rId31" w:history="1">
        <w:r w:rsidR="00A2033A" w:rsidRPr="00A2033A">
          <w:rPr>
            <w:color w:val="0000FF"/>
            <w:u w:val="single"/>
            <w:rtl/>
          </w:rPr>
          <w:t>ת"פ 20743-11-22</w:t>
        </w:r>
      </w:hyperlink>
      <w:r w:rsidRPr="00C45D4E">
        <w:rPr>
          <w:rtl/>
        </w:rPr>
        <w:t xml:space="preserve"> </w:t>
      </w:r>
      <w:r w:rsidRPr="00C45D4E">
        <w:rPr>
          <w:b/>
          <w:bCs/>
          <w:rtl/>
        </w:rPr>
        <w:t>מדינת ישראל נ' ג'בארין</w:t>
      </w:r>
      <w:r w:rsidRPr="00C45D4E">
        <w:rPr>
          <w:rtl/>
        </w:rPr>
        <w:t xml:space="preserve"> (3.3.24), אליו הפנה ב"כ הנאשם, הנאשם הורשע בעבירות של החזקת נשק שלא כדין בניגוד </w:t>
      </w:r>
      <w:hyperlink r:id="rId32" w:history="1">
        <w:r w:rsidR="00DD20B3" w:rsidRPr="00DD20B3">
          <w:rPr>
            <w:rStyle w:val="Hyperlink"/>
            <w:rtl/>
          </w:rPr>
          <w:t>לסעיף 144(א)</w:t>
        </w:r>
      </w:hyperlink>
      <w:r w:rsidRPr="00C45D4E">
        <w:rPr>
          <w:rtl/>
        </w:rPr>
        <w:t xml:space="preserve"> רישא ל</w:t>
      </w:r>
      <w:hyperlink r:id="rId33" w:history="1">
        <w:r w:rsidR="00A2033A" w:rsidRPr="00A2033A">
          <w:rPr>
            <w:color w:val="0000FF"/>
            <w:u w:val="single"/>
            <w:rtl/>
          </w:rPr>
          <w:t>חוק העונשין</w:t>
        </w:r>
      </w:hyperlink>
      <w:r w:rsidRPr="00C45D4E">
        <w:rPr>
          <w:rtl/>
        </w:rPr>
        <w:t xml:space="preserve">, והחזקת חלק של נשק ותחמושת – בניגוד </w:t>
      </w:r>
      <w:hyperlink r:id="rId34" w:history="1">
        <w:r w:rsidR="00DD20B3" w:rsidRPr="00DD20B3">
          <w:rPr>
            <w:rStyle w:val="Hyperlink"/>
            <w:rtl/>
          </w:rPr>
          <w:t>לסעיף 144(א)</w:t>
        </w:r>
      </w:hyperlink>
      <w:r>
        <w:rPr>
          <w:rtl/>
        </w:rPr>
        <w:t xml:space="preserve"> סיפא לחוק העונשין. הנאשם נמצא מחזיק בסל מתחת לשולחן בסלון, בנשק מסוג זיגזאוור</w:t>
      </w:r>
      <w:r>
        <w:rPr>
          <w:rFonts w:hint="cs"/>
          <w:rtl/>
        </w:rPr>
        <w:t xml:space="preserve">. </w:t>
      </w:r>
      <w:r>
        <w:rPr>
          <w:rtl/>
        </w:rPr>
        <w:t xml:space="preserve">הנשק היה טעון במחסנית ובה 14 כדורי תחמושת מסוג 9 מ"מ. </w:t>
      </w:r>
      <w:r w:rsidRPr="00C45D4E">
        <w:rPr>
          <w:b/>
          <w:bCs/>
          <w:rtl/>
        </w:rPr>
        <w:t>נקבע כי מתחם העונש ההולם נע בין 6 לבין 18 חודשי מאסר בפועל לצד ענישה צופה פני עתיד וקנס כספי</w:t>
      </w:r>
      <w:r>
        <w:t>.</w:t>
      </w:r>
      <w:r>
        <w:rPr>
          <w:rtl/>
        </w:rPr>
        <w:t xml:space="preserve"> </w:t>
      </w:r>
      <w:r>
        <w:rPr>
          <w:rFonts w:hint="cs"/>
          <w:rtl/>
        </w:rPr>
        <w:t>במקרה זה נקבע כי לאור הנסיבות החריגות והייחודיות, מקרה זה אינו מצדיק הטלת ענישה מאחורי סורג ובריח וניתן להשיג את תכלית הענישה בדרך אחרת, במאסר שיינשא בעבודות שירות</w:t>
      </w:r>
      <w:r>
        <w:t>.</w:t>
      </w:r>
      <w:r>
        <w:rPr>
          <w:rtl/>
        </w:rPr>
        <w:t xml:space="preserve"> על הנאשם נגזרו 6 חודשי מאסר לריצוי בעבודות שירות וענישה נלווית. </w:t>
      </w:r>
    </w:p>
    <w:p w14:paraId="6CA8DFCD" w14:textId="77777777" w:rsidR="004F5F9C" w:rsidRDefault="004F5F9C" w:rsidP="004F5F9C">
      <w:pPr>
        <w:pStyle w:val="aa"/>
        <w:numPr>
          <w:ilvl w:val="0"/>
          <w:numId w:val="1"/>
        </w:numPr>
        <w:spacing w:before="240" w:after="240" w:line="360" w:lineRule="auto"/>
        <w:ind w:left="283" w:hanging="283"/>
        <w:jc w:val="both"/>
      </w:pPr>
      <w:r>
        <w:rPr>
          <w:rFonts w:hint="cs"/>
          <w:rtl/>
        </w:rPr>
        <w:t>ב</w:t>
      </w:r>
      <w:hyperlink r:id="rId35" w:history="1">
        <w:r w:rsidR="00A2033A" w:rsidRPr="00A2033A">
          <w:rPr>
            <w:color w:val="0000FF"/>
            <w:u w:val="single"/>
            <w:rtl/>
          </w:rPr>
          <w:t>ת"פ 39460-02-22</w:t>
        </w:r>
      </w:hyperlink>
      <w:r>
        <w:rPr>
          <w:rFonts w:hint="cs"/>
          <w:rtl/>
        </w:rPr>
        <w:t xml:space="preserve"> </w:t>
      </w:r>
      <w:r w:rsidRPr="00F2065D">
        <w:rPr>
          <w:rFonts w:hint="cs"/>
          <w:b/>
          <w:bCs/>
          <w:rtl/>
        </w:rPr>
        <w:t>מדינת ישראל נ' חמוד</w:t>
      </w:r>
      <w:r>
        <w:rPr>
          <w:rFonts w:hint="cs"/>
          <w:rtl/>
        </w:rPr>
        <w:t xml:space="preserve"> (21.5.23), אליו הפנה ב"כ הנאשם, הנאשם הורשע בעבירות של החזקת נשק שלא כדין והחזקת חלק של נשק או תחמושת ועבירה של החזקת סמים לצריכה עצמית. בעת חיפוש שנערך כדין בביתו של הנאשם נמצא כי הנאשם החזיק במשרדו, בתוך ארון, בקופסא אדומה ובה אקדח ברטה בצבע שחור אשר היה עטוף בבד. עוד החזיק הנאשם במשרד סם מסוכן מסוג חשיש במשקל נטו של 3.5 גרם וכן ב 7 סוכריות שהינן סם מסוכן. בנוסף הנאשם מחזיק בתוך שידה הסמוכה למיטתו בבית 2 כדורי 9 מ"מ. </w:t>
      </w:r>
      <w:r w:rsidRPr="00F2065D">
        <w:rPr>
          <w:rFonts w:hint="cs"/>
          <w:b/>
          <w:bCs/>
          <w:rtl/>
        </w:rPr>
        <w:t>נקבע כי מתחם העונש ההולם לכל העבירות נע בין 12 – 24 חודשי מאסר בפועל לצד מאסר מותנה וקנס כספי</w:t>
      </w:r>
      <w:r>
        <w:rPr>
          <w:rFonts w:hint="cs"/>
          <w:rtl/>
        </w:rPr>
        <w:t>. על הנאשם נגזרו 12 חודשי מאסר בפועל וענישה נלווית. (הוגש ערעור על חומרת העונש אשר נדחה (</w:t>
      </w:r>
      <w:hyperlink r:id="rId36" w:history="1">
        <w:r w:rsidR="00A2033A" w:rsidRPr="00A2033A">
          <w:rPr>
            <w:color w:val="0000FF"/>
            <w:u w:val="single"/>
            <w:rtl/>
          </w:rPr>
          <w:t>עפ"ג 72851-05-23</w:t>
        </w:r>
      </w:hyperlink>
      <w:r>
        <w:rPr>
          <w:rFonts w:hint="cs"/>
          <w:rtl/>
        </w:rPr>
        <w:t>)).</w:t>
      </w:r>
    </w:p>
    <w:p w14:paraId="259EBE00" w14:textId="77777777" w:rsidR="004F5F9C" w:rsidRDefault="004F5F9C" w:rsidP="004F5F9C">
      <w:pPr>
        <w:pStyle w:val="aa"/>
        <w:numPr>
          <w:ilvl w:val="0"/>
          <w:numId w:val="1"/>
        </w:numPr>
        <w:spacing w:before="240" w:after="240" w:line="360" w:lineRule="auto"/>
        <w:ind w:left="283"/>
        <w:jc w:val="both"/>
        <w:rPr>
          <w:lang w:eastAsia="he-IL"/>
        </w:rPr>
      </w:pPr>
      <w:r>
        <w:rPr>
          <w:rFonts w:hint="cs"/>
          <w:rtl/>
        </w:rPr>
        <w:t>ב</w:t>
      </w:r>
      <w:hyperlink r:id="rId37" w:history="1">
        <w:r w:rsidR="00A2033A" w:rsidRPr="00A2033A">
          <w:rPr>
            <w:color w:val="0000FF"/>
            <w:u w:val="single"/>
            <w:rtl/>
          </w:rPr>
          <w:t>עפ"ג (מח' חיפה)  64033-11-22</w:t>
        </w:r>
      </w:hyperlink>
      <w:r>
        <w:rPr>
          <w:rFonts w:hint="cs"/>
          <w:rtl/>
        </w:rPr>
        <w:t xml:space="preserve"> </w:t>
      </w:r>
      <w:r>
        <w:rPr>
          <w:rFonts w:hint="cs"/>
          <w:b/>
          <w:bCs/>
          <w:rtl/>
        </w:rPr>
        <w:t>מ"י נ' מיכאלוב</w:t>
      </w:r>
      <w:r>
        <w:rPr>
          <w:rFonts w:hint="cs"/>
          <w:rtl/>
        </w:rPr>
        <w:t xml:space="preserve"> (27.3.23), המשיב הורשע בביצוע  עבירה של  החזקת נשק שלא כדין, בניגוד לסעיף </w:t>
      </w:r>
      <w:r w:rsidRPr="00F2065D">
        <w:rPr>
          <w:rFonts w:hint="cs"/>
          <w:rtl/>
        </w:rPr>
        <w:t xml:space="preserve">סעיף </w:t>
      </w:r>
      <w:hyperlink r:id="rId38" w:history="1">
        <w:r w:rsidR="00DD20B3" w:rsidRPr="00DD20B3">
          <w:rPr>
            <w:rStyle w:val="Hyperlink"/>
            <w:rtl/>
          </w:rPr>
          <w:t>144(א)</w:t>
        </w:r>
      </w:hyperlink>
      <w:r>
        <w:rPr>
          <w:rFonts w:hint="cs"/>
          <w:rtl/>
        </w:rPr>
        <w:t xml:space="preserve"> ל</w:t>
      </w:r>
      <w:hyperlink r:id="rId39" w:history="1">
        <w:r w:rsidR="00A2033A" w:rsidRPr="00A2033A">
          <w:rPr>
            <w:color w:val="0000FF"/>
            <w:u w:val="single"/>
            <w:rtl/>
          </w:rPr>
          <w:t>חוק העונשין</w:t>
        </w:r>
      </w:hyperlink>
      <w:r>
        <w:rPr>
          <w:rFonts w:cs="Arial"/>
          <w:rtl/>
        </w:rPr>
        <w:t xml:space="preserve"> </w:t>
      </w:r>
      <w:r>
        <w:rPr>
          <w:rFonts w:hint="cs"/>
          <w:rtl/>
          <w:lang w:eastAsia="he-IL"/>
        </w:rPr>
        <w:t>ועבירה של החזקת סמים לצריכה עצמית</w:t>
      </w:r>
      <w:r>
        <w:rPr>
          <w:rFonts w:hint="cs"/>
          <w:rtl/>
        </w:rPr>
        <w:t xml:space="preserve">. </w:t>
      </w:r>
      <w:r>
        <w:rPr>
          <w:rFonts w:hint="cs"/>
          <w:rtl/>
          <w:lang w:eastAsia="he-IL"/>
        </w:rPr>
        <w:t xml:space="preserve">המשיב החזיק בביתו אקדח בקוטר 9 מ"מ ובו כדור אחד בקנה, שני כדורים נוספים במחסנית בתוך האקדח וכן החזיק המשיב שני כדורים נוספים המתאימים לשימוש באקדח. עוד החזיק המשיב בסם מסוכן מסוג קנאבוס במשקל של 47.62 גרם נטו לצריכה עצמית ללא היתר או רישיון. </w:t>
      </w:r>
      <w:r>
        <w:rPr>
          <w:rFonts w:hint="cs"/>
          <w:b/>
          <w:bCs/>
          <w:rtl/>
          <w:lang w:eastAsia="he-IL"/>
        </w:rPr>
        <w:t>בית המשפט קבע כי בגין עבירת הנשק מתחם עונש הולם הנע מ-10 ל- 30 חודשי מאסר בפועל.</w:t>
      </w:r>
      <w:r>
        <w:rPr>
          <w:rFonts w:hint="cs"/>
          <w:rtl/>
          <w:lang w:eastAsia="he-IL"/>
        </w:rPr>
        <w:t xml:space="preserve"> בשל שיקולי שיקום סטה בית המשפט לקולא מהמתחם שנקבע וגזר על הנאשם </w:t>
      </w:r>
      <w:r>
        <w:rPr>
          <w:rFonts w:hint="cs"/>
          <w:rtl/>
        </w:rPr>
        <w:t>מאסר בפועל לתקופה של 9 חודשים לריצוי בעבודות שרות וענישה נלווית. המדינה הגעשה ערעור על קולת העונש</w:t>
      </w:r>
      <w:r>
        <w:rPr>
          <w:rFonts w:hint="cs"/>
          <w:rtl/>
          <w:lang w:eastAsia="he-IL"/>
        </w:rPr>
        <w:t xml:space="preserve">, אשר התקבל, ועל הנאשם הוטל עונש של 10 חודשי מאסר בפועל כאשר יתר רכיבי העונש למעט צו המבחן, נותרו על כנם.  </w:t>
      </w:r>
    </w:p>
    <w:p w14:paraId="55EBC9A9" w14:textId="77777777" w:rsidR="004F5F9C" w:rsidRDefault="004F5F9C" w:rsidP="004F5F9C">
      <w:pPr>
        <w:pStyle w:val="aa"/>
        <w:numPr>
          <w:ilvl w:val="0"/>
          <w:numId w:val="1"/>
        </w:numPr>
        <w:spacing w:before="240" w:after="240" w:line="360" w:lineRule="auto"/>
        <w:ind w:left="283" w:hanging="283"/>
        <w:jc w:val="both"/>
      </w:pPr>
      <w:r w:rsidRPr="00D0583F">
        <w:rPr>
          <w:rFonts w:hint="cs"/>
          <w:rtl/>
        </w:rPr>
        <w:t>ב</w:t>
      </w:r>
      <w:hyperlink r:id="rId40" w:history="1">
        <w:r w:rsidR="00A2033A" w:rsidRPr="00A2033A">
          <w:rPr>
            <w:color w:val="0000FF"/>
            <w:u w:val="single"/>
            <w:rtl/>
          </w:rPr>
          <w:t>ת"פ 50809-07-17</w:t>
        </w:r>
      </w:hyperlink>
      <w:r w:rsidRPr="00D0583F">
        <w:rPr>
          <w:rFonts w:hint="cs"/>
          <w:rtl/>
        </w:rPr>
        <w:t xml:space="preserve"> </w:t>
      </w:r>
      <w:r w:rsidRPr="00F2065D">
        <w:rPr>
          <w:rFonts w:hint="cs"/>
          <w:b/>
          <w:bCs/>
          <w:rtl/>
        </w:rPr>
        <w:t>מדינת ישראל נ' סלום אבו שיבאן</w:t>
      </w:r>
      <w:r w:rsidRPr="00D0583F">
        <w:rPr>
          <w:rFonts w:hint="cs"/>
          <w:rtl/>
        </w:rPr>
        <w:t xml:space="preserve"> (31.3.19), אליו הפנה ב"כ הנאשם, </w:t>
      </w:r>
      <w:r>
        <w:rPr>
          <w:rFonts w:hint="cs"/>
          <w:rtl/>
        </w:rPr>
        <w:t>הנאשמים הורשעו בעבירת החזקת נשק ו</w:t>
      </w:r>
      <w:r w:rsidRPr="00D0583F">
        <w:rPr>
          <w:rFonts w:hint="cs"/>
          <w:rtl/>
        </w:rPr>
        <w:t>בעביר</w:t>
      </w:r>
      <w:r>
        <w:rPr>
          <w:rFonts w:hint="cs"/>
          <w:rtl/>
        </w:rPr>
        <w:t xml:space="preserve">ה של נשיאת נשק. </w:t>
      </w:r>
      <w:r w:rsidRPr="00D0583F">
        <w:rPr>
          <w:rFonts w:hint="cs"/>
          <w:rtl/>
        </w:rPr>
        <w:t xml:space="preserve">נאשם 1 הורשע גם בביצוע עבירות תקיפה סתם ואיומים. הנאשמים החזיקו בביתם </w:t>
      </w:r>
      <w:r>
        <w:rPr>
          <w:rFonts w:hint="cs"/>
          <w:rtl/>
        </w:rPr>
        <w:t xml:space="preserve">אקדח מסוג </w:t>
      </w:r>
      <w:r>
        <w:t>FN</w:t>
      </w:r>
      <w:r>
        <w:rPr>
          <w:rtl/>
        </w:rPr>
        <w:t xml:space="preserve"> </w:t>
      </w:r>
      <w:r>
        <w:rPr>
          <w:rFonts w:hint="cs"/>
          <w:rtl/>
        </w:rPr>
        <w:t xml:space="preserve">ומחסנית התואמת לאקדח וכדורים. נאשם 1 התקשר לנאשם 2 ובקש ממנו להוציא את האקדח ממקום מחבואו בבית ולהעבירו למקום מחבוא אחר – העסק המשפחתי, בשל חששו של נאשם 1 שהאקדח ייתפס והוא ייעצר על ידי המשטרה. נאשם 2 לקח את האקדח ובו המחסנית עם הכדורים נכנס לרכב והחל בנסיעה לכיוון העסק, כשהוא מחזיק, נושא ומוביל את האקדח עם המחסנית והכדורים, וכל זאת בצוותא חדא עם נאשם 1. נאשם 2 הגיע סמוך לעסק, עצר את רכבו ונעצר על ידי שוטרים כשהאקדח והמחסנית עם הכדורים מוסלקים בחלק הקדמי של מכנסיו. </w:t>
      </w:r>
      <w:r w:rsidRPr="00F2065D">
        <w:rPr>
          <w:rFonts w:hint="cs"/>
          <w:b/>
          <w:bCs/>
          <w:rtl/>
        </w:rPr>
        <w:t>נקבע כי מתחם העונש ההולם נע בין 12 חודשי מאסר בפועל ל-36 חודשי מאסר בפועל, לצד רכיב ענישה של מאסר מותנה</w:t>
      </w:r>
      <w:r>
        <w:rPr>
          <w:rFonts w:hint="cs"/>
          <w:rtl/>
        </w:rPr>
        <w:t xml:space="preserve">. על נאשם 1 נגזר עונש של 12 חודשי מאסר בפועל וענישה נלווית. על נאשם 2 נגזר עונש של 6 חודשי מאסר לריצוי בעבודות שירות וענישה נלווית לאחר שהוחלט לסטות בעניינו ממתחם העונש ההולם משיקולי שיקום. </w:t>
      </w:r>
    </w:p>
    <w:p w14:paraId="51A4330F" w14:textId="77777777" w:rsidR="004F5F9C" w:rsidRDefault="004F5F9C" w:rsidP="004F5F9C">
      <w:pPr>
        <w:pStyle w:val="aa"/>
        <w:spacing w:before="240" w:after="240" w:line="360" w:lineRule="auto"/>
        <w:ind w:left="283" w:hanging="283"/>
        <w:jc w:val="both"/>
      </w:pPr>
    </w:p>
    <w:p w14:paraId="2347980C" w14:textId="77777777" w:rsidR="004F5F9C" w:rsidRDefault="004F5F9C" w:rsidP="004F5F9C">
      <w:pPr>
        <w:spacing w:before="240" w:after="240" w:line="360" w:lineRule="auto"/>
        <w:jc w:val="both"/>
        <w:rPr>
          <w:rFonts w:ascii="David" w:hAnsi="David"/>
          <w:color w:val="000000"/>
          <w:sz w:val="27"/>
          <w:szCs w:val="27"/>
        </w:rPr>
      </w:pPr>
      <w:r>
        <w:rPr>
          <w:rFonts w:ascii="David" w:hAnsi="David"/>
          <w:rtl/>
        </w:rPr>
        <w:t xml:space="preserve">לאחר ששקלתי את מכלול השיקולים המעוגנים </w:t>
      </w:r>
      <w:hyperlink r:id="rId41" w:history="1">
        <w:r w:rsidR="00DD20B3" w:rsidRPr="00DD20B3">
          <w:rPr>
            <w:rStyle w:val="Hyperlink"/>
            <w:rFonts w:ascii="David" w:hAnsi="David"/>
            <w:rtl/>
          </w:rPr>
          <w:t>בסעיף 40ג(א)</w:t>
        </w:r>
      </w:hyperlink>
      <w:r w:rsidRPr="007D70EA">
        <w:rPr>
          <w:rFonts w:ascii="David" w:hAnsi="David"/>
          <w:rtl/>
        </w:rPr>
        <w:t xml:space="preserve"> ל</w:t>
      </w:r>
      <w:hyperlink r:id="rId42" w:history="1">
        <w:r w:rsidR="00A2033A" w:rsidRPr="00A2033A">
          <w:rPr>
            <w:rFonts w:ascii="David" w:hAnsi="David"/>
            <w:color w:val="0000FF"/>
            <w:u w:val="single"/>
            <w:rtl/>
          </w:rPr>
          <w:t>חוק העונשין</w:t>
        </w:r>
      </w:hyperlink>
      <w:r w:rsidRPr="007D70EA">
        <w:rPr>
          <w:rFonts w:ascii="David" w:hAnsi="David"/>
          <w:rtl/>
        </w:rPr>
        <w:t xml:space="preserve">, </w:t>
      </w:r>
      <w:r>
        <w:rPr>
          <w:rFonts w:ascii="David" w:hAnsi="David"/>
          <w:rtl/>
        </w:rPr>
        <w:t xml:space="preserve">אני קובעת כי </w:t>
      </w:r>
      <w:r>
        <w:rPr>
          <w:rFonts w:ascii="David" w:hAnsi="David"/>
          <w:b/>
          <w:bCs/>
          <w:rtl/>
        </w:rPr>
        <w:t xml:space="preserve">מתחם העונש ההולם נע בין </w:t>
      </w:r>
      <w:r>
        <w:rPr>
          <w:rFonts w:ascii="David" w:hAnsi="David" w:hint="cs"/>
          <w:b/>
          <w:bCs/>
          <w:rtl/>
        </w:rPr>
        <w:t>12</w:t>
      </w:r>
      <w:r>
        <w:rPr>
          <w:rFonts w:ascii="David" w:hAnsi="David"/>
          <w:b/>
          <w:bCs/>
          <w:rtl/>
        </w:rPr>
        <w:t xml:space="preserve"> חודשי מאסר בפועל ל- </w:t>
      </w:r>
      <w:r>
        <w:rPr>
          <w:rFonts w:ascii="David" w:hAnsi="David" w:hint="cs"/>
          <w:b/>
          <w:bCs/>
          <w:rtl/>
        </w:rPr>
        <w:t xml:space="preserve">30 </w:t>
      </w:r>
      <w:r>
        <w:rPr>
          <w:rFonts w:ascii="David" w:hAnsi="David"/>
          <w:b/>
          <w:bCs/>
          <w:rtl/>
        </w:rPr>
        <w:t>חודשי מאסר בפועל</w:t>
      </w:r>
      <w:r>
        <w:rPr>
          <w:rFonts w:ascii="David" w:hAnsi="David"/>
          <w:rtl/>
        </w:rPr>
        <w:t>, בצירוף ענישה נלווית.</w:t>
      </w:r>
    </w:p>
    <w:p w14:paraId="0CA0D6C9" w14:textId="77777777" w:rsidR="004F5F9C" w:rsidRDefault="004F5F9C" w:rsidP="004F5F9C">
      <w:pPr>
        <w:spacing w:before="240" w:after="240" w:line="360" w:lineRule="auto"/>
        <w:jc w:val="both"/>
        <w:rPr>
          <w:rFonts w:ascii="David" w:hAnsi="David"/>
          <w:b/>
          <w:bCs/>
          <w:rtl/>
        </w:rPr>
      </w:pPr>
      <w:r>
        <w:rPr>
          <w:rFonts w:ascii="David" w:hAnsi="David"/>
          <w:b/>
          <w:bCs/>
          <w:rtl/>
        </w:rPr>
        <w:t>חריגה ממתחם העונש ההולם:</w:t>
      </w:r>
    </w:p>
    <w:p w14:paraId="115C8901" w14:textId="77777777" w:rsidR="004F5F9C" w:rsidRDefault="004F5F9C" w:rsidP="004F5F9C">
      <w:pPr>
        <w:spacing w:before="240" w:after="240" w:line="360" w:lineRule="auto"/>
        <w:jc w:val="both"/>
        <w:rPr>
          <w:rFonts w:ascii="David" w:hAnsi="David"/>
        </w:rPr>
      </w:pPr>
      <w:r>
        <w:rPr>
          <w:rFonts w:ascii="David" w:hAnsi="David"/>
          <w:rtl/>
        </w:rPr>
        <w:t xml:space="preserve">בעניינו של הנאשם לא מצאתי נסיבות המצדיקות סטייה ממתחם העונש ההולם לא לחומרא ולא לקולא. </w:t>
      </w:r>
    </w:p>
    <w:p w14:paraId="2600B6BE" w14:textId="77777777" w:rsidR="004F5F9C" w:rsidRDefault="004F5F9C" w:rsidP="004F5F9C">
      <w:pPr>
        <w:spacing w:before="240" w:after="240" w:line="360" w:lineRule="auto"/>
        <w:jc w:val="both"/>
        <w:rPr>
          <w:rFonts w:ascii="David" w:hAnsi="David"/>
          <w:b/>
          <w:bCs/>
        </w:rPr>
      </w:pPr>
      <w:r>
        <w:rPr>
          <w:rFonts w:ascii="David" w:hAnsi="David"/>
          <w:b/>
          <w:bCs/>
          <w:rtl/>
        </w:rPr>
        <w:t>באשר לעונשו של הנאשם בתוך מתחם העונש ההולם:</w:t>
      </w:r>
    </w:p>
    <w:p w14:paraId="046F6687" w14:textId="77777777" w:rsidR="004F5F9C" w:rsidRDefault="004F5F9C" w:rsidP="004F5F9C">
      <w:pPr>
        <w:spacing w:before="240" w:after="240" w:line="360" w:lineRule="auto"/>
        <w:jc w:val="both"/>
        <w:rPr>
          <w:rFonts w:ascii="David" w:hAnsi="David"/>
          <w:rtl/>
        </w:rPr>
      </w:pPr>
      <w:r>
        <w:rPr>
          <w:rFonts w:ascii="David" w:hAnsi="David"/>
          <w:rtl/>
        </w:rPr>
        <w:t>לקולא שקלתי את העובדה, כי הנאשם הודה בהזדמנות הראשונה, במסגרת דיון מוקד, נטל אחריות על מעשיו והביע חרטה. הודאתו של הנאשם חסכה מזמנו השיפוטי של בית המשפט</w:t>
      </w:r>
      <w:r>
        <w:rPr>
          <w:rFonts w:ascii="David" w:hAnsi="David" w:hint="cs"/>
          <w:rtl/>
        </w:rPr>
        <w:t>.</w:t>
      </w:r>
    </w:p>
    <w:p w14:paraId="40BCF1CE" w14:textId="77777777" w:rsidR="004F5F9C" w:rsidRDefault="004F5F9C" w:rsidP="004F5F9C">
      <w:pPr>
        <w:spacing w:before="240" w:after="240" w:line="360" w:lineRule="auto"/>
        <w:jc w:val="both"/>
        <w:rPr>
          <w:rFonts w:ascii="David" w:hAnsi="David"/>
          <w:rtl/>
        </w:rPr>
      </w:pPr>
      <w:r>
        <w:rPr>
          <w:rFonts w:ascii="David" w:hAnsi="David"/>
          <w:rtl/>
        </w:rPr>
        <w:t xml:space="preserve">בנוסף נתתי דעתי </w:t>
      </w:r>
      <w:r>
        <w:rPr>
          <w:rFonts w:ascii="David" w:hAnsi="David" w:hint="cs"/>
          <w:rtl/>
        </w:rPr>
        <w:t xml:space="preserve">לעובדה, כי הנאשם, בן 30, ללא עבר פלילי, עומד לראשונה בחייו לרצות מאסר מאחורי סורג ובריח. </w:t>
      </w:r>
    </w:p>
    <w:p w14:paraId="2B953E7C" w14:textId="77777777" w:rsidR="004F5F9C" w:rsidRDefault="004F5F9C" w:rsidP="004F5F9C">
      <w:pPr>
        <w:spacing w:before="240" w:after="240" w:line="360" w:lineRule="auto"/>
        <w:jc w:val="both"/>
        <w:rPr>
          <w:rFonts w:ascii="David" w:hAnsi="David"/>
          <w:rtl/>
        </w:rPr>
      </w:pPr>
      <w:r>
        <w:rPr>
          <w:rFonts w:ascii="David" w:hAnsi="David" w:hint="cs"/>
          <w:rtl/>
        </w:rPr>
        <w:t>עוד התחשבתי ב</w:t>
      </w:r>
      <w:r>
        <w:rPr>
          <w:rFonts w:ascii="David" w:hAnsi="David"/>
          <w:rtl/>
        </w:rPr>
        <w:t>פגיעת העונש במשפחתו של הנאשם,</w:t>
      </w:r>
      <w:r>
        <w:rPr>
          <w:rFonts w:ascii="David" w:hAnsi="David" w:hint="cs"/>
          <w:rtl/>
        </w:rPr>
        <w:t xml:space="preserve"> אשר דואג להוריו ועוזר בפרנסת בני המשפחה.</w:t>
      </w:r>
    </w:p>
    <w:p w14:paraId="178ADBF0" w14:textId="77777777" w:rsidR="004F5F9C" w:rsidRDefault="004F5F9C" w:rsidP="004F5F9C">
      <w:pPr>
        <w:spacing w:before="240" w:after="240" w:line="360" w:lineRule="auto"/>
        <w:jc w:val="both"/>
        <w:rPr>
          <w:rFonts w:ascii="David" w:hAnsi="David"/>
          <w:b/>
          <w:bCs/>
          <w:u w:val="single"/>
          <w:rtl/>
        </w:rPr>
      </w:pPr>
      <w:r>
        <w:rPr>
          <w:rFonts w:ascii="David" w:hAnsi="David"/>
          <w:b/>
          <w:bCs/>
          <w:u w:val="single"/>
          <w:rtl/>
        </w:rPr>
        <w:t>לאחר ששקלתי את כלל השיקולים המפורטים לעיל, אני גוזרת על הנאשם את העונשים הבאים:</w:t>
      </w:r>
    </w:p>
    <w:p w14:paraId="45244534" w14:textId="77777777" w:rsidR="004F5F9C" w:rsidRPr="00382CF7" w:rsidRDefault="004F5F9C" w:rsidP="004F5F9C">
      <w:pPr>
        <w:pStyle w:val="aa"/>
        <w:numPr>
          <w:ilvl w:val="0"/>
          <w:numId w:val="2"/>
        </w:numPr>
        <w:spacing w:before="240" w:after="240" w:line="360" w:lineRule="auto"/>
        <w:jc w:val="both"/>
        <w:rPr>
          <w:rtl/>
        </w:rPr>
      </w:pPr>
      <w:r w:rsidRPr="00382CF7">
        <w:rPr>
          <w:rFonts w:hint="cs"/>
          <w:rtl/>
        </w:rPr>
        <w:t>12 חודשי מאסר בפועל, מיום מעצרו בתאריך 27.10.24.</w:t>
      </w:r>
    </w:p>
    <w:p w14:paraId="1B7FAC84" w14:textId="77777777" w:rsidR="004F5F9C" w:rsidRDefault="004F5F9C" w:rsidP="004F5F9C">
      <w:pPr>
        <w:pStyle w:val="aa"/>
        <w:numPr>
          <w:ilvl w:val="0"/>
          <w:numId w:val="2"/>
        </w:numPr>
        <w:spacing w:before="240" w:after="240" w:line="360" w:lineRule="auto"/>
        <w:jc w:val="both"/>
      </w:pPr>
      <w:r>
        <w:rPr>
          <w:rFonts w:hint="cs"/>
          <w:rtl/>
        </w:rPr>
        <w:t>9 חודשי מאסר על תנאי למשך 3 שנים מיום שחרורו של הנאשם, והתנאי הוא שהנאשם לא יעבור בתקופת התנאי עבירה בה הורשע, ויורשע בגינה.</w:t>
      </w:r>
    </w:p>
    <w:p w14:paraId="0C0A0884" w14:textId="77777777" w:rsidR="004F5F9C" w:rsidRDefault="004F5F9C" w:rsidP="004F5F9C">
      <w:pPr>
        <w:pStyle w:val="aa"/>
        <w:numPr>
          <w:ilvl w:val="0"/>
          <w:numId w:val="2"/>
        </w:numPr>
        <w:spacing w:before="240" w:after="240" w:line="360" w:lineRule="auto"/>
        <w:jc w:val="both"/>
        <w:rPr>
          <w:rtl/>
        </w:rPr>
      </w:pPr>
      <w:r>
        <w:rPr>
          <w:rFonts w:hint="cs"/>
          <w:rtl/>
        </w:rPr>
        <w:t>קנס בסך 3,000 ₪ או 20 ימי מאסר תחתיו.  הקנס ישולם תוך 90 יום מהיום.</w:t>
      </w:r>
    </w:p>
    <w:p w14:paraId="77F56B25" w14:textId="77777777" w:rsidR="004F5F9C" w:rsidRDefault="004F5F9C" w:rsidP="004F5F9C">
      <w:pPr>
        <w:spacing w:line="360" w:lineRule="auto"/>
        <w:ind w:left="720"/>
        <w:jc w:val="both"/>
        <w:rPr>
          <w:rFonts w:ascii="David" w:hAnsi="David"/>
          <w:b/>
          <w:bCs/>
        </w:rPr>
      </w:pPr>
      <w:r>
        <w:rPr>
          <w:rFonts w:ascii="David" w:hAnsi="David"/>
          <w:b/>
          <w:bCs/>
          <w:rtl/>
        </w:rPr>
        <w:t xml:space="preserve">הקנס ישולם לחשבון המרכז לגביית קנסות, אגרות והוצאות ברשות האכיפה והגבייה </w:t>
      </w:r>
    </w:p>
    <w:p w14:paraId="1D1C5751" w14:textId="77777777" w:rsidR="004F5F9C" w:rsidRDefault="004F5F9C" w:rsidP="004F5F9C">
      <w:pPr>
        <w:spacing w:line="360" w:lineRule="auto"/>
        <w:ind w:left="720"/>
        <w:jc w:val="both"/>
        <w:rPr>
          <w:rFonts w:ascii="David" w:hAnsi="David"/>
          <w:b/>
          <w:bCs/>
        </w:rPr>
      </w:pPr>
      <w:r>
        <w:rPr>
          <w:rFonts w:ascii="David" w:hAnsi="David"/>
          <w:b/>
          <w:bCs/>
          <w:rtl/>
        </w:rPr>
        <w:t>ניתן לשלם את הקנס באחת הדרכים הבאות:</w:t>
      </w:r>
    </w:p>
    <w:p w14:paraId="634E6F0D" w14:textId="77777777" w:rsidR="004F5F9C" w:rsidRDefault="004F5F9C" w:rsidP="004F5F9C">
      <w:pPr>
        <w:spacing w:line="360" w:lineRule="auto"/>
        <w:ind w:left="720"/>
        <w:jc w:val="both"/>
        <w:rPr>
          <w:rFonts w:ascii="David" w:hAnsi="David"/>
          <w:b/>
          <w:bCs/>
          <w:rtl/>
        </w:rPr>
      </w:pPr>
      <w:r>
        <w:rPr>
          <w:rFonts w:ascii="David" w:hAnsi="David"/>
          <w:b/>
          <w:bCs/>
          <w:rtl/>
        </w:rPr>
        <w:t xml:space="preserve">בכרטיס אשראי – באתר המקוון של רשות האכיפה והגבייה, </w:t>
      </w:r>
      <w:r>
        <w:rPr>
          <w:rFonts w:ascii="David" w:hAnsi="David"/>
          <w:b/>
          <w:bCs/>
        </w:rPr>
        <w:t>www.eca.gov.il</w:t>
      </w:r>
      <w:r>
        <w:rPr>
          <w:rFonts w:ascii="David" w:hAnsi="David"/>
          <w:b/>
          <w:bCs/>
          <w:rtl/>
        </w:rPr>
        <w:t xml:space="preserve">  </w:t>
      </w:r>
    </w:p>
    <w:p w14:paraId="53074181" w14:textId="77777777" w:rsidR="004F5F9C" w:rsidRDefault="004F5F9C" w:rsidP="004F5F9C">
      <w:pPr>
        <w:spacing w:line="360" w:lineRule="auto"/>
        <w:ind w:left="720"/>
        <w:jc w:val="both"/>
        <w:rPr>
          <w:rFonts w:ascii="David" w:hAnsi="David"/>
          <w:b/>
          <w:bCs/>
          <w:rtl/>
        </w:rPr>
      </w:pPr>
      <w:r>
        <w:rPr>
          <w:rFonts w:ascii="David" w:hAnsi="David"/>
          <w:b/>
          <w:bCs/>
          <w:rtl/>
        </w:rPr>
        <w:t>במזומן בכל סניף של בנק הדואר – בהצגת תעודת זהות בלבד (אין צורך בשוברי תשלום).</w:t>
      </w:r>
    </w:p>
    <w:p w14:paraId="5868CE66" w14:textId="77777777" w:rsidR="004F5F9C" w:rsidRDefault="00A2033A" w:rsidP="004F5F9C">
      <w:pPr>
        <w:spacing w:before="240" w:after="240" w:line="360" w:lineRule="auto"/>
        <w:jc w:val="both"/>
        <w:rPr>
          <w:rFonts w:ascii="David" w:hAnsi="David"/>
          <w:b/>
          <w:bCs/>
          <w:u w:val="single"/>
        </w:rPr>
      </w:pPr>
      <w:r w:rsidRPr="00A2033A">
        <w:rPr>
          <w:rFonts w:ascii="David" w:hAnsi="David"/>
          <w:b/>
          <w:bCs/>
          <w:color w:val="FFFFFF"/>
          <w:sz w:val="2"/>
          <w:szCs w:val="2"/>
          <w:u w:val="single"/>
          <w:rtl/>
        </w:rPr>
        <w:t>5129371</w:t>
      </w:r>
      <w:r w:rsidR="004F5F9C">
        <w:rPr>
          <w:rFonts w:ascii="David" w:hAnsi="David"/>
          <w:b/>
          <w:bCs/>
          <w:color w:val="FFFFFF"/>
          <w:sz w:val="2"/>
          <w:szCs w:val="2"/>
          <w:u w:val="single"/>
          <w:rtl/>
        </w:rPr>
        <w:t>5129371</w:t>
      </w:r>
      <w:r w:rsidR="004F5F9C">
        <w:rPr>
          <w:rFonts w:ascii="David" w:hAnsi="David"/>
          <w:b/>
          <w:bCs/>
          <w:u w:val="single"/>
          <w:rtl/>
        </w:rPr>
        <w:t xml:space="preserve">זכות ערעור לבית המשפט המחוזי תוך 45 יום מהיום. </w:t>
      </w:r>
    </w:p>
    <w:p w14:paraId="47C30568" w14:textId="77777777" w:rsidR="004F5F9C" w:rsidRDefault="00A2033A" w:rsidP="004F5F9C">
      <w:pPr>
        <w:spacing w:before="240" w:after="240" w:line="360" w:lineRule="auto"/>
        <w:jc w:val="both"/>
        <w:rPr>
          <w:rFonts w:ascii="Arial" w:hAnsi="Arial"/>
          <w:color w:val="FFFFFF"/>
          <w:sz w:val="2"/>
          <w:szCs w:val="2"/>
          <w:rtl/>
        </w:rPr>
      </w:pPr>
      <w:r w:rsidRPr="00A2033A">
        <w:rPr>
          <w:rFonts w:ascii="Arial" w:hAnsi="Arial"/>
          <w:color w:val="FFFFFF"/>
          <w:sz w:val="2"/>
          <w:szCs w:val="2"/>
          <w:rtl/>
        </w:rPr>
        <w:t>54678313</w:t>
      </w:r>
      <w:r w:rsidR="004F5F9C">
        <w:rPr>
          <w:rFonts w:ascii="Arial" w:hAnsi="Arial"/>
          <w:color w:val="FFFFFF"/>
          <w:sz w:val="2"/>
          <w:szCs w:val="2"/>
          <w:rtl/>
        </w:rPr>
        <w:t>54678313</w:t>
      </w:r>
    </w:p>
    <w:p w14:paraId="1FB34545" w14:textId="77777777" w:rsidR="004F5F9C" w:rsidRDefault="004F5F9C" w:rsidP="004F5F9C">
      <w:pPr>
        <w:spacing w:before="240" w:after="240" w:line="360" w:lineRule="auto"/>
        <w:jc w:val="both"/>
        <w:rPr>
          <w:rFonts w:ascii="Arial" w:hAnsi="Arial"/>
          <w:rtl/>
        </w:rPr>
      </w:pPr>
    </w:p>
    <w:p w14:paraId="3B751D6A" w14:textId="77777777" w:rsidR="004F5F9C" w:rsidRPr="00461DE4" w:rsidRDefault="00A2033A" w:rsidP="004F5F9C">
      <w:pPr>
        <w:spacing w:before="240" w:after="240" w:line="360" w:lineRule="auto"/>
        <w:jc w:val="both"/>
        <w:rPr>
          <w:rFonts w:ascii="Arial" w:hAnsi="Arial"/>
          <w:rtl/>
        </w:rPr>
      </w:pPr>
      <w:bookmarkStart w:id="7" w:name="Nitan"/>
      <w:r>
        <w:rPr>
          <w:rFonts w:ascii="Arial" w:hAnsi="Arial"/>
          <w:rtl/>
        </w:rPr>
        <w:t xml:space="preserve">ניתן היום,  י' אדר תשפ"ה, 10 מרץ 2025, במעמד הצדדים. </w:t>
      </w:r>
      <w:bookmarkEnd w:id="7"/>
      <w:r w:rsidR="004F5F9C" w:rsidRPr="00461DE4">
        <w:rPr>
          <w:rFonts w:ascii="Arial" w:hAnsi="Arial"/>
          <w:rtl/>
        </w:rPr>
        <w:tab/>
      </w:r>
      <w:r w:rsidR="004F5F9C" w:rsidRPr="00461DE4">
        <w:rPr>
          <w:rFonts w:ascii="Arial" w:hAnsi="Arial"/>
          <w:rtl/>
        </w:rPr>
        <w:tab/>
      </w:r>
      <w:r w:rsidR="004F5F9C" w:rsidRPr="00461DE4">
        <w:rPr>
          <w:rFonts w:ascii="Arial" w:hAnsi="Arial"/>
          <w:rtl/>
        </w:rPr>
        <w:tab/>
      </w:r>
      <w:r w:rsidR="004F5F9C" w:rsidRPr="00461DE4">
        <w:rPr>
          <w:rFonts w:ascii="Arial" w:hAnsi="Arial"/>
          <w:rtl/>
        </w:rPr>
        <w:tab/>
      </w:r>
      <w:r w:rsidR="004F5F9C" w:rsidRPr="00461DE4">
        <w:rPr>
          <w:rFonts w:ascii="Arial" w:hAnsi="Arial"/>
          <w:rtl/>
        </w:rPr>
        <w:tab/>
      </w:r>
      <w:r w:rsidR="004F5F9C" w:rsidRPr="00461DE4">
        <w:rPr>
          <w:rFonts w:ascii="Arial" w:hAnsi="Arial"/>
          <w:rtl/>
        </w:rPr>
        <w:tab/>
      </w:r>
      <w:r w:rsidR="004F5F9C" w:rsidRPr="00461DE4">
        <w:rPr>
          <w:rFonts w:ascii="Arial" w:hAnsi="Arial"/>
          <w:rtl/>
        </w:rPr>
        <w:tab/>
      </w:r>
      <w:r w:rsidR="004F5F9C" w:rsidRPr="00461DE4">
        <w:rPr>
          <w:rFonts w:ascii="Arial" w:hAnsi="Arial" w:hint="cs"/>
          <w:rtl/>
        </w:rPr>
        <w:t xml:space="preserve">         </w:t>
      </w:r>
    </w:p>
    <w:p w14:paraId="16F651F0" w14:textId="77777777" w:rsidR="00A2033A" w:rsidRDefault="00A2033A" w:rsidP="00A2033A">
      <w:pPr>
        <w:rPr>
          <w:rtl/>
        </w:rPr>
      </w:pPr>
    </w:p>
    <w:p w14:paraId="02B22348" w14:textId="77777777" w:rsidR="00A2033A" w:rsidRDefault="00A2033A" w:rsidP="00A2033A">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07003263" w14:textId="77777777" w:rsidR="00DD20B3" w:rsidRPr="00DD20B3" w:rsidRDefault="00DD20B3" w:rsidP="00DD20B3">
      <w:pPr>
        <w:keepNext/>
        <w:rPr>
          <w:rFonts w:ascii="David" w:hAnsi="David"/>
          <w:color w:val="000000"/>
          <w:sz w:val="22"/>
          <w:szCs w:val="22"/>
          <w:rtl/>
        </w:rPr>
      </w:pPr>
    </w:p>
    <w:p w14:paraId="2D99C068" w14:textId="77777777" w:rsidR="00DD20B3" w:rsidRPr="00DD20B3" w:rsidRDefault="00DD20B3" w:rsidP="00DD20B3">
      <w:pPr>
        <w:keepNext/>
        <w:rPr>
          <w:rFonts w:ascii="David" w:hAnsi="David"/>
          <w:color w:val="000000"/>
          <w:sz w:val="22"/>
          <w:szCs w:val="22"/>
          <w:rtl/>
        </w:rPr>
      </w:pPr>
      <w:r w:rsidRPr="00DD20B3">
        <w:rPr>
          <w:rFonts w:ascii="David" w:hAnsi="David"/>
          <w:color w:val="000000"/>
          <w:sz w:val="22"/>
          <w:szCs w:val="22"/>
          <w:rtl/>
        </w:rPr>
        <w:t>מריה פיקוס בוגדאנוב 54678313-/</w:t>
      </w:r>
    </w:p>
    <w:p w14:paraId="7E772857" w14:textId="77777777" w:rsidR="00A2033A" w:rsidRPr="00A2033A" w:rsidRDefault="00DD20B3" w:rsidP="00DD20B3">
      <w:pPr>
        <w:rPr>
          <w:color w:val="0000FF"/>
          <w:u w:val="single"/>
        </w:rPr>
      </w:pPr>
      <w:r w:rsidRPr="00DD20B3">
        <w:rPr>
          <w:color w:val="000000"/>
          <w:u w:val="single"/>
          <w:rtl/>
        </w:rPr>
        <w:t>נוסח מסמך זה כפוף לשינויי ניסוח ועריכה</w:t>
      </w:r>
    </w:p>
    <w:sectPr w:rsidR="00A2033A" w:rsidRPr="00A2033A" w:rsidSect="00DD20B3">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D7F99" w14:textId="77777777" w:rsidR="008B7181" w:rsidRDefault="008B7181" w:rsidP="00E348EF">
      <w:r>
        <w:separator/>
      </w:r>
    </w:p>
  </w:endnote>
  <w:endnote w:type="continuationSeparator" w:id="0">
    <w:p w14:paraId="3C6434BD" w14:textId="77777777" w:rsidR="008B7181" w:rsidRDefault="008B7181" w:rsidP="00E3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73218" w14:textId="77777777" w:rsidR="00DD20B3" w:rsidRDefault="00DD20B3" w:rsidP="00DD20B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A697F69" w14:textId="77777777" w:rsidR="00703272" w:rsidRPr="00DD20B3" w:rsidRDefault="00DD20B3" w:rsidP="00DD20B3">
    <w:pPr>
      <w:pStyle w:val="a5"/>
      <w:pBdr>
        <w:top w:val="single" w:sz="4" w:space="1" w:color="auto"/>
        <w:between w:val="single" w:sz="4" w:space="0" w:color="auto"/>
      </w:pBdr>
      <w:spacing w:after="60"/>
      <w:jc w:val="center"/>
      <w:rPr>
        <w:rFonts w:ascii="FrankRuehl" w:hAnsi="FrankRuehl" w:cs="FrankRuehl"/>
        <w:color w:val="000000"/>
      </w:rPr>
    </w:pPr>
    <w:r w:rsidRPr="00DD20B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824AF" w14:textId="77777777" w:rsidR="00DD20B3" w:rsidRDefault="00DD20B3" w:rsidP="00DD20B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3496F">
      <w:rPr>
        <w:rFonts w:ascii="FrankRuehl" w:hAnsi="FrankRuehl" w:cs="FrankRuehl"/>
        <w:noProof/>
        <w:rtl/>
      </w:rPr>
      <w:t>1</w:t>
    </w:r>
    <w:r>
      <w:rPr>
        <w:rFonts w:ascii="FrankRuehl" w:hAnsi="FrankRuehl" w:cs="FrankRuehl"/>
        <w:rtl/>
      </w:rPr>
      <w:fldChar w:fldCharType="end"/>
    </w:r>
  </w:p>
  <w:p w14:paraId="57742384" w14:textId="77777777" w:rsidR="00703272" w:rsidRPr="00DD20B3" w:rsidRDefault="00DD20B3" w:rsidP="00DD20B3">
    <w:pPr>
      <w:pStyle w:val="a5"/>
      <w:pBdr>
        <w:top w:val="single" w:sz="4" w:space="1" w:color="auto"/>
        <w:between w:val="single" w:sz="4" w:space="0" w:color="auto"/>
      </w:pBdr>
      <w:spacing w:after="60"/>
      <w:jc w:val="center"/>
      <w:rPr>
        <w:rFonts w:ascii="FrankRuehl" w:hAnsi="FrankRuehl" w:cs="FrankRuehl"/>
        <w:color w:val="000000"/>
      </w:rPr>
    </w:pPr>
    <w:r w:rsidRPr="00DD20B3">
      <w:rPr>
        <w:rFonts w:ascii="FrankRuehl" w:hAnsi="FrankRuehl" w:cs="FrankRuehl"/>
        <w:color w:val="000000"/>
      </w:rPr>
      <w:pict w14:anchorId="131A8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BC31A" w14:textId="77777777" w:rsidR="008B7181" w:rsidRDefault="008B7181" w:rsidP="00E348EF">
      <w:r>
        <w:separator/>
      </w:r>
    </w:p>
  </w:footnote>
  <w:footnote w:type="continuationSeparator" w:id="0">
    <w:p w14:paraId="22F231EA" w14:textId="77777777" w:rsidR="008B7181" w:rsidRDefault="008B7181" w:rsidP="00E3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A0819" w14:textId="77777777" w:rsidR="00A2033A" w:rsidRPr="00DD20B3" w:rsidRDefault="00DD20B3" w:rsidP="00DD20B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31552-11-24</w:t>
    </w:r>
    <w:r>
      <w:rPr>
        <w:rFonts w:ascii="David" w:hAnsi="David"/>
        <w:color w:val="000000"/>
        <w:sz w:val="22"/>
        <w:szCs w:val="22"/>
        <w:rtl/>
      </w:rPr>
      <w:tab/>
      <w:t xml:space="preserve"> מדינת ישראל נ' סאבא חאדר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67875" w14:textId="77777777" w:rsidR="00A2033A" w:rsidRPr="00DD20B3" w:rsidRDefault="00DD20B3" w:rsidP="00DD20B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31552-11-24</w:t>
    </w:r>
    <w:r>
      <w:rPr>
        <w:rFonts w:ascii="David" w:hAnsi="David"/>
        <w:color w:val="000000"/>
        <w:sz w:val="22"/>
        <w:szCs w:val="22"/>
        <w:rtl/>
      </w:rPr>
      <w:tab/>
      <w:t xml:space="preserve"> מדינת ישראל נ' סאבא חאדר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E3DDE"/>
    <w:multiLevelType w:val="hybridMultilevel"/>
    <w:tmpl w:val="C26A1808"/>
    <w:lvl w:ilvl="0" w:tplc="37367DAC">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B0800B7"/>
    <w:multiLevelType w:val="hybridMultilevel"/>
    <w:tmpl w:val="CE46CC6E"/>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33731145">
    <w:abstractNumId w:val="1"/>
  </w:num>
  <w:num w:numId="2" w16cid:durableId="11061482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F5F9C"/>
    <w:rsid w:val="0003496F"/>
    <w:rsid w:val="00322869"/>
    <w:rsid w:val="004F5F9C"/>
    <w:rsid w:val="00703272"/>
    <w:rsid w:val="008B7181"/>
    <w:rsid w:val="00950D23"/>
    <w:rsid w:val="009B02B9"/>
    <w:rsid w:val="00A2033A"/>
    <w:rsid w:val="00DD20B3"/>
    <w:rsid w:val="00E348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1CB301"/>
  <w15:chartTrackingRefBased/>
  <w15:docId w15:val="{E86140B2-D27E-43DA-92C9-0047D39E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F5F9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F5F9C"/>
    <w:pPr>
      <w:tabs>
        <w:tab w:val="center" w:pos="4153"/>
        <w:tab w:val="right" w:pos="8306"/>
      </w:tabs>
    </w:pPr>
  </w:style>
  <w:style w:type="character" w:customStyle="1" w:styleId="a4">
    <w:name w:val="כותרת עליונה תו"/>
    <w:link w:val="a3"/>
    <w:rsid w:val="004F5F9C"/>
    <w:rPr>
      <w:rFonts w:ascii="Times New Roman" w:eastAsia="Times New Roman" w:hAnsi="Times New Roman" w:cs="David"/>
      <w:sz w:val="24"/>
      <w:szCs w:val="24"/>
    </w:rPr>
  </w:style>
  <w:style w:type="paragraph" w:styleId="a5">
    <w:name w:val="footer"/>
    <w:basedOn w:val="a"/>
    <w:link w:val="a6"/>
    <w:rsid w:val="004F5F9C"/>
    <w:pPr>
      <w:tabs>
        <w:tab w:val="center" w:pos="4153"/>
        <w:tab w:val="right" w:pos="8306"/>
      </w:tabs>
    </w:pPr>
  </w:style>
  <w:style w:type="character" w:customStyle="1" w:styleId="a6">
    <w:name w:val="כותרת תחתונה תו"/>
    <w:link w:val="a5"/>
    <w:rsid w:val="004F5F9C"/>
    <w:rPr>
      <w:rFonts w:ascii="Times New Roman" w:eastAsia="Times New Roman" w:hAnsi="Times New Roman" w:cs="David"/>
      <w:sz w:val="24"/>
      <w:szCs w:val="24"/>
    </w:rPr>
  </w:style>
  <w:style w:type="table" w:styleId="a7">
    <w:name w:val="Table Grid"/>
    <w:basedOn w:val="a1"/>
    <w:rsid w:val="004F5F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F5F9C"/>
  </w:style>
  <w:style w:type="character" w:customStyle="1" w:styleId="a9">
    <w:name w:val="פיסקת רשימה תו"/>
    <w:link w:val="aa"/>
    <w:locked/>
    <w:rsid w:val="004F5F9C"/>
    <w:rPr>
      <w:rFonts w:ascii="David" w:hAnsi="David" w:cs="David"/>
      <w:sz w:val="24"/>
      <w:szCs w:val="24"/>
    </w:rPr>
  </w:style>
  <w:style w:type="paragraph" w:styleId="aa">
    <w:name w:val="List Paragraph"/>
    <w:basedOn w:val="a"/>
    <w:link w:val="a9"/>
    <w:qFormat/>
    <w:rsid w:val="004F5F9C"/>
    <w:pPr>
      <w:ind w:left="720"/>
      <w:contextualSpacing/>
    </w:pPr>
    <w:rPr>
      <w:rFonts w:ascii="David" w:eastAsia="Calibri" w:hAnsi="David"/>
    </w:rPr>
  </w:style>
  <w:style w:type="character" w:styleId="Hyperlink">
    <w:name w:val="Hyperlink"/>
    <w:rsid w:val="004F5F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6103748"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6745252" TargetMode="External"/><Relationship Id="rId34" Type="http://schemas.openxmlformats.org/officeDocument/2006/relationships/hyperlink" Target="http://www.nevo.co.il/law/70301/144.a" TargetMode="External"/><Relationship Id="rId42" Type="http://schemas.openxmlformats.org/officeDocument/2006/relationships/hyperlink" Target="http://www.nevo.co.il/law/70301"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6834904" TargetMode="External"/><Relationship Id="rId29" Type="http://schemas.openxmlformats.org/officeDocument/2006/relationships/hyperlink" Target="http://www.nevo.co.il/case/27399392" TargetMode="External"/><Relationship Id="rId11" Type="http://schemas.openxmlformats.org/officeDocument/2006/relationships/hyperlink" Target="http://www.nevo.co.il/law/70301/144.g" TargetMode="External"/><Relationship Id="rId24" Type="http://schemas.openxmlformats.org/officeDocument/2006/relationships/hyperlink" Target="http://www.nevo.co.il/law/70301/29"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case/29174839" TargetMode="External"/><Relationship Id="rId40" Type="http://schemas.openxmlformats.org/officeDocument/2006/relationships/hyperlink" Target="http://www.nevo.co.il/case/22851104"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5573417"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case/25232875" TargetMode="External"/><Relationship Id="rId36" Type="http://schemas.openxmlformats.org/officeDocument/2006/relationships/hyperlink" Target="http://www.nevo.co.il/case/29702606" TargetMode="External"/><Relationship Id="rId49"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case/28852952" TargetMode="External"/><Relationship Id="rId31" Type="http://schemas.openxmlformats.org/officeDocument/2006/relationships/hyperlink" Target="http://www.nevo.co.il/case/29120662"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8513828" TargetMode="External"/><Relationship Id="rId27" Type="http://schemas.openxmlformats.org/officeDocument/2006/relationships/hyperlink" Target="http://www.nevo.co.il/case/30523152" TargetMode="External"/><Relationship Id="rId30" Type="http://schemas.openxmlformats.org/officeDocument/2006/relationships/hyperlink" Target="http://www.nevo.co.il/case/27648787" TargetMode="External"/><Relationship Id="rId35" Type="http://schemas.openxmlformats.org/officeDocument/2006/relationships/hyperlink" Target="http://www.nevo.co.il/case/28324370"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144.g"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144.a" TargetMode="External"/><Relationship Id="rId46" Type="http://schemas.openxmlformats.org/officeDocument/2006/relationships/footer" Target="footer1.xml"/><Relationship Id="rId20" Type="http://schemas.openxmlformats.org/officeDocument/2006/relationships/hyperlink" Target="http://www.nevo.co.il/case/26913995" TargetMode="External"/><Relationship Id="rId41" Type="http://schemas.openxmlformats.org/officeDocument/2006/relationships/hyperlink" Target="http://www.nevo.co.il/law/70301/40c.a"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2832</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16960</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4915202</vt:i4>
      </vt:variant>
      <vt:variant>
        <vt:i4>102</vt:i4>
      </vt:variant>
      <vt:variant>
        <vt:i4>0</vt:i4>
      </vt:variant>
      <vt:variant>
        <vt:i4>5</vt:i4>
      </vt:variant>
      <vt:variant>
        <vt:lpwstr>http://www.nevo.co.il/law/70301/40c.a</vt:lpwstr>
      </vt:variant>
      <vt:variant>
        <vt:lpwstr/>
      </vt:variant>
      <vt:variant>
        <vt:i4>3866738</vt:i4>
      </vt:variant>
      <vt:variant>
        <vt:i4>99</vt:i4>
      </vt:variant>
      <vt:variant>
        <vt:i4>0</vt:i4>
      </vt:variant>
      <vt:variant>
        <vt:i4>5</vt:i4>
      </vt:variant>
      <vt:variant>
        <vt:lpwstr>http://www.nevo.co.il/case/22851104</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5177424</vt:i4>
      </vt:variant>
      <vt:variant>
        <vt:i4>93</vt:i4>
      </vt:variant>
      <vt:variant>
        <vt:i4>0</vt:i4>
      </vt:variant>
      <vt:variant>
        <vt:i4>5</vt:i4>
      </vt:variant>
      <vt:variant>
        <vt:lpwstr>http://www.nevo.co.il/law/70301/144.a</vt:lpwstr>
      </vt:variant>
      <vt:variant>
        <vt:lpwstr/>
      </vt:variant>
      <vt:variant>
        <vt:i4>3407986</vt:i4>
      </vt:variant>
      <vt:variant>
        <vt:i4>90</vt:i4>
      </vt:variant>
      <vt:variant>
        <vt:i4>0</vt:i4>
      </vt:variant>
      <vt:variant>
        <vt:i4>5</vt:i4>
      </vt:variant>
      <vt:variant>
        <vt:lpwstr>http://www.nevo.co.il/case/29174839</vt:lpwstr>
      </vt:variant>
      <vt:variant>
        <vt:lpwstr/>
      </vt:variant>
      <vt:variant>
        <vt:i4>3604603</vt:i4>
      </vt:variant>
      <vt:variant>
        <vt:i4>87</vt:i4>
      </vt:variant>
      <vt:variant>
        <vt:i4>0</vt:i4>
      </vt:variant>
      <vt:variant>
        <vt:i4>5</vt:i4>
      </vt:variant>
      <vt:variant>
        <vt:lpwstr>http://www.nevo.co.il/case/29702606</vt:lpwstr>
      </vt:variant>
      <vt:variant>
        <vt:lpwstr/>
      </vt:variant>
      <vt:variant>
        <vt:i4>3276925</vt:i4>
      </vt:variant>
      <vt:variant>
        <vt:i4>84</vt:i4>
      </vt:variant>
      <vt:variant>
        <vt:i4>0</vt:i4>
      </vt:variant>
      <vt:variant>
        <vt:i4>5</vt:i4>
      </vt:variant>
      <vt:variant>
        <vt:lpwstr>http://www.nevo.co.il/case/28324370</vt:lpwstr>
      </vt:variant>
      <vt:variant>
        <vt:lpwstr/>
      </vt:variant>
      <vt:variant>
        <vt:i4>5177424</vt:i4>
      </vt:variant>
      <vt:variant>
        <vt:i4>81</vt:i4>
      </vt:variant>
      <vt:variant>
        <vt:i4>0</vt:i4>
      </vt:variant>
      <vt:variant>
        <vt:i4>5</vt:i4>
      </vt:variant>
      <vt:variant>
        <vt:lpwstr>http://www.nevo.co.il/law/70301/144.a</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5177424</vt:i4>
      </vt:variant>
      <vt:variant>
        <vt:i4>75</vt:i4>
      </vt:variant>
      <vt:variant>
        <vt:i4>0</vt:i4>
      </vt:variant>
      <vt:variant>
        <vt:i4>5</vt:i4>
      </vt:variant>
      <vt:variant>
        <vt:lpwstr>http://www.nevo.co.il/law/70301/144.a</vt:lpwstr>
      </vt:variant>
      <vt:variant>
        <vt:lpwstr/>
      </vt:variant>
      <vt:variant>
        <vt:i4>3473529</vt:i4>
      </vt:variant>
      <vt:variant>
        <vt:i4>72</vt:i4>
      </vt:variant>
      <vt:variant>
        <vt:i4>0</vt:i4>
      </vt:variant>
      <vt:variant>
        <vt:i4>5</vt:i4>
      </vt:variant>
      <vt:variant>
        <vt:lpwstr>http://www.nevo.co.il/case/29120662</vt:lpwstr>
      </vt:variant>
      <vt:variant>
        <vt:lpwstr/>
      </vt:variant>
      <vt:variant>
        <vt:i4>3407984</vt:i4>
      </vt:variant>
      <vt:variant>
        <vt:i4>69</vt:i4>
      </vt:variant>
      <vt:variant>
        <vt:i4>0</vt:i4>
      </vt:variant>
      <vt:variant>
        <vt:i4>5</vt:i4>
      </vt:variant>
      <vt:variant>
        <vt:lpwstr>http://www.nevo.co.il/case/27648787</vt:lpwstr>
      </vt:variant>
      <vt:variant>
        <vt:lpwstr/>
      </vt:variant>
      <vt:variant>
        <vt:i4>3211385</vt:i4>
      </vt:variant>
      <vt:variant>
        <vt:i4>66</vt:i4>
      </vt:variant>
      <vt:variant>
        <vt:i4>0</vt:i4>
      </vt:variant>
      <vt:variant>
        <vt:i4>5</vt:i4>
      </vt:variant>
      <vt:variant>
        <vt:lpwstr>http://www.nevo.co.il/case/27399392</vt:lpwstr>
      </vt:variant>
      <vt:variant>
        <vt:lpwstr/>
      </vt:variant>
      <vt:variant>
        <vt:i4>3473530</vt:i4>
      </vt:variant>
      <vt:variant>
        <vt:i4>63</vt:i4>
      </vt:variant>
      <vt:variant>
        <vt:i4>0</vt:i4>
      </vt:variant>
      <vt:variant>
        <vt:i4>5</vt:i4>
      </vt:variant>
      <vt:variant>
        <vt:lpwstr>http://www.nevo.co.il/case/25232875</vt:lpwstr>
      </vt:variant>
      <vt:variant>
        <vt:lpwstr/>
      </vt:variant>
      <vt:variant>
        <vt:i4>3145847</vt:i4>
      </vt:variant>
      <vt:variant>
        <vt:i4>60</vt:i4>
      </vt:variant>
      <vt:variant>
        <vt:i4>0</vt:i4>
      </vt:variant>
      <vt:variant>
        <vt:i4>5</vt:i4>
      </vt:variant>
      <vt:variant>
        <vt:lpwstr>http://www.nevo.co.il/case/30523152</vt:lpwstr>
      </vt:variant>
      <vt:variant>
        <vt:lpwstr/>
      </vt:variant>
      <vt:variant>
        <vt:i4>3407989</vt:i4>
      </vt:variant>
      <vt:variant>
        <vt:i4>57</vt:i4>
      </vt:variant>
      <vt:variant>
        <vt:i4>0</vt:i4>
      </vt:variant>
      <vt:variant>
        <vt:i4>5</vt:i4>
      </vt:variant>
      <vt:variant>
        <vt:lpwstr>http://www.nevo.co.il/case/26103748</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3539061</vt:i4>
      </vt:variant>
      <vt:variant>
        <vt:i4>45</vt:i4>
      </vt:variant>
      <vt:variant>
        <vt:i4>0</vt:i4>
      </vt:variant>
      <vt:variant>
        <vt:i4>5</vt:i4>
      </vt:variant>
      <vt:variant>
        <vt:lpwstr>http://www.nevo.co.il/case/28513828</vt:lpwstr>
      </vt:variant>
      <vt:variant>
        <vt:lpwstr/>
      </vt:variant>
      <vt:variant>
        <vt:i4>3473524</vt:i4>
      </vt:variant>
      <vt:variant>
        <vt:i4>42</vt:i4>
      </vt:variant>
      <vt:variant>
        <vt:i4>0</vt:i4>
      </vt:variant>
      <vt:variant>
        <vt:i4>5</vt:i4>
      </vt:variant>
      <vt:variant>
        <vt:lpwstr>http://www.nevo.co.il/case/26745252</vt:lpwstr>
      </vt:variant>
      <vt:variant>
        <vt:lpwstr/>
      </vt:variant>
      <vt:variant>
        <vt:i4>3211386</vt:i4>
      </vt:variant>
      <vt:variant>
        <vt:i4>39</vt:i4>
      </vt:variant>
      <vt:variant>
        <vt:i4>0</vt:i4>
      </vt:variant>
      <vt:variant>
        <vt:i4>5</vt:i4>
      </vt:variant>
      <vt:variant>
        <vt:lpwstr>http://www.nevo.co.il/case/26913995</vt:lpwstr>
      </vt:variant>
      <vt:variant>
        <vt:lpwstr/>
      </vt:variant>
      <vt:variant>
        <vt:i4>3997808</vt:i4>
      </vt:variant>
      <vt:variant>
        <vt:i4>36</vt:i4>
      </vt:variant>
      <vt:variant>
        <vt:i4>0</vt:i4>
      </vt:variant>
      <vt:variant>
        <vt:i4>5</vt:i4>
      </vt:variant>
      <vt:variant>
        <vt:lpwstr>http://www.nevo.co.il/case/28852952</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http://www.nevo.co.il/law/70301/144.g</vt:lpwstr>
      </vt:variant>
      <vt:variant>
        <vt:lpwstr/>
      </vt:variant>
      <vt:variant>
        <vt:i4>3670136</vt:i4>
      </vt:variant>
      <vt:variant>
        <vt:i4>27</vt:i4>
      </vt:variant>
      <vt:variant>
        <vt:i4>0</vt:i4>
      </vt:variant>
      <vt:variant>
        <vt:i4>5</vt:i4>
      </vt:variant>
      <vt:variant>
        <vt:lpwstr>http://www.nevo.co.il/case/6834904</vt:lpwstr>
      </vt:variant>
      <vt:variant>
        <vt:lpwstr/>
      </vt:variant>
      <vt:variant>
        <vt:i4>3211379</vt:i4>
      </vt:variant>
      <vt:variant>
        <vt:i4>24</vt:i4>
      </vt:variant>
      <vt:variant>
        <vt:i4>0</vt:i4>
      </vt:variant>
      <vt:variant>
        <vt:i4>5</vt:i4>
      </vt:variant>
      <vt:variant>
        <vt:lpwstr>http://www.nevo.co.il/case/5573417</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2025-04-25T11:09:00Z</dcterms:created>
  <dcterms:modified xsi:type="dcterms:W3CDTF">2025-04-25T11:09:00Z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31552</vt:lpwstr>
  </property>
  <property fmtid="{D5CDD505-2E9C-101B-9397-08002B2CF9AE}" pid="6" name="NEWPARTB">
    <vt:lpwstr>11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סאבא חאדר</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20250310</vt:lpwstr>
  </property>
  <property fmtid="{D5CDD505-2E9C-101B-9397-08002B2CF9AE}" pid="13" name="TYPE_N_DATE">
    <vt:lpwstr>38020250310</vt:lpwstr>
  </property>
  <property fmtid="{D5CDD505-2E9C-101B-9397-08002B2CF9AE}" pid="14" name="CASESLISTTMP1">
    <vt:lpwstr>5573417;6834904;28852952;26913995;26745252;28513828;26103748;30523152;25232875;27399392;27648787;29120662;28324370;29702606;29174839;22851104</vt:lpwstr>
  </property>
  <property fmtid="{D5CDD505-2E9C-101B-9397-08002B2CF9AE}" pid="15" name="CASENOTES1">
    <vt:lpwstr>ProcID=133;209&amp;PartA=1332&amp;PartC=04</vt:lpwstr>
  </property>
  <property fmtid="{D5CDD505-2E9C-101B-9397-08002B2CF9AE}" pid="16" name="WORDNUMPAGES">
    <vt:lpwstr>8</vt:lpwstr>
  </property>
  <property fmtid="{D5CDD505-2E9C-101B-9397-08002B2CF9AE}" pid="17" name="TYPE_ABS_DATE">
    <vt:lpwstr>380020250310</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70301/144.a:6;144.g;029;040c.a</vt:lpwstr>
  </property>
  <property fmtid="{D5CDD505-2E9C-101B-9397-08002B2CF9AE}" pid="37" name="ISABSTRACT">
    <vt:lpwstr>Y</vt:lpwstr>
  </property>
</Properties>
</file>