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44E12" w:rsidRPr="000A04AF" w14:paraId="00BC370B" w14:textId="77777777" w:rsidTr="00D54D6C">
        <w:trPr>
          <w:trHeight w:hRule="exact" w:val="418"/>
          <w:jc w:val="center"/>
        </w:trPr>
        <w:tc>
          <w:tcPr>
            <w:tcW w:w="8721" w:type="dxa"/>
            <w:gridSpan w:val="2"/>
          </w:tcPr>
          <w:p w14:paraId="36C00CEA" w14:textId="77777777" w:rsidR="00044E12" w:rsidRPr="000A04AF" w:rsidRDefault="00044E12" w:rsidP="007C3CCA">
            <w:pPr>
              <w:pStyle w:val="a3"/>
              <w:jc w:val="center"/>
              <w:rPr>
                <w:rFonts w:ascii="Tahoma" w:hAnsi="Tahoma" w:cs="Tahoma"/>
                <w:color w:val="000080"/>
                <w:rtl/>
              </w:rPr>
            </w:pPr>
            <w:bookmarkStart w:id="0" w:name="LastJudge"/>
            <w:r w:rsidRPr="000A04AF">
              <w:rPr>
                <w:rFonts w:ascii="Tahoma" w:hAnsi="Tahoma" w:cs="Tahoma"/>
                <w:b/>
                <w:bCs/>
                <w:color w:val="000080"/>
                <w:rtl/>
              </w:rPr>
              <w:t>בית משפט השלום בחיפה</w:t>
            </w:r>
          </w:p>
        </w:tc>
      </w:tr>
      <w:tr w:rsidR="00044E12" w:rsidRPr="000A04AF" w14:paraId="2551BE37" w14:textId="77777777" w:rsidTr="00D54D6C">
        <w:trPr>
          <w:trHeight w:val="337"/>
          <w:jc w:val="center"/>
        </w:trPr>
        <w:tc>
          <w:tcPr>
            <w:tcW w:w="5058" w:type="dxa"/>
          </w:tcPr>
          <w:p w14:paraId="4F983FCA" w14:textId="77777777" w:rsidR="00044E12" w:rsidRPr="000A04AF" w:rsidRDefault="00044E12" w:rsidP="007C3CCA">
            <w:pPr>
              <w:rPr>
                <w:rFonts w:cs="FrankRuehl"/>
                <w:sz w:val="28"/>
                <w:szCs w:val="28"/>
                <w:rtl/>
              </w:rPr>
            </w:pPr>
            <w:r w:rsidRPr="000A04AF">
              <w:rPr>
                <w:rFonts w:cs="FrankRuehl"/>
                <w:sz w:val="28"/>
                <w:szCs w:val="28"/>
                <w:rtl/>
              </w:rPr>
              <w:t>ת"פ</w:t>
            </w:r>
            <w:r w:rsidRPr="000A04AF">
              <w:rPr>
                <w:rFonts w:cs="FrankRuehl" w:hint="cs"/>
                <w:sz w:val="28"/>
                <w:szCs w:val="28"/>
                <w:rtl/>
              </w:rPr>
              <w:t xml:space="preserve"> </w:t>
            </w:r>
            <w:r w:rsidRPr="000A04AF">
              <w:rPr>
                <w:rFonts w:cs="FrankRuehl"/>
                <w:sz w:val="28"/>
                <w:szCs w:val="28"/>
                <w:rtl/>
              </w:rPr>
              <w:t>22499-12-24</w:t>
            </w:r>
            <w:r w:rsidRPr="000A04AF">
              <w:rPr>
                <w:rFonts w:cs="FrankRuehl" w:hint="cs"/>
                <w:sz w:val="28"/>
                <w:szCs w:val="28"/>
                <w:rtl/>
              </w:rPr>
              <w:t xml:space="preserve"> </w:t>
            </w:r>
            <w:r w:rsidRPr="000A04AF">
              <w:rPr>
                <w:rFonts w:cs="FrankRuehl"/>
                <w:sz w:val="28"/>
                <w:szCs w:val="28"/>
                <w:rtl/>
              </w:rPr>
              <w:t>מדינת ישראל נ' חוסין(עציר)</w:t>
            </w:r>
          </w:p>
          <w:p w14:paraId="1ED41B54" w14:textId="77777777" w:rsidR="00044E12" w:rsidRPr="000A04AF" w:rsidRDefault="00044E12" w:rsidP="007C3CCA">
            <w:pPr>
              <w:pStyle w:val="a3"/>
              <w:rPr>
                <w:rFonts w:cs="FrankRuehl"/>
                <w:sz w:val="28"/>
                <w:szCs w:val="28"/>
                <w:rtl/>
              </w:rPr>
            </w:pPr>
          </w:p>
        </w:tc>
        <w:tc>
          <w:tcPr>
            <w:tcW w:w="3663" w:type="dxa"/>
          </w:tcPr>
          <w:p w14:paraId="4A291685" w14:textId="77777777" w:rsidR="00044E12" w:rsidRPr="000A04AF" w:rsidRDefault="00044E12" w:rsidP="007C3CCA">
            <w:pPr>
              <w:pStyle w:val="a3"/>
              <w:jc w:val="right"/>
              <w:rPr>
                <w:rFonts w:cs="FrankRuehl"/>
                <w:sz w:val="28"/>
                <w:szCs w:val="28"/>
                <w:rtl/>
              </w:rPr>
            </w:pPr>
          </w:p>
        </w:tc>
      </w:tr>
    </w:tbl>
    <w:p w14:paraId="4BFB0BE9" w14:textId="77777777" w:rsidR="00044E12" w:rsidRPr="000A04AF" w:rsidRDefault="00044E12" w:rsidP="00D54D6C">
      <w:pPr>
        <w:pStyle w:val="a3"/>
        <w:rPr>
          <w:rFonts w:ascii="David" w:hAnsi="David"/>
        </w:rPr>
      </w:pPr>
      <w:r w:rsidRPr="000A04A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44E12" w:rsidRPr="000A04AF" w14:paraId="7A8D258F" w14:textId="77777777" w:rsidTr="00044E12">
        <w:trPr>
          <w:trHeight w:val="295"/>
          <w:jc w:val="center"/>
        </w:trPr>
        <w:tc>
          <w:tcPr>
            <w:tcW w:w="923" w:type="dxa"/>
            <w:tcBorders>
              <w:top w:val="nil"/>
              <w:left w:val="nil"/>
              <w:bottom w:val="nil"/>
              <w:right w:val="nil"/>
            </w:tcBorders>
            <w:shd w:val="clear" w:color="auto" w:fill="auto"/>
          </w:tcPr>
          <w:p w14:paraId="7904D1DE" w14:textId="77777777" w:rsidR="00044E12" w:rsidRPr="000A04AF" w:rsidRDefault="00044E12" w:rsidP="00044E12">
            <w:pPr>
              <w:spacing w:line="360" w:lineRule="auto"/>
              <w:jc w:val="both"/>
              <w:rPr>
                <w:rFonts w:ascii="David" w:hAnsi="David"/>
                <w:sz w:val="26"/>
                <w:szCs w:val="26"/>
              </w:rPr>
            </w:pPr>
            <w:r w:rsidRPr="000A04AF">
              <w:rPr>
                <w:rFonts w:ascii="David" w:hAnsi="David"/>
                <w:sz w:val="26"/>
                <w:szCs w:val="26"/>
                <w:rtl/>
              </w:rPr>
              <w:t xml:space="preserve">לפני </w:t>
            </w:r>
          </w:p>
        </w:tc>
        <w:tc>
          <w:tcPr>
            <w:tcW w:w="7897" w:type="dxa"/>
            <w:gridSpan w:val="2"/>
            <w:tcBorders>
              <w:top w:val="nil"/>
              <w:left w:val="nil"/>
              <w:bottom w:val="nil"/>
              <w:right w:val="nil"/>
            </w:tcBorders>
            <w:shd w:val="clear" w:color="auto" w:fill="auto"/>
          </w:tcPr>
          <w:p w14:paraId="48F424E3" w14:textId="77777777" w:rsidR="00044E12" w:rsidRPr="000A04AF" w:rsidRDefault="00044E12" w:rsidP="00044E12">
            <w:pPr>
              <w:spacing w:line="360" w:lineRule="auto"/>
              <w:rPr>
                <w:rFonts w:ascii="David" w:hAnsi="David"/>
                <w:b/>
                <w:bCs/>
                <w:sz w:val="26"/>
                <w:szCs w:val="26"/>
                <w:rtl/>
              </w:rPr>
            </w:pPr>
            <w:r w:rsidRPr="000A04AF">
              <w:rPr>
                <w:rFonts w:ascii="David" w:hAnsi="David"/>
                <w:b/>
                <w:bCs/>
                <w:sz w:val="26"/>
                <w:szCs w:val="26"/>
                <w:rtl/>
              </w:rPr>
              <w:t>כבוד השופטת מריה פיקוס בוגדאנוב</w:t>
            </w:r>
          </w:p>
          <w:p w14:paraId="59380064" w14:textId="77777777" w:rsidR="00044E12" w:rsidRPr="000A04AF" w:rsidRDefault="00044E12" w:rsidP="00044E12">
            <w:pPr>
              <w:spacing w:line="360" w:lineRule="auto"/>
              <w:rPr>
                <w:rFonts w:ascii="David" w:hAnsi="David"/>
                <w:sz w:val="26"/>
                <w:szCs w:val="26"/>
                <w:rtl/>
              </w:rPr>
            </w:pPr>
          </w:p>
          <w:p w14:paraId="5473D3B2" w14:textId="77777777" w:rsidR="00044E12" w:rsidRPr="000A04AF" w:rsidRDefault="00044E12" w:rsidP="00044E12">
            <w:pPr>
              <w:spacing w:line="360" w:lineRule="auto"/>
              <w:jc w:val="both"/>
              <w:rPr>
                <w:rFonts w:ascii="David" w:hAnsi="David"/>
                <w:sz w:val="26"/>
                <w:szCs w:val="26"/>
              </w:rPr>
            </w:pPr>
          </w:p>
        </w:tc>
      </w:tr>
      <w:tr w:rsidR="00044E12" w:rsidRPr="000A04AF" w14:paraId="5202B978" w14:textId="77777777" w:rsidTr="00044E12">
        <w:trPr>
          <w:trHeight w:val="355"/>
          <w:jc w:val="center"/>
        </w:trPr>
        <w:tc>
          <w:tcPr>
            <w:tcW w:w="923" w:type="dxa"/>
            <w:tcBorders>
              <w:top w:val="nil"/>
              <w:left w:val="nil"/>
              <w:bottom w:val="nil"/>
              <w:right w:val="nil"/>
            </w:tcBorders>
            <w:shd w:val="clear" w:color="auto" w:fill="auto"/>
          </w:tcPr>
          <w:p w14:paraId="13E6CD3F" w14:textId="77777777" w:rsidR="00044E12" w:rsidRPr="000A04AF" w:rsidRDefault="00044E12" w:rsidP="00044E12">
            <w:pPr>
              <w:spacing w:line="360" w:lineRule="auto"/>
              <w:jc w:val="both"/>
              <w:rPr>
                <w:rFonts w:ascii="David" w:hAnsi="David"/>
                <w:sz w:val="26"/>
                <w:szCs w:val="26"/>
              </w:rPr>
            </w:pPr>
            <w:bookmarkStart w:id="1" w:name="FirstAppellant"/>
            <w:r w:rsidRPr="000A04AF">
              <w:rPr>
                <w:rFonts w:ascii="David" w:hAnsi="David"/>
                <w:sz w:val="26"/>
                <w:szCs w:val="26"/>
                <w:rtl/>
              </w:rPr>
              <w:t>בעניין:</w:t>
            </w:r>
          </w:p>
        </w:tc>
        <w:tc>
          <w:tcPr>
            <w:tcW w:w="3219" w:type="dxa"/>
            <w:tcBorders>
              <w:top w:val="nil"/>
              <w:left w:val="nil"/>
              <w:bottom w:val="nil"/>
              <w:right w:val="nil"/>
            </w:tcBorders>
            <w:shd w:val="clear" w:color="auto" w:fill="auto"/>
          </w:tcPr>
          <w:p w14:paraId="185CABC0" w14:textId="77777777" w:rsidR="00044E12" w:rsidRPr="000A04AF" w:rsidRDefault="00044E12" w:rsidP="00044E12">
            <w:pPr>
              <w:suppressLineNumbers/>
              <w:spacing w:line="360" w:lineRule="auto"/>
              <w:rPr>
                <w:rFonts w:ascii="David" w:hAnsi="David"/>
              </w:rPr>
            </w:pPr>
            <w:r w:rsidRPr="000A04AF">
              <w:rPr>
                <w:rFonts w:ascii="David" w:hAnsi="David"/>
                <w:b/>
                <w:bCs/>
                <w:sz w:val="26"/>
                <w:szCs w:val="26"/>
                <w:rtl/>
              </w:rPr>
              <w:t>המאשימה</w:t>
            </w:r>
          </w:p>
          <w:p w14:paraId="3635B1A1" w14:textId="77777777" w:rsidR="00044E12" w:rsidRPr="000A04AF" w:rsidRDefault="00044E12" w:rsidP="00044E12">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44EC2EE7" w14:textId="77777777" w:rsidR="00044E12" w:rsidRPr="000A04AF" w:rsidRDefault="00044E12" w:rsidP="00044E12">
            <w:pPr>
              <w:suppressLineNumbers/>
              <w:spacing w:line="360" w:lineRule="auto"/>
              <w:rPr>
                <w:rFonts w:ascii="David" w:hAnsi="David"/>
              </w:rPr>
            </w:pPr>
            <w:r w:rsidRPr="000A04AF">
              <w:rPr>
                <w:rFonts w:ascii="David" w:hAnsi="David"/>
                <w:b/>
                <w:bCs/>
                <w:sz w:val="26"/>
                <w:szCs w:val="26"/>
                <w:rtl/>
              </w:rPr>
              <w:t xml:space="preserve">מדינת ישראל </w:t>
            </w:r>
          </w:p>
          <w:p w14:paraId="33D01D59" w14:textId="77777777" w:rsidR="00044E12" w:rsidRPr="000A04AF" w:rsidRDefault="00044E12" w:rsidP="00044E12">
            <w:pPr>
              <w:spacing w:line="360" w:lineRule="auto"/>
              <w:rPr>
                <w:rFonts w:ascii="David" w:hAnsi="David"/>
                <w:sz w:val="26"/>
                <w:szCs w:val="26"/>
              </w:rPr>
            </w:pPr>
          </w:p>
        </w:tc>
      </w:tr>
      <w:bookmarkEnd w:id="1"/>
      <w:tr w:rsidR="00044E12" w:rsidRPr="000A04AF" w14:paraId="735EBE5D" w14:textId="77777777" w:rsidTr="00044E12">
        <w:trPr>
          <w:trHeight w:val="355"/>
          <w:jc w:val="center"/>
        </w:trPr>
        <w:tc>
          <w:tcPr>
            <w:tcW w:w="923" w:type="dxa"/>
            <w:tcBorders>
              <w:top w:val="nil"/>
              <w:left w:val="nil"/>
              <w:bottom w:val="nil"/>
              <w:right w:val="nil"/>
            </w:tcBorders>
            <w:shd w:val="clear" w:color="auto" w:fill="auto"/>
          </w:tcPr>
          <w:p w14:paraId="4D921E23" w14:textId="77777777" w:rsidR="00044E12" w:rsidRPr="000A04AF" w:rsidRDefault="00044E12" w:rsidP="00044E12">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799B13FB" w14:textId="77777777" w:rsidR="00044E12" w:rsidRPr="000A04AF" w:rsidRDefault="00044E12" w:rsidP="00044E12">
            <w:pPr>
              <w:spacing w:line="360" w:lineRule="auto"/>
              <w:jc w:val="center"/>
              <w:rPr>
                <w:rFonts w:ascii="David" w:hAnsi="David"/>
                <w:b/>
                <w:bCs/>
                <w:sz w:val="26"/>
                <w:szCs w:val="26"/>
                <w:rtl/>
              </w:rPr>
            </w:pPr>
          </w:p>
          <w:p w14:paraId="4D5A7A45" w14:textId="77777777" w:rsidR="00044E12" w:rsidRPr="000A04AF" w:rsidRDefault="00044E12" w:rsidP="00044E12">
            <w:pPr>
              <w:spacing w:line="360" w:lineRule="auto"/>
              <w:jc w:val="center"/>
              <w:rPr>
                <w:rFonts w:ascii="David" w:hAnsi="David"/>
                <w:b/>
                <w:bCs/>
                <w:sz w:val="26"/>
                <w:szCs w:val="26"/>
                <w:rtl/>
              </w:rPr>
            </w:pPr>
            <w:r w:rsidRPr="000A04AF">
              <w:rPr>
                <w:rFonts w:ascii="David" w:hAnsi="David"/>
                <w:b/>
                <w:bCs/>
                <w:sz w:val="26"/>
                <w:szCs w:val="26"/>
                <w:rtl/>
              </w:rPr>
              <w:t>נגד</w:t>
            </w:r>
          </w:p>
          <w:p w14:paraId="23118D19" w14:textId="77777777" w:rsidR="00044E12" w:rsidRPr="000A04AF" w:rsidRDefault="00044E12" w:rsidP="00044E12">
            <w:pPr>
              <w:spacing w:line="360" w:lineRule="auto"/>
              <w:jc w:val="both"/>
              <w:rPr>
                <w:rFonts w:ascii="David" w:hAnsi="David"/>
                <w:sz w:val="26"/>
                <w:szCs w:val="26"/>
              </w:rPr>
            </w:pPr>
          </w:p>
        </w:tc>
      </w:tr>
      <w:tr w:rsidR="00044E12" w:rsidRPr="000A04AF" w14:paraId="1BBFB61D" w14:textId="77777777" w:rsidTr="00044E12">
        <w:trPr>
          <w:trHeight w:val="355"/>
          <w:jc w:val="center"/>
        </w:trPr>
        <w:tc>
          <w:tcPr>
            <w:tcW w:w="923" w:type="dxa"/>
            <w:tcBorders>
              <w:top w:val="nil"/>
              <w:left w:val="nil"/>
              <w:bottom w:val="nil"/>
              <w:right w:val="nil"/>
            </w:tcBorders>
            <w:shd w:val="clear" w:color="auto" w:fill="auto"/>
          </w:tcPr>
          <w:p w14:paraId="14B9DE2A" w14:textId="77777777" w:rsidR="00044E12" w:rsidRPr="000A04AF" w:rsidRDefault="00044E12" w:rsidP="00044E12">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98CA5C9" w14:textId="77777777" w:rsidR="00044E12" w:rsidRPr="000A04AF" w:rsidRDefault="00044E12" w:rsidP="00044E12">
            <w:pPr>
              <w:spacing w:line="360" w:lineRule="auto"/>
              <w:rPr>
                <w:rFonts w:ascii="David" w:hAnsi="David"/>
                <w:b/>
                <w:bCs/>
                <w:sz w:val="26"/>
                <w:szCs w:val="26"/>
                <w:rtl/>
              </w:rPr>
            </w:pPr>
            <w:r w:rsidRPr="000A04AF">
              <w:rPr>
                <w:rFonts w:ascii="David" w:hAnsi="David"/>
                <w:b/>
                <w:bCs/>
                <w:sz w:val="26"/>
                <w:szCs w:val="26"/>
                <w:rtl/>
              </w:rPr>
              <w:t>הנאשם</w:t>
            </w:r>
          </w:p>
        </w:tc>
        <w:tc>
          <w:tcPr>
            <w:tcW w:w="4678" w:type="dxa"/>
            <w:tcBorders>
              <w:top w:val="nil"/>
              <w:left w:val="nil"/>
              <w:bottom w:val="nil"/>
              <w:right w:val="nil"/>
            </w:tcBorders>
            <w:shd w:val="clear" w:color="auto" w:fill="auto"/>
            <w:vAlign w:val="center"/>
          </w:tcPr>
          <w:p w14:paraId="63C0D028" w14:textId="77777777" w:rsidR="00044E12" w:rsidRPr="000A04AF" w:rsidRDefault="00044E12" w:rsidP="00044E12">
            <w:pPr>
              <w:suppressLineNumbers/>
              <w:spacing w:line="360" w:lineRule="auto"/>
              <w:rPr>
                <w:rFonts w:ascii="David" w:hAnsi="David"/>
              </w:rPr>
            </w:pPr>
            <w:r w:rsidRPr="000A04AF">
              <w:rPr>
                <w:rFonts w:ascii="David" w:hAnsi="David"/>
                <w:b/>
                <w:bCs/>
                <w:sz w:val="26"/>
                <w:szCs w:val="26"/>
                <w:rtl/>
              </w:rPr>
              <w:t xml:space="preserve">סאמח חוסיין (עציר) </w:t>
            </w:r>
          </w:p>
          <w:p w14:paraId="76FE7AF3" w14:textId="77777777" w:rsidR="00044E12" w:rsidRPr="000A04AF" w:rsidRDefault="00044E12" w:rsidP="00044E12">
            <w:pPr>
              <w:spacing w:line="360" w:lineRule="auto"/>
              <w:rPr>
                <w:rFonts w:ascii="David" w:hAnsi="David"/>
                <w:sz w:val="26"/>
                <w:szCs w:val="26"/>
              </w:rPr>
            </w:pPr>
          </w:p>
        </w:tc>
      </w:tr>
    </w:tbl>
    <w:p w14:paraId="24BA3780" w14:textId="77777777" w:rsidR="000A04AF" w:rsidRPr="000A04AF" w:rsidRDefault="000A04AF" w:rsidP="000A04AF">
      <w:pPr>
        <w:spacing w:before="120" w:after="120" w:line="240" w:lineRule="exact"/>
        <w:ind w:left="283" w:hanging="283"/>
        <w:jc w:val="both"/>
        <w:rPr>
          <w:rFonts w:ascii="FrankRuehl" w:hAnsi="FrankRuehl" w:cs="FrankRuehl"/>
          <w:rtl/>
        </w:rPr>
      </w:pPr>
    </w:p>
    <w:p w14:paraId="16EFEF7C" w14:textId="77777777" w:rsidR="000A04AF" w:rsidRPr="000A04AF" w:rsidRDefault="000A04AF" w:rsidP="000A04AF">
      <w:pPr>
        <w:spacing w:line="360" w:lineRule="auto"/>
        <w:rPr>
          <w:rFonts w:ascii="David" w:hAnsi="David"/>
          <w:sz w:val="26"/>
          <w:szCs w:val="26"/>
          <w:rtl/>
        </w:rPr>
      </w:pPr>
    </w:p>
    <w:p w14:paraId="0DC3348D" w14:textId="77777777" w:rsidR="00D54D6C" w:rsidRPr="00D54D6C" w:rsidRDefault="00D54D6C" w:rsidP="00D54D6C">
      <w:pPr>
        <w:spacing w:before="120" w:after="120" w:line="240" w:lineRule="exact"/>
        <w:ind w:left="283" w:hanging="283"/>
        <w:jc w:val="both"/>
        <w:rPr>
          <w:rFonts w:ascii="FrankRuehl" w:hAnsi="FrankRuehl" w:cs="FrankRuehl"/>
          <w:rtl/>
        </w:rPr>
      </w:pPr>
      <w:bookmarkStart w:id="2" w:name="LawTable"/>
      <w:bookmarkEnd w:id="2"/>
    </w:p>
    <w:p w14:paraId="14C3CA29" w14:textId="77777777" w:rsidR="00D54D6C" w:rsidRPr="00D54D6C" w:rsidRDefault="00D54D6C" w:rsidP="00D54D6C">
      <w:pPr>
        <w:spacing w:before="120" w:after="120" w:line="240" w:lineRule="exact"/>
        <w:ind w:left="283" w:hanging="283"/>
        <w:jc w:val="both"/>
        <w:rPr>
          <w:rFonts w:ascii="FrankRuehl" w:hAnsi="FrankRuehl" w:cs="FrankRuehl"/>
          <w:rtl/>
        </w:rPr>
      </w:pPr>
      <w:r w:rsidRPr="00D54D6C">
        <w:rPr>
          <w:rFonts w:ascii="FrankRuehl" w:hAnsi="FrankRuehl" w:cs="FrankRuehl"/>
          <w:rtl/>
        </w:rPr>
        <w:t xml:space="preserve">חקיקה שאוזכרה: </w:t>
      </w:r>
    </w:p>
    <w:p w14:paraId="362F3E91" w14:textId="77777777" w:rsidR="00D54D6C" w:rsidRPr="00D54D6C" w:rsidRDefault="00D54D6C" w:rsidP="00D54D6C">
      <w:pPr>
        <w:spacing w:before="120" w:after="120" w:line="240" w:lineRule="exact"/>
        <w:ind w:left="283" w:hanging="283"/>
        <w:jc w:val="both"/>
        <w:rPr>
          <w:rFonts w:ascii="FrankRuehl" w:hAnsi="FrankRuehl" w:cs="FrankRuehl"/>
          <w:color w:val="0000FF"/>
          <w:rtl/>
        </w:rPr>
      </w:pPr>
      <w:hyperlink r:id="rId7" w:history="1">
        <w:r w:rsidRPr="00D54D6C">
          <w:rPr>
            <w:rStyle w:val="Hyperlink"/>
            <w:rFonts w:ascii="FrankRuehl" w:hAnsi="FrankRuehl" w:cs="FrankRuehl"/>
            <w:u w:val="none"/>
            <w:rtl/>
          </w:rPr>
          <w:t>חוק העונשין, תשל"ז-1977</w:t>
        </w:r>
      </w:hyperlink>
      <w:r w:rsidRPr="00D54D6C">
        <w:rPr>
          <w:rFonts w:ascii="FrankRuehl" w:hAnsi="FrankRuehl" w:cs="FrankRuehl"/>
          <w:color w:val="0000FF"/>
          <w:rtl/>
        </w:rPr>
        <w:t xml:space="preserve">: סע'  </w:t>
      </w:r>
      <w:hyperlink r:id="rId8" w:history="1">
        <w:r w:rsidRPr="00D54D6C">
          <w:rPr>
            <w:rStyle w:val="Hyperlink"/>
            <w:rFonts w:ascii="FrankRuehl" w:hAnsi="FrankRuehl" w:cs="FrankRuehl"/>
            <w:u w:val="none"/>
          </w:rPr>
          <w:t>31</w:t>
        </w:r>
      </w:hyperlink>
      <w:r w:rsidRPr="00D54D6C">
        <w:rPr>
          <w:rFonts w:ascii="FrankRuehl" w:hAnsi="FrankRuehl" w:cs="FrankRuehl"/>
          <w:color w:val="0000FF"/>
          <w:rtl/>
        </w:rPr>
        <w:t xml:space="preserve">, </w:t>
      </w:r>
      <w:hyperlink r:id="rId9" w:history="1">
        <w:r w:rsidRPr="00D54D6C">
          <w:rPr>
            <w:rStyle w:val="Hyperlink"/>
            <w:rFonts w:ascii="FrankRuehl" w:hAnsi="FrankRuehl" w:cs="FrankRuehl"/>
            <w:u w:val="none"/>
          </w:rPr>
          <w:t>40</w:t>
        </w:r>
        <w:r w:rsidRPr="00D54D6C">
          <w:rPr>
            <w:rStyle w:val="Hyperlink"/>
            <w:rFonts w:ascii="FrankRuehl" w:hAnsi="FrankRuehl" w:cs="FrankRuehl"/>
            <w:u w:val="none"/>
            <w:rtl/>
          </w:rPr>
          <w:t>ג</w:t>
        </w:r>
      </w:hyperlink>
      <w:r w:rsidRPr="00D54D6C">
        <w:rPr>
          <w:rFonts w:ascii="FrankRuehl" w:hAnsi="FrankRuehl" w:cs="FrankRuehl"/>
          <w:color w:val="0000FF"/>
          <w:rtl/>
        </w:rPr>
        <w:t xml:space="preserve">(א), </w:t>
      </w:r>
      <w:hyperlink r:id="rId10" w:history="1">
        <w:r w:rsidRPr="00D54D6C">
          <w:rPr>
            <w:rStyle w:val="Hyperlink"/>
            <w:rFonts w:ascii="FrankRuehl" w:hAnsi="FrankRuehl" w:cs="FrankRuehl"/>
            <w:u w:val="none"/>
          </w:rPr>
          <w:t>144</w:t>
        </w:r>
      </w:hyperlink>
      <w:r w:rsidRPr="00D54D6C">
        <w:rPr>
          <w:rFonts w:ascii="FrankRuehl" w:hAnsi="FrankRuehl" w:cs="FrankRuehl"/>
          <w:color w:val="0000FF"/>
          <w:rtl/>
        </w:rPr>
        <w:t xml:space="preserve">(א), </w:t>
      </w:r>
      <w:hyperlink r:id="rId11" w:history="1">
        <w:r w:rsidRPr="00D54D6C">
          <w:rPr>
            <w:rStyle w:val="Hyperlink"/>
            <w:rFonts w:ascii="FrankRuehl" w:hAnsi="FrankRuehl" w:cs="FrankRuehl"/>
            <w:u w:val="none"/>
          </w:rPr>
          <w:t>144</w:t>
        </w:r>
      </w:hyperlink>
      <w:r w:rsidRPr="00D54D6C">
        <w:rPr>
          <w:rFonts w:ascii="FrankRuehl" w:hAnsi="FrankRuehl" w:cs="FrankRuehl"/>
          <w:color w:val="0000FF"/>
          <w:rtl/>
        </w:rPr>
        <w:t>(ז)</w:t>
      </w:r>
    </w:p>
    <w:p w14:paraId="4D8018F1" w14:textId="77777777" w:rsidR="00044E12" w:rsidRPr="00D54D6C" w:rsidRDefault="00044E12" w:rsidP="00D54D6C">
      <w:pPr>
        <w:spacing w:line="360" w:lineRule="auto"/>
        <w:rPr>
          <w:rFonts w:ascii="David" w:hAnsi="David"/>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4E12" w:rsidRPr="00DF398E" w14:paraId="33EE4BEC" w14:textId="77777777" w:rsidTr="00044E12">
        <w:trPr>
          <w:trHeight w:val="355"/>
          <w:jc w:val="center"/>
        </w:trPr>
        <w:tc>
          <w:tcPr>
            <w:tcW w:w="8820" w:type="dxa"/>
            <w:tcBorders>
              <w:top w:val="nil"/>
              <w:left w:val="nil"/>
              <w:bottom w:val="nil"/>
              <w:right w:val="nil"/>
            </w:tcBorders>
            <w:shd w:val="clear" w:color="auto" w:fill="auto"/>
          </w:tcPr>
          <w:p w14:paraId="4649AE57" w14:textId="77777777" w:rsidR="000A04AF" w:rsidRPr="000A04AF" w:rsidRDefault="000A04AF" w:rsidP="000A04AF">
            <w:pPr>
              <w:spacing w:line="360" w:lineRule="auto"/>
              <w:jc w:val="center"/>
              <w:rPr>
                <w:rFonts w:ascii="David" w:hAnsi="David"/>
                <w:b/>
                <w:bCs/>
                <w:sz w:val="32"/>
                <w:szCs w:val="32"/>
                <w:u w:val="single"/>
                <w:rtl/>
              </w:rPr>
            </w:pPr>
            <w:bookmarkStart w:id="4" w:name="PsakDin" w:colFirst="0" w:colLast="0"/>
            <w:bookmarkEnd w:id="0"/>
            <w:r w:rsidRPr="000A04AF">
              <w:rPr>
                <w:rFonts w:ascii="David" w:hAnsi="David"/>
                <w:b/>
                <w:bCs/>
                <w:sz w:val="32"/>
                <w:szCs w:val="32"/>
                <w:u w:val="single"/>
                <w:rtl/>
              </w:rPr>
              <w:t>גזר דין</w:t>
            </w:r>
          </w:p>
          <w:p w14:paraId="13B222D0" w14:textId="77777777" w:rsidR="00044E12" w:rsidRPr="000A04AF" w:rsidRDefault="00044E12" w:rsidP="000A04AF">
            <w:pPr>
              <w:spacing w:line="360" w:lineRule="auto"/>
              <w:jc w:val="center"/>
              <w:rPr>
                <w:rFonts w:ascii="David" w:hAnsi="David"/>
                <w:bCs/>
                <w:sz w:val="32"/>
                <w:szCs w:val="32"/>
                <w:u w:val="single"/>
                <w:rtl/>
              </w:rPr>
            </w:pPr>
          </w:p>
        </w:tc>
      </w:tr>
    </w:tbl>
    <w:p w14:paraId="57E365B7" w14:textId="77777777" w:rsidR="00044E12" w:rsidRPr="00DF398E" w:rsidRDefault="00044E12" w:rsidP="00044E12">
      <w:pPr>
        <w:spacing w:before="240" w:after="240" w:line="360" w:lineRule="auto"/>
        <w:jc w:val="both"/>
        <w:rPr>
          <w:rFonts w:ascii="David" w:hAnsi="David"/>
          <w:rtl/>
        </w:rPr>
      </w:pPr>
      <w:bookmarkStart w:id="5" w:name="ABSTRACT_START"/>
      <w:bookmarkEnd w:id="4"/>
      <w:bookmarkEnd w:id="5"/>
      <w:r w:rsidRPr="00DF398E">
        <w:rPr>
          <w:rFonts w:ascii="David" w:hAnsi="David"/>
          <w:rtl/>
        </w:rPr>
        <w:t xml:space="preserve">הנאשם הודה בעובדות כתב האישום המתוקן (במ/1) והורשע בביצוע עבירה של סיוע להחזקת נשק ותחמושת בניגוד </w:t>
      </w:r>
      <w:hyperlink r:id="rId12" w:history="1">
        <w:r w:rsidR="00D54D6C" w:rsidRPr="00D54D6C">
          <w:rPr>
            <w:rStyle w:val="Hyperlink"/>
            <w:rFonts w:ascii="David" w:hAnsi="David"/>
            <w:color w:val="0000FF"/>
            <w:rtl/>
          </w:rPr>
          <w:t>לסעיף 144(א)</w:t>
        </w:r>
      </w:hyperlink>
      <w:r w:rsidRPr="00DF398E">
        <w:rPr>
          <w:rFonts w:ascii="David" w:hAnsi="David"/>
          <w:rtl/>
        </w:rPr>
        <w:t xml:space="preserve"> רישא וסיפא + סעיף </w:t>
      </w:r>
      <w:hyperlink r:id="rId13" w:history="1">
        <w:r w:rsidR="00D54D6C" w:rsidRPr="00D54D6C">
          <w:rPr>
            <w:rStyle w:val="Hyperlink"/>
            <w:rFonts w:ascii="David" w:hAnsi="David"/>
            <w:color w:val="0000FF"/>
            <w:rtl/>
          </w:rPr>
          <w:t>31</w:t>
        </w:r>
      </w:hyperlink>
      <w:r w:rsidRPr="00DF398E">
        <w:rPr>
          <w:rFonts w:ascii="David" w:hAnsi="David"/>
          <w:rtl/>
        </w:rPr>
        <w:t xml:space="preserve"> ל</w:t>
      </w:r>
      <w:hyperlink r:id="rId14" w:history="1">
        <w:r w:rsidR="000A04AF" w:rsidRPr="000A04AF">
          <w:rPr>
            <w:rFonts w:ascii="David" w:hAnsi="David"/>
            <w:color w:val="0000FF"/>
            <w:u w:val="single"/>
            <w:rtl/>
          </w:rPr>
          <w:t>חוק העונשין</w:t>
        </w:r>
      </w:hyperlink>
      <w:r w:rsidRPr="00DF398E">
        <w:rPr>
          <w:rFonts w:ascii="David" w:hAnsi="David"/>
          <w:rtl/>
        </w:rPr>
        <w:t>, תשל"ז – 1977 (להלן: "</w:t>
      </w:r>
      <w:r w:rsidRPr="00DF398E">
        <w:rPr>
          <w:rFonts w:ascii="David" w:hAnsi="David"/>
          <w:b/>
          <w:bCs/>
          <w:rtl/>
        </w:rPr>
        <w:t>חוק העונשין</w:t>
      </w:r>
      <w:r w:rsidRPr="00DF398E">
        <w:rPr>
          <w:rFonts w:ascii="David" w:hAnsi="David"/>
          <w:rtl/>
        </w:rPr>
        <w:t xml:space="preserve">"). </w:t>
      </w:r>
    </w:p>
    <w:p w14:paraId="49C1F42C" w14:textId="77777777" w:rsidR="00044E12" w:rsidRPr="00DF398E" w:rsidRDefault="00044E12" w:rsidP="00044E12">
      <w:pPr>
        <w:spacing w:before="240" w:after="240" w:line="360" w:lineRule="auto"/>
        <w:jc w:val="both"/>
        <w:rPr>
          <w:rFonts w:ascii="David" w:hAnsi="David"/>
          <w:b/>
          <w:bCs/>
          <w:rtl/>
        </w:rPr>
      </w:pPr>
      <w:bookmarkStart w:id="6" w:name="ABSTRACT_END"/>
      <w:bookmarkEnd w:id="6"/>
      <w:r w:rsidRPr="00DF398E">
        <w:rPr>
          <w:rFonts w:ascii="David" w:hAnsi="David"/>
          <w:b/>
          <w:bCs/>
          <w:rtl/>
        </w:rPr>
        <w:t xml:space="preserve">עובדות כתב האישום המתוקן בתמצית: </w:t>
      </w:r>
    </w:p>
    <w:p w14:paraId="30C11BE5"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במועד שאינו ידוע למאשימה ועובר לתאריך 24.11.24, סייע הנאשם לאחר, שזהותו אינה ידועה למאשימה, להחזיק על גג בניין במתחם מגוריו בדיר חנא, רובה סער מסוג </w:t>
      </w:r>
      <w:r w:rsidRPr="00DF398E">
        <w:rPr>
          <w:rFonts w:ascii="David" w:hAnsi="David"/>
        </w:rPr>
        <w:t>M-16</w:t>
      </w:r>
      <w:r w:rsidRPr="00DF398E">
        <w:rPr>
          <w:rFonts w:ascii="David" w:hAnsi="David"/>
          <w:rtl/>
        </w:rPr>
        <w:t xml:space="preserve"> מספר סידורי 589746</w:t>
      </w:r>
      <w:r w:rsidRPr="00DF398E">
        <w:rPr>
          <w:rFonts w:ascii="David" w:hAnsi="David"/>
        </w:rPr>
        <w:t>W</w:t>
      </w:r>
      <w:r w:rsidRPr="00DF398E">
        <w:rPr>
          <w:rFonts w:ascii="David" w:hAnsi="David"/>
          <w:rtl/>
        </w:rPr>
        <w:t xml:space="preserve"> שתי מחסניות תואמות המכילות כדורים של 5.56 מ"מ</w:t>
      </w:r>
      <w:r>
        <w:rPr>
          <w:rFonts w:ascii="David" w:hAnsi="David"/>
          <w:rtl/>
        </w:rPr>
        <w:t xml:space="preserve"> </w:t>
      </w:r>
      <w:r w:rsidRPr="00DF398E">
        <w:rPr>
          <w:rFonts w:ascii="David" w:hAnsi="David"/>
          <w:rtl/>
        </w:rPr>
        <w:t xml:space="preserve">ו- 16 כדורים בתפזורת של 5.56 מ"מ, כדור של 20 מ"מ ושמן לניקוי נשקים. בתאריך 24.11.24 נערך חיפוש על ידי משטרת ישראל ונתפסו הנשק, המחסניות והתחמושת כשהם מונחים בתוך תיק שחור על גג המתחם. </w:t>
      </w:r>
    </w:p>
    <w:p w14:paraId="7B57E6D8" w14:textId="77777777" w:rsidR="00044E12" w:rsidRPr="00DF398E" w:rsidRDefault="00044E12" w:rsidP="00044E12">
      <w:pPr>
        <w:spacing w:before="240" w:after="240" w:line="360" w:lineRule="auto"/>
        <w:jc w:val="both"/>
        <w:rPr>
          <w:rFonts w:ascii="David" w:hAnsi="David"/>
          <w:b/>
          <w:bCs/>
          <w:rtl/>
        </w:rPr>
      </w:pPr>
      <w:r w:rsidRPr="00DF398E">
        <w:rPr>
          <w:rFonts w:ascii="David" w:hAnsi="David"/>
          <w:b/>
          <w:bCs/>
          <w:rtl/>
        </w:rPr>
        <w:lastRenderedPageBreak/>
        <w:t xml:space="preserve">ראיות לעונש: </w:t>
      </w:r>
    </w:p>
    <w:p w14:paraId="763FF7AF"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המאשימה הגישה גיליון הרשעות קודמות של הנאשם הכולל שלוש הרשעות בגין עבירות סמים. (טע/1). </w:t>
      </w:r>
    </w:p>
    <w:p w14:paraId="0F0DE14C"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במסגרת טיעונים לעונש העידה אשת הנאשם, סיפרה כי נשארה בגפה עם שני ילדים קטנים, כאשר בתם הקטנה של בני הזוג נולדה עת שהנאשם היה עצור עד תום ההליכים. אשת הנאשם ביקשה את רחמי בית המשפט. </w:t>
      </w:r>
    </w:p>
    <w:p w14:paraId="2288E9AB" w14:textId="77777777" w:rsidR="00044E12" w:rsidRPr="00DF398E" w:rsidRDefault="00044E12" w:rsidP="00044E12">
      <w:pPr>
        <w:spacing w:before="240" w:after="240" w:line="360" w:lineRule="auto"/>
        <w:jc w:val="both"/>
        <w:rPr>
          <w:rFonts w:ascii="David" w:hAnsi="David"/>
          <w:b/>
          <w:bCs/>
          <w:rtl/>
        </w:rPr>
      </w:pPr>
      <w:r w:rsidRPr="00DF398E">
        <w:rPr>
          <w:rFonts w:ascii="David" w:hAnsi="David"/>
          <w:b/>
          <w:bCs/>
          <w:rtl/>
        </w:rPr>
        <w:t xml:space="preserve">טיעוני הצדדים לעונש: </w:t>
      </w:r>
    </w:p>
    <w:p w14:paraId="7978FC6A" w14:textId="77777777" w:rsidR="00044E12" w:rsidRPr="00DF398E" w:rsidRDefault="00044E12" w:rsidP="00044E12">
      <w:pPr>
        <w:spacing w:before="240" w:after="240" w:line="360" w:lineRule="auto"/>
        <w:jc w:val="both"/>
        <w:rPr>
          <w:rFonts w:ascii="David" w:hAnsi="David"/>
          <w:rtl/>
        </w:rPr>
      </w:pPr>
      <w:r w:rsidRPr="00DF398E">
        <w:rPr>
          <w:rFonts w:ascii="David" w:hAnsi="David"/>
          <w:b/>
          <w:bCs/>
          <w:rtl/>
        </w:rPr>
        <w:t>המאשימה</w:t>
      </w:r>
      <w:r w:rsidRPr="00DF398E">
        <w:rPr>
          <w:rFonts w:ascii="David" w:hAnsi="David"/>
          <w:rtl/>
        </w:rPr>
        <w:t xml:space="preserve"> טענה כי מתחם העונש ההולם בנסיבות תיק זה נע בין 16 ל- 30 חודשי מאסר בפועל.</w:t>
      </w:r>
      <w:r>
        <w:rPr>
          <w:rFonts w:ascii="David" w:hAnsi="David"/>
          <w:rtl/>
        </w:rPr>
        <w:t xml:space="preserve"> </w:t>
      </w:r>
      <w:r w:rsidRPr="00DF398E">
        <w:rPr>
          <w:rFonts w:ascii="David" w:hAnsi="David"/>
          <w:rtl/>
        </w:rPr>
        <w:t xml:space="preserve">ב"כ המאשימה הדגישה כי מדובר בנשק ארוך אשר הוחזק בצמוד למחסניות עם כדורים תואמים. בהקשר זה הפנתה המאשימה למדיניות הענישה הנוהגת, אך עיון בפסיקה מעלה כי מדיניות הענישה בתיקים מסוג זה אינה תואמת את המתחם לו עתרה המאשימה. באשר לעונשו של הנאשם בתוך מתחם העונש ההולם, המאשימה בקשה לגזור את עונשו של הנאשם ברף האמצעי – עליון, וזאת נוכח עברו הפלילי של הנאשם מחד והודאתו המיידית מאידך. </w:t>
      </w:r>
    </w:p>
    <w:p w14:paraId="317870A9" w14:textId="77777777" w:rsidR="00044E12" w:rsidRPr="00DF398E" w:rsidRDefault="00044E12" w:rsidP="00044E12">
      <w:pPr>
        <w:spacing w:before="240" w:after="240" w:line="360" w:lineRule="auto"/>
        <w:jc w:val="both"/>
        <w:rPr>
          <w:rFonts w:ascii="David" w:hAnsi="David"/>
          <w:rtl/>
        </w:rPr>
      </w:pPr>
      <w:r w:rsidRPr="00DF398E">
        <w:rPr>
          <w:rFonts w:ascii="David" w:hAnsi="David"/>
          <w:b/>
          <w:bCs/>
          <w:rtl/>
        </w:rPr>
        <w:t>ב"כ הנאשם</w:t>
      </w:r>
      <w:r w:rsidRPr="00DF398E">
        <w:rPr>
          <w:rFonts w:ascii="David" w:hAnsi="David"/>
          <w:rtl/>
        </w:rPr>
        <w:t xml:space="preserve"> חלק על המתחם לו עתרה המאשימה, וביקש לקבוע כי מתחם העונש ההולם נע בין מספר חודשים ל- 12 חודשי מאסר בפועל והפנה לפסיקה ממנה ביקש ללמוד על מדיניות הענישה הנוהגת. ב"כ הנאשם הדגיש כי הנאשם הורשע בעבירת סיוע ולא בעבירה מושלמת ועל כן לא ניתן ללמוד מהמתחמים אליהם הפנתה המאשימה למתחם העונש ההולם בעניינו של הנאשם. עוד נטען כי אומנם מדובר בנשק ארוך, אך הוא לא היה טעון ולא היה מוכן לשימוש מיידי וכי נוכח העובדה כי הנאשם סייע לאחר לא היה בכוונתו של הנאשם לעשות שימוש בנשק. </w:t>
      </w:r>
    </w:p>
    <w:p w14:paraId="7486CA80"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ב"כ הנאשם הפנה לטיעונים לעונש שהוגשו על ידי המאשימה בעניינו של האחר בת"פ 37980-03-23, שם בנסיבות דומות בגין עבירה של סיוע להחזקת אקדח עתרה המאשימה למתחם עונש הולם שנע בין 12 ל-24 חודשי מאסר בפועל. </w:t>
      </w:r>
    </w:p>
    <w:p w14:paraId="721378CC"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באשר לעונשו של הנאשם, בתוך מתחם העונש ההולם, ב"כ הנאשם הדגיש את הודאתו המיידית של הנאשם בעובדות כתב האישום המתוקן, נטילת האחריות על מעשיו והבעת החרטה מצדו. עוד הדגיש ב"כ הנאשם את פגיעת העונש במשפחתו של הנאשם והדגיש כי הנאשם כבר קיבל את עונשו, כאשר לא היה בלידת בתו עקב מעצרו. ב"כ הנאשם טען כי עברו הפלילי של הנאשם אינו בעבירות רלוונטיות ועל כן עתר לגזור את עונשו של הנאשם בתחתית המתחם ולהסתפק בתקופת מעצרו של הנאשם. כמו כן ביקש ב"כ הנאשם להימנע מהטלת עונש של קנס. </w:t>
      </w:r>
    </w:p>
    <w:p w14:paraId="700E2451" w14:textId="77777777" w:rsidR="00044E12" w:rsidRPr="00DF398E" w:rsidRDefault="00044E12" w:rsidP="00044E12">
      <w:pPr>
        <w:spacing w:before="240" w:after="240" w:line="360" w:lineRule="auto"/>
        <w:jc w:val="both"/>
        <w:rPr>
          <w:rFonts w:ascii="David" w:hAnsi="David"/>
          <w:b/>
          <w:bCs/>
          <w:rtl/>
        </w:rPr>
      </w:pPr>
      <w:r w:rsidRPr="00DF398E">
        <w:rPr>
          <w:rFonts w:ascii="David" w:hAnsi="David"/>
          <w:b/>
          <w:bCs/>
          <w:rtl/>
        </w:rPr>
        <w:t>דברי הנאשם:</w:t>
      </w:r>
    </w:p>
    <w:p w14:paraId="69941B27" w14:textId="77777777" w:rsidR="00044E12" w:rsidRPr="00DF398E" w:rsidRDefault="00044E12" w:rsidP="00044E12">
      <w:pPr>
        <w:spacing w:before="240" w:after="240" w:line="360" w:lineRule="auto"/>
        <w:jc w:val="both"/>
        <w:rPr>
          <w:rFonts w:ascii="David" w:hAnsi="David"/>
          <w:rtl/>
        </w:rPr>
      </w:pPr>
      <w:r w:rsidRPr="00DF398E">
        <w:rPr>
          <w:rFonts w:ascii="David" w:hAnsi="David"/>
          <w:rtl/>
        </w:rPr>
        <w:lastRenderedPageBreak/>
        <w:t xml:space="preserve">הנאשם אמר כי טעה ולא יחזור על הטעות. עוד אמר הנאשם כי את העונש הגדול שלו הוא כבר קיבל, אחרי שלא נכח בלידת בתו, וביקש להתחשב בפגיעת העונש במשפחתו. </w:t>
      </w:r>
    </w:p>
    <w:p w14:paraId="71E29E60" w14:textId="77777777" w:rsidR="00044E12" w:rsidRPr="00DF398E" w:rsidRDefault="00044E12" w:rsidP="00044E12">
      <w:pPr>
        <w:spacing w:before="240" w:after="240" w:line="360" w:lineRule="auto"/>
        <w:jc w:val="both"/>
        <w:rPr>
          <w:rFonts w:ascii="David" w:hAnsi="David"/>
          <w:b/>
          <w:bCs/>
        </w:rPr>
      </w:pPr>
      <w:r w:rsidRPr="00DF398E">
        <w:rPr>
          <w:rFonts w:ascii="David" w:hAnsi="David"/>
          <w:rtl/>
        </w:rPr>
        <w:t xml:space="preserve"> </w:t>
      </w:r>
      <w:r w:rsidRPr="00DF398E">
        <w:rPr>
          <w:rFonts w:ascii="David" w:hAnsi="David"/>
          <w:b/>
          <w:bCs/>
          <w:rtl/>
        </w:rPr>
        <w:t xml:space="preserve">דיון והכרעה: </w:t>
      </w:r>
    </w:p>
    <w:p w14:paraId="1DE2C8B5" w14:textId="77777777" w:rsidR="00044E12" w:rsidRPr="00044E12" w:rsidRDefault="00044E12" w:rsidP="00044E12">
      <w:pPr>
        <w:spacing w:before="240" w:after="240" w:line="360" w:lineRule="auto"/>
        <w:jc w:val="both"/>
        <w:rPr>
          <w:rFonts w:ascii="David" w:eastAsia="Calibri" w:hAnsi="David"/>
          <w:rtl/>
        </w:rPr>
      </w:pPr>
      <w:r w:rsidRPr="00044E12">
        <w:rPr>
          <w:rFonts w:ascii="David" w:eastAsia="Calibri" w:hAnsi="David"/>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15" w:history="1">
        <w:r w:rsidR="000A04AF" w:rsidRPr="000A04AF">
          <w:rPr>
            <w:rFonts w:ascii="David" w:eastAsia="Calibri" w:hAnsi="David"/>
            <w:color w:val="0000FF"/>
            <w:u w:val="single"/>
            <w:rtl/>
          </w:rPr>
          <w:t>ע"פ 8641/12</w:t>
        </w:r>
      </w:hyperlink>
      <w:r w:rsidRPr="00044E12">
        <w:rPr>
          <w:rFonts w:ascii="David" w:eastAsia="Calibri" w:hAnsi="David"/>
          <w:rtl/>
        </w:rPr>
        <w:t xml:space="preserve"> </w:t>
      </w:r>
      <w:r w:rsidRPr="00044E12">
        <w:rPr>
          <w:rFonts w:ascii="David" w:eastAsia="Calibri" w:hAnsi="David"/>
          <w:b/>
          <w:bCs/>
          <w:rtl/>
        </w:rPr>
        <w:t>מוחמד סעד נ' מ"י</w:t>
      </w:r>
      <w:r w:rsidRPr="00044E12">
        <w:rPr>
          <w:rFonts w:ascii="David" w:eastAsia="Calibri" w:hAnsi="David"/>
          <w:rtl/>
        </w:rPr>
        <w:t xml:space="preserve"> (5.8.13)).</w:t>
      </w:r>
    </w:p>
    <w:p w14:paraId="203A76BC" w14:textId="77777777" w:rsidR="00044E12" w:rsidRPr="00DF398E" w:rsidRDefault="00044E12" w:rsidP="00044E12">
      <w:pPr>
        <w:spacing w:before="240" w:after="240" w:line="360" w:lineRule="auto"/>
        <w:jc w:val="both"/>
        <w:rPr>
          <w:rFonts w:ascii="David" w:hAnsi="David"/>
        </w:rPr>
      </w:pPr>
      <w:r w:rsidRPr="00DF398E">
        <w:rPr>
          <w:rFonts w:ascii="David" w:hAnsi="David"/>
          <w:b/>
          <w:bCs/>
          <w:rtl/>
        </w:rPr>
        <w:t>הערך החברתי המוגן</w:t>
      </w:r>
      <w:r w:rsidRPr="00DF398E">
        <w:rPr>
          <w:rFonts w:ascii="David" w:hAnsi="David"/>
          <w:rtl/>
        </w:rPr>
        <w:t xml:space="preserve"> שנפגע ממעשי הנאשם הוא הערך של הגנה על חיי אדם והגנה על תחושת הביטחון של הציבור. </w:t>
      </w:r>
    </w:p>
    <w:p w14:paraId="7DE9DFDD" w14:textId="77777777" w:rsidR="00044E12" w:rsidRPr="00DF398E" w:rsidRDefault="00044E12" w:rsidP="00044E12">
      <w:pPr>
        <w:spacing w:before="240" w:after="240" w:line="360" w:lineRule="auto"/>
        <w:jc w:val="both"/>
        <w:rPr>
          <w:rFonts w:ascii="David" w:hAnsi="David"/>
          <w:b/>
          <w:bCs/>
        </w:rPr>
      </w:pPr>
      <w:r w:rsidRPr="00DF398E">
        <w:rPr>
          <w:rFonts w:ascii="David" w:hAnsi="David"/>
          <w:rtl/>
        </w:rPr>
        <w:t>באשר לחומרה היתרה שיש לראות בביצוע עבירות בנשק,</w:t>
      </w:r>
      <w:r>
        <w:rPr>
          <w:rFonts w:ascii="David" w:hAnsi="David"/>
          <w:rtl/>
        </w:rPr>
        <w:t xml:space="preserve"> </w:t>
      </w:r>
      <w:r w:rsidRPr="00DF398E">
        <w:rPr>
          <w:rFonts w:ascii="David" w:hAnsi="David"/>
          <w:rtl/>
        </w:rPr>
        <w:t>יפים הדברים שנאמרו ב</w:t>
      </w:r>
      <w:hyperlink r:id="rId16" w:history="1">
        <w:r w:rsidR="000A04AF" w:rsidRPr="000A04AF">
          <w:rPr>
            <w:rFonts w:ascii="David" w:hAnsi="David"/>
            <w:color w:val="0000FF"/>
            <w:u w:val="single"/>
            <w:rtl/>
          </w:rPr>
          <w:t>ע"פ 1945/13</w:t>
        </w:r>
      </w:hyperlink>
      <w:r w:rsidRPr="00DF398E">
        <w:rPr>
          <w:rFonts w:ascii="David" w:hAnsi="David"/>
          <w:rtl/>
        </w:rPr>
        <w:t xml:space="preserve"> </w:t>
      </w:r>
      <w:r w:rsidRPr="00DF398E">
        <w:rPr>
          <w:rFonts w:ascii="David" w:hAnsi="David"/>
          <w:b/>
          <w:bCs/>
          <w:rtl/>
        </w:rPr>
        <w:t xml:space="preserve">מדינת ישראל נ' עבד אל כרים סלימאן, </w:t>
      </w:r>
      <w:r w:rsidRPr="00DF398E">
        <w:rPr>
          <w:rFonts w:ascii="David" w:hAnsi="David"/>
          <w:rtl/>
        </w:rPr>
        <w:t>(19.1.14)</w:t>
      </w:r>
      <w:r w:rsidRPr="00DF398E">
        <w:rPr>
          <w:rFonts w:ascii="David" w:hAnsi="David"/>
          <w:b/>
          <w:bCs/>
          <w:rtl/>
        </w:rPr>
        <w:t>:</w:t>
      </w:r>
    </w:p>
    <w:p w14:paraId="103E0BC3" w14:textId="77777777" w:rsidR="00044E12" w:rsidRPr="00DF398E" w:rsidRDefault="00044E12" w:rsidP="00044E12">
      <w:pPr>
        <w:spacing w:before="240" w:after="240" w:line="360" w:lineRule="auto"/>
        <w:ind w:left="360"/>
        <w:jc w:val="both"/>
        <w:rPr>
          <w:rFonts w:ascii="David" w:hAnsi="David"/>
          <w:b/>
          <w:bCs/>
          <w:rtl/>
        </w:rPr>
      </w:pPr>
      <w:r w:rsidRPr="00DF398E">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3755EFAA" w14:textId="77777777" w:rsidR="00044E12" w:rsidRPr="00DF398E" w:rsidRDefault="00044E12" w:rsidP="00044E12">
      <w:pPr>
        <w:spacing w:before="240" w:after="240" w:line="360" w:lineRule="auto"/>
        <w:jc w:val="both"/>
        <w:rPr>
          <w:rFonts w:ascii="David" w:hAnsi="David"/>
        </w:rPr>
      </w:pPr>
      <w:r w:rsidRPr="00DF398E">
        <w:rPr>
          <w:rFonts w:ascii="David" w:hAnsi="David"/>
          <w:rtl/>
        </w:rPr>
        <w:t>בתי משפט חזרו על כך כי החזקה של</w:t>
      </w:r>
      <w:r w:rsidRPr="00DF398E">
        <w:rPr>
          <w:rFonts w:ascii="David" w:hAnsi="David"/>
        </w:rPr>
        <w:t xml:space="preserve"> </w:t>
      </w:r>
      <w:r w:rsidRPr="00DF398E">
        <w:rPr>
          <w:rFonts w:ascii="David" w:hAnsi="David"/>
          <w:rtl/>
        </w:rPr>
        <w:t>נשק</w:t>
      </w:r>
      <w:r w:rsidRPr="00DF398E">
        <w:rPr>
          <w:rFonts w:ascii="David" w:hAnsi="David"/>
        </w:rPr>
        <w:t xml:space="preserve"> </w:t>
      </w:r>
      <w:r w:rsidRPr="00DF398E">
        <w:rPr>
          <w:rFonts w:ascii="David" w:hAnsi="David"/>
          <w:rtl/>
        </w:rPr>
        <w:t>חם</w:t>
      </w:r>
      <w:r w:rsidRPr="00DF398E">
        <w:rPr>
          <w:rFonts w:ascii="David" w:hAnsi="David"/>
        </w:rPr>
        <w:t xml:space="preserve"> </w:t>
      </w:r>
      <w:r w:rsidRPr="00DF398E">
        <w:rPr>
          <w:rFonts w:ascii="David" w:hAnsi="David"/>
          <w:rtl/>
        </w:rPr>
        <w:t>ורב</w:t>
      </w:r>
      <w:r w:rsidRPr="00DF398E">
        <w:rPr>
          <w:rFonts w:ascii="David" w:hAnsi="David"/>
        </w:rPr>
        <w:t xml:space="preserve"> </w:t>
      </w:r>
      <w:r w:rsidRPr="00DF398E">
        <w:rPr>
          <w:rFonts w:ascii="David" w:hAnsi="David"/>
          <w:rtl/>
        </w:rPr>
        <w:t>עוצמה</w:t>
      </w:r>
      <w:r w:rsidRPr="00DF398E">
        <w:rPr>
          <w:rFonts w:ascii="David" w:hAnsi="David"/>
        </w:rPr>
        <w:t xml:space="preserve"> </w:t>
      </w:r>
      <w:r w:rsidRPr="00DF398E">
        <w:rPr>
          <w:rFonts w:ascii="David" w:hAnsi="David"/>
          <w:rtl/>
        </w:rPr>
        <w:t>באופן</w:t>
      </w:r>
      <w:r w:rsidRPr="00DF398E">
        <w:rPr>
          <w:rFonts w:ascii="David" w:hAnsi="David"/>
        </w:rPr>
        <w:t xml:space="preserve"> </w:t>
      </w:r>
      <w:r w:rsidRPr="00DF398E">
        <w:rPr>
          <w:rFonts w:ascii="David" w:hAnsi="David"/>
          <w:rtl/>
        </w:rPr>
        <w:t>בלתי</w:t>
      </w:r>
      <w:r w:rsidRPr="00DF398E">
        <w:rPr>
          <w:rFonts w:ascii="David" w:hAnsi="David"/>
        </w:rPr>
        <w:t xml:space="preserve"> </w:t>
      </w:r>
      <w:r w:rsidRPr="00DF398E">
        <w:rPr>
          <w:rFonts w:ascii="David" w:hAnsi="David"/>
          <w:rtl/>
        </w:rPr>
        <w:t>חוקי,</w:t>
      </w:r>
      <w:r w:rsidRPr="00DF398E">
        <w:rPr>
          <w:rFonts w:ascii="David" w:hAnsi="David"/>
        </w:rPr>
        <w:t xml:space="preserve"> </w:t>
      </w:r>
      <w:r w:rsidRPr="00DF398E">
        <w:rPr>
          <w:rFonts w:ascii="David" w:hAnsi="David"/>
          <w:rtl/>
        </w:rPr>
        <w:t>עלול להוביל</w:t>
      </w:r>
      <w:r w:rsidRPr="00DF398E">
        <w:rPr>
          <w:rFonts w:ascii="David" w:hAnsi="David"/>
        </w:rPr>
        <w:t xml:space="preserve"> </w:t>
      </w:r>
      <w:r w:rsidRPr="00DF398E">
        <w:rPr>
          <w:rFonts w:ascii="David" w:hAnsi="David"/>
          <w:rtl/>
        </w:rPr>
        <w:t>לאלימות</w:t>
      </w:r>
      <w:r w:rsidRPr="00DF398E">
        <w:rPr>
          <w:rFonts w:ascii="David" w:hAnsi="David"/>
        </w:rPr>
        <w:t xml:space="preserve"> </w:t>
      </w:r>
      <w:r w:rsidRPr="00DF398E">
        <w:rPr>
          <w:rFonts w:ascii="David" w:hAnsi="David"/>
          <w:rtl/>
        </w:rPr>
        <w:t>קשה</w:t>
      </w:r>
      <w:r w:rsidRPr="00DF398E">
        <w:rPr>
          <w:rFonts w:ascii="David" w:hAnsi="David"/>
        </w:rPr>
        <w:t xml:space="preserve"> </w:t>
      </w:r>
      <w:r w:rsidRPr="00DF398E">
        <w:rPr>
          <w:rFonts w:ascii="David" w:hAnsi="David"/>
          <w:rtl/>
        </w:rPr>
        <w:t>עד</w:t>
      </w:r>
      <w:r w:rsidRPr="00DF398E">
        <w:rPr>
          <w:rFonts w:ascii="David" w:hAnsi="David"/>
        </w:rPr>
        <w:t xml:space="preserve"> </w:t>
      </w:r>
      <w:r w:rsidRPr="00DF398E">
        <w:rPr>
          <w:rFonts w:ascii="David" w:hAnsi="David"/>
          <w:rtl/>
        </w:rPr>
        <w:t xml:space="preserve">קטלנית, ובשנים האחרונות אנו עדים לגל אלימות קשה תוך שימוש בנשק חם הגובה חיי אדם. </w:t>
      </w:r>
    </w:p>
    <w:p w14:paraId="76D80C98" w14:textId="77777777" w:rsidR="00044E12" w:rsidRPr="00DF398E" w:rsidRDefault="00044E12" w:rsidP="00044E12">
      <w:pPr>
        <w:spacing w:before="240" w:after="240" w:line="360" w:lineRule="auto"/>
        <w:jc w:val="both"/>
        <w:rPr>
          <w:rFonts w:ascii="David" w:hAnsi="David"/>
        </w:rPr>
      </w:pPr>
      <w:r w:rsidRPr="00DF398E">
        <w:rPr>
          <w:rFonts w:ascii="David" w:hAnsi="David"/>
          <w:rtl/>
        </w:rPr>
        <w:t xml:space="preserve">לעניין זה ראה ע"פ 1332/04 </w:t>
      </w:r>
      <w:r w:rsidRPr="00DF398E">
        <w:rPr>
          <w:rFonts w:ascii="David" w:hAnsi="David"/>
          <w:b/>
          <w:bCs/>
          <w:rtl/>
        </w:rPr>
        <w:t>מדינת ישראל נ' פס</w:t>
      </w:r>
      <w:r w:rsidRPr="00DF398E">
        <w:rPr>
          <w:rFonts w:ascii="David" w:hAnsi="David"/>
          <w:rtl/>
        </w:rPr>
        <w:t>, פ"ד נח (5), 541 בעמ' 545:</w:t>
      </w:r>
    </w:p>
    <w:p w14:paraId="59681A21" w14:textId="77777777" w:rsidR="00044E12" w:rsidRPr="00DF398E" w:rsidRDefault="00044E12" w:rsidP="00044E12">
      <w:pPr>
        <w:spacing w:before="240" w:after="240" w:line="360" w:lineRule="auto"/>
        <w:ind w:left="720"/>
        <w:jc w:val="both"/>
        <w:rPr>
          <w:rFonts w:ascii="David" w:hAnsi="David"/>
          <w:rtl/>
        </w:rPr>
      </w:pPr>
      <w:r w:rsidRPr="00DF398E">
        <w:rPr>
          <w:rFonts w:ascii="David" w:hAnsi="David"/>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p>
    <w:p w14:paraId="09BF4805" w14:textId="77777777" w:rsidR="00044E12" w:rsidRPr="00DF398E" w:rsidRDefault="00044E12" w:rsidP="00044E12">
      <w:pPr>
        <w:spacing w:before="240" w:after="240" w:line="360" w:lineRule="auto"/>
        <w:jc w:val="both"/>
        <w:rPr>
          <w:rFonts w:ascii="David" w:hAnsi="David"/>
          <w:rtl/>
        </w:rPr>
      </w:pPr>
      <w:r w:rsidRPr="00DF398E">
        <w:rPr>
          <w:rFonts w:ascii="David" w:hAnsi="David"/>
          <w:b/>
          <w:bCs/>
          <w:rtl/>
        </w:rPr>
        <w:t xml:space="preserve">באשר לנסיבות הקשורות בביצוע העבירה: </w:t>
      </w:r>
    </w:p>
    <w:p w14:paraId="0A3AAE1A"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הנאשם סייע לאדם אחר, אשר זהותה אינה ידועה, להחזיק על גג ביתו</w:t>
      </w:r>
      <w:r>
        <w:rPr>
          <w:rFonts w:ascii="David" w:hAnsi="David" w:hint="cs"/>
          <w:rtl/>
        </w:rPr>
        <w:t>,</w:t>
      </w:r>
      <w:r w:rsidRPr="00DF398E">
        <w:rPr>
          <w:rFonts w:ascii="David" w:hAnsi="David"/>
          <w:rtl/>
        </w:rPr>
        <w:t xml:space="preserve"> בתוך תיק</w:t>
      </w:r>
      <w:r>
        <w:rPr>
          <w:rFonts w:ascii="David" w:hAnsi="David" w:hint="cs"/>
          <w:rtl/>
        </w:rPr>
        <w:t>,</w:t>
      </w:r>
      <w:r w:rsidRPr="00DF398E">
        <w:rPr>
          <w:rFonts w:ascii="David" w:hAnsi="David"/>
          <w:rtl/>
        </w:rPr>
        <w:t xml:space="preserve"> רובה סער מסוג </w:t>
      </w:r>
      <w:r w:rsidRPr="00DF398E">
        <w:rPr>
          <w:rFonts w:ascii="David" w:hAnsi="David"/>
        </w:rPr>
        <w:t>M-16</w:t>
      </w:r>
      <w:r w:rsidRPr="00DF398E">
        <w:rPr>
          <w:rFonts w:ascii="David" w:hAnsi="David"/>
          <w:rtl/>
        </w:rPr>
        <w:t xml:space="preserve"> יחד עם שתי</w:t>
      </w:r>
      <w:r>
        <w:rPr>
          <w:rFonts w:ascii="David" w:hAnsi="David"/>
          <w:rtl/>
        </w:rPr>
        <w:t xml:space="preserve"> מחסניות תואמות וכדורים מתאימים</w:t>
      </w:r>
      <w:r w:rsidRPr="00DF398E">
        <w:rPr>
          <w:rFonts w:ascii="David" w:hAnsi="David"/>
          <w:rtl/>
        </w:rPr>
        <w:t>.</w:t>
      </w:r>
      <w:r>
        <w:rPr>
          <w:rFonts w:ascii="David" w:hAnsi="David"/>
          <w:rtl/>
        </w:rPr>
        <w:t xml:space="preserve"> </w:t>
      </w:r>
    </w:p>
    <w:p w14:paraId="0835DD76"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מעובדות כתב האישום עולה כי המעשים בוצעו לאחר תכנון, הגם שחלקו של הנאשם בביצוע העבירה לא היה מרכזי, אלא הוא שימש כמסייע לאחר בלבד. </w:t>
      </w:r>
    </w:p>
    <w:p w14:paraId="157DAC52" w14:textId="77777777" w:rsidR="00044E12" w:rsidRPr="00DF398E" w:rsidRDefault="00044E12" w:rsidP="00044E12">
      <w:pPr>
        <w:spacing w:before="240" w:after="240" w:line="360" w:lineRule="auto"/>
        <w:jc w:val="both"/>
        <w:rPr>
          <w:rFonts w:ascii="David" w:hAnsi="David"/>
          <w:color w:val="000000"/>
          <w:rtl/>
        </w:rPr>
      </w:pPr>
      <w:r w:rsidRPr="00DF398E">
        <w:rPr>
          <w:rFonts w:ascii="David" w:hAnsi="David"/>
          <w:rtl/>
        </w:rPr>
        <w:t>נסיבה לחומרה במקרה זה יש לראות בעובדה כי מדובר בנשק ארוך, שהוא נשק עם פוטנציאל פגיעה קטלני, והעובדה כי הנשק הוחזק בצמוד למחסניות מלאות בכדורים מתאימים מעידה כי הוא נועד לשימוש פלילי אשר עלול להביא לקיפוח חיי אדם.</w:t>
      </w:r>
      <w:r>
        <w:rPr>
          <w:rFonts w:ascii="David" w:hAnsi="David"/>
          <w:rtl/>
        </w:rPr>
        <w:t xml:space="preserve"> </w:t>
      </w:r>
    </w:p>
    <w:p w14:paraId="11487EF6" w14:textId="77777777" w:rsidR="00044E12" w:rsidRPr="00DF398E" w:rsidRDefault="00044E12" w:rsidP="00044E12">
      <w:pPr>
        <w:spacing w:before="240" w:after="240" w:line="360" w:lineRule="auto"/>
        <w:jc w:val="both"/>
        <w:rPr>
          <w:rFonts w:ascii="David" w:hAnsi="David"/>
          <w:color w:val="000000"/>
          <w:rtl/>
        </w:rPr>
      </w:pPr>
      <w:r w:rsidRPr="00DF398E">
        <w:rPr>
          <w:rFonts w:ascii="David" w:hAnsi="David"/>
          <w:color w:val="000000"/>
          <w:rtl/>
        </w:rPr>
        <w:t xml:space="preserve">אומנם לא נגרם נזק בפועל מביצוע העבירה על ידי הנאשם, אך הנזק הפוטנציאלי שעלול היה להיגרם הוא נזק חמור לגופו של אדם ואף לחייו. </w:t>
      </w:r>
    </w:p>
    <w:p w14:paraId="253B6D8C" w14:textId="77777777" w:rsidR="00044E12" w:rsidRPr="00DF398E" w:rsidRDefault="00044E12" w:rsidP="00044E12">
      <w:pPr>
        <w:spacing w:before="240" w:after="240" w:line="360" w:lineRule="auto"/>
        <w:jc w:val="both"/>
        <w:rPr>
          <w:rFonts w:ascii="David" w:hAnsi="David"/>
          <w:rtl/>
        </w:rPr>
      </w:pPr>
      <w:r w:rsidRPr="00DF398E">
        <w:rPr>
          <w:rFonts w:ascii="David" w:hAnsi="David"/>
          <w:b/>
          <w:bCs/>
          <w:rtl/>
        </w:rPr>
        <w:t>מידת הפגיעה בערכים המוגנים</w:t>
      </w:r>
      <w:r w:rsidRPr="00DF398E">
        <w:rPr>
          <w:rFonts w:ascii="David" w:hAnsi="David"/>
          <w:rtl/>
        </w:rPr>
        <w:t>: בשים לב לסוג הנשק</w:t>
      </w:r>
      <w:r>
        <w:rPr>
          <w:rFonts w:ascii="David" w:hAnsi="David" w:hint="cs"/>
          <w:rtl/>
        </w:rPr>
        <w:t>,</w:t>
      </w:r>
      <w:r w:rsidRPr="00DF398E">
        <w:rPr>
          <w:rFonts w:ascii="David" w:hAnsi="David"/>
          <w:rtl/>
        </w:rPr>
        <w:t xml:space="preserve"> שסייע הנאשם להחזקתו, העובדה כי הנשק הוחזק כשבצמוד אליו מחסניות עם תחמושת מתאימה, התכנון והנזק הפוטנציאלי שעלול היה להיגרם - אני קובעת כי מידת הפגיעה בערכים המוגנים היא ממשית. </w:t>
      </w:r>
    </w:p>
    <w:p w14:paraId="73E666F4" w14:textId="77777777" w:rsidR="00044E12" w:rsidRPr="00DF398E" w:rsidRDefault="00044E12" w:rsidP="00044E12">
      <w:pPr>
        <w:spacing w:before="240" w:after="240" w:line="360" w:lineRule="auto"/>
        <w:jc w:val="both"/>
        <w:rPr>
          <w:rFonts w:ascii="David" w:hAnsi="David"/>
        </w:rPr>
      </w:pPr>
      <w:r w:rsidRPr="00DF398E">
        <w:rPr>
          <w:rFonts w:ascii="David" w:hAnsi="David"/>
          <w:rtl/>
        </w:rPr>
        <w:t>בשנים האחרונות ישנה מגמת החמרה בענישה בגין עבירות בנשק ואף המחוקק נתן את דעתו וקבע עונש מינימום, שהוא רבע מהעונש הקבוע בחוק, כאשר עונש</w:t>
      </w:r>
      <w:r>
        <w:rPr>
          <w:rFonts w:ascii="David" w:hAnsi="David" w:hint="cs"/>
          <w:rtl/>
        </w:rPr>
        <w:t xml:space="preserve"> זה</w:t>
      </w:r>
      <w:r w:rsidRPr="00DF398E">
        <w:rPr>
          <w:rFonts w:ascii="David" w:hAnsi="David"/>
          <w:rtl/>
        </w:rPr>
        <w:t xml:space="preserve"> לא יהיה כולו על תנאי (</w:t>
      </w:r>
      <w:hyperlink r:id="rId17" w:history="1">
        <w:r w:rsidR="00D54D6C" w:rsidRPr="00D54D6C">
          <w:rPr>
            <w:rStyle w:val="Hyperlink"/>
            <w:rFonts w:ascii="David" w:hAnsi="David"/>
            <w:color w:val="0000FF"/>
            <w:rtl/>
          </w:rPr>
          <w:t>סעיף 144(ז)</w:t>
        </w:r>
      </w:hyperlink>
      <w:r w:rsidRPr="00DF398E">
        <w:rPr>
          <w:rFonts w:ascii="David" w:hAnsi="David"/>
          <w:rtl/>
        </w:rPr>
        <w:t xml:space="preserve"> ל</w:t>
      </w:r>
      <w:hyperlink r:id="rId18" w:history="1">
        <w:r w:rsidR="000A04AF" w:rsidRPr="000A04AF">
          <w:rPr>
            <w:rFonts w:ascii="David" w:hAnsi="David"/>
            <w:color w:val="0000FF"/>
            <w:u w:val="single"/>
            <w:rtl/>
          </w:rPr>
          <w:t>חוק העונשין</w:t>
        </w:r>
      </w:hyperlink>
      <w:r w:rsidRPr="00DF398E">
        <w:rPr>
          <w:rFonts w:ascii="David" w:hAnsi="David"/>
          <w:rtl/>
        </w:rPr>
        <w:t>, חוק העונשין (תיקון מס' 140 - הוראת שעה), התשפ"ב-2021).</w:t>
      </w:r>
      <w:r>
        <w:rPr>
          <w:rFonts w:ascii="David" w:hAnsi="David"/>
          <w:rtl/>
        </w:rPr>
        <w:t xml:space="preserve"> </w:t>
      </w:r>
    </w:p>
    <w:p w14:paraId="69088956"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ראה לעניין מגמת החמרה בענישה בגין עבירות בנשק </w:t>
      </w:r>
      <w:hyperlink r:id="rId19" w:history="1">
        <w:r w:rsidR="000A04AF" w:rsidRPr="000A04AF">
          <w:rPr>
            <w:rFonts w:ascii="David" w:hAnsi="David"/>
            <w:color w:val="0000FF"/>
            <w:u w:val="single"/>
            <w:rtl/>
          </w:rPr>
          <w:t>עפ"ג 12888-03-22</w:t>
        </w:r>
      </w:hyperlink>
      <w:r w:rsidRPr="00DF398E">
        <w:rPr>
          <w:rFonts w:ascii="David" w:hAnsi="David"/>
          <w:rtl/>
        </w:rPr>
        <w:t xml:space="preserve"> </w:t>
      </w:r>
      <w:r w:rsidRPr="00DF398E">
        <w:rPr>
          <w:rFonts w:ascii="David" w:hAnsi="David"/>
          <w:b/>
          <w:bCs/>
          <w:rtl/>
        </w:rPr>
        <w:t>מדינת ישראל נ' אגבריה</w:t>
      </w:r>
      <w:r w:rsidRPr="00DF398E">
        <w:rPr>
          <w:rFonts w:ascii="David" w:hAnsi="David"/>
          <w:rtl/>
        </w:rPr>
        <w:t xml:space="preserve"> (07.11.22),</w:t>
      </w:r>
    </w:p>
    <w:p w14:paraId="07899B43" w14:textId="77777777" w:rsidR="00044E12" w:rsidRPr="00DF398E" w:rsidRDefault="00044E12" w:rsidP="00044E12">
      <w:pPr>
        <w:spacing w:line="360" w:lineRule="auto"/>
        <w:ind w:left="360"/>
        <w:jc w:val="both"/>
        <w:rPr>
          <w:rFonts w:ascii="David" w:hAnsi="David"/>
          <w:b/>
          <w:bCs/>
          <w:rtl/>
        </w:rPr>
      </w:pPr>
      <w:r w:rsidRPr="00DF398E">
        <w:rPr>
          <w:rFonts w:ascii="David" w:hAnsi="David"/>
          <w:rtl/>
        </w:rPr>
        <w:t>"</w:t>
      </w:r>
      <w:r w:rsidRPr="00DF398E">
        <w:rPr>
          <w:rFonts w:ascii="David" w:hAnsi="David"/>
          <w:b/>
          <w:bCs/>
          <w:rtl/>
        </w:rPr>
        <w:t>רבות נכתב בעניין התופעה המסוכנת של החזקה ושימוש בנשק שפשתה במקומותינו. מציאות זו מחייבת את בתי המשפט להחמיר בענישה ובכך לתרום את חלקם במיגור תופעה מסוכנת זו המערערת את ביטחונם האישי של אזרחים הן במרחב הציבורי וגם הפרטי. תפוצת ונגישות הנשק גרמו לתוצאות קשות וטראגיות לרבות למותם גם של חפים מפשע שהלכו לתומם ברחוב או אף שהו בביתם-מבצרם. ביהמ"ש העליון חזר והזכיר רק לאחרונה:</w:t>
      </w:r>
    </w:p>
    <w:p w14:paraId="451605D9" w14:textId="77777777" w:rsidR="00044E12" w:rsidRPr="00DF398E" w:rsidRDefault="00044E12" w:rsidP="00044E12">
      <w:pPr>
        <w:pStyle w:val="aa"/>
        <w:spacing w:line="360" w:lineRule="auto"/>
        <w:jc w:val="both"/>
      </w:pPr>
      <w:r w:rsidRPr="00DF398E">
        <w:rPr>
          <w:rtl/>
        </w:rPr>
        <w:t>"</w:t>
      </w:r>
      <w:r w:rsidRPr="00DF398E">
        <w:rPr>
          <w:b/>
          <w:bCs/>
          <w:rtl/>
        </w:rPr>
        <w:t>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w:t>
      </w:r>
      <w:r w:rsidRPr="00DF398E">
        <w:rPr>
          <w:rtl/>
        </w:rPr>
        <w:t>"(</w:t>
      </w:r>
      <w:hyperlink r:id="rId20" w:history="1">
        <w:r w:rsidR="000A04AF" w:rsidRPr="000A04AF">
          <w:rPr>
            <w:color w:val="0000FF"/>
            <w:u w:val="single"/>
            <w:rtl/>
          </w:rPr>
          <w:t>ע"פ 5602/22</w:t>
        </w:r>
      </w:hyperlink>
      <w:r w:rsidRPr="00DF398E">
        <w:rPr>
          <w:rtl/>
        </w:rPr>
        <w:t xml:space="preserve"> </w:t>
      </w:r>
      <w:r w:rsidRPr="00DF398E">
        <w:rPr>
          <w:b/>
          <w:bCs/>
          <w:rtl/>
        </w:rPr>
        <w:t>מדינת ישראל נ' פלוני</w:t>
      </w:r>
      <w:r w:rsidRPr="00DF398E">
        <w:rPr>
          <w:rtl/>
        </w:rPr>
        <w:t xml:space="preserve">, </w:t>
      </w:r>
      <w:r w:rsidRPr="00DF398E">
        <w:rPr>
          <w:b/>
          <w:bCs/>
          <w:rtl/>
        </w:rPr>
        <w:t xml:space="preserve">פסקה 15 (14.9.22); ראו גם </w:t>
      </w:r>
      <w:hyperlink r:id="rId21" w:history="1">
        <w:r w:rsidR="000A04AF" w:rsidRPr="000A04AF">
          <w:rPr>
            <w:b/>
            <w:bCs/>
            <w:color w:val="0000FF"/>
            <w:u w:val="single"/>
            <w:rtl/>
          </w:rPr>
          <w:t>ע"פ 4103/22</w:t>
        </w:r>
      </w:hyperlink>
      <w:r w:rsidRPr="00DF398E">
        <w:rPr>
          <w:b/>
          <w:bCs/>
          <w:rtl/>
        </w:rPr>
        <w:t xml:space="preserve"> מדינת ישראל נ' מוחמד אמון, פסקה 9 (6.11.22)."</w:t>
      </w:r>
    </w:p>
    <w:p w14:paraId="78EB2B9F" w14:textId="77777777" w:rsidR="00044E12" w:rsidRPr="00DF398E" w:rsidRDefault="00044E12" w:rsidP="00044E12">
      <w:pPr>
        <w:spacing w:before="240" w:after="240" w:line="360" w:lineRule="auto"/>
        <w:jc w:val="both"/>
        <w:rPr>
          <w:rFonts w:ascii="David" w:hAnsi="David"/>
          <w:b/>
          <w:bCs/>
          <w:rtl/>
        </w:rPr>
      </w:pPr>
      <w:r w:rsidRPr="00DF398E">
        <w:rPr>
          <w:rFonts w:ascii="David" w:hAnsi="David"/>
          <w:b/>
          <w:bCs/>
          <w:rtl/>
        </w:rPr>
        <w:t xml:space="preserve">מדיניות הענישה הנוהגת: </w:t>
      </w:r>
    </w:p>
    <w:p w14:paraId="70F57223" w14:textId="77777777" w:rsidR="00044E12" w:rsidRPr="00DF398E" w:rsidRDefault="00044E12" w:rsidP="00044E12">
      <w:pPr>
        <w:spacing w:before="240" w:after="240" w:line="360" w:lineRule="auto"/>
        <w:jc w:val="both"/>
        <w:rPr>
          <w:rFonts w:ascii="David" w:hAnsi="David"/>
          <w:b/>
          <w:bCs/>
          <w:rtl/>
        </w:rPr>
      </w:pPr>
      <w:r w:rsidRPr="00DF398E">
        <w:rPr>
          <w:rFonts w:ascii="David" w:hAnsi="David"/>
          <w:rtl/>
        </w:rPr>
        <w:t>חלק מהפסיקה אליה הפנו אותי הצדדים עניינה בביצוע עבירה מושלמת של החזקת נשק שלא כדין, ועל כן, כאשר במקרה שבפניי מדובר בסיוע להחזקת נשק, ניתן ללמוד מהפסיקה לעניינו רק באופן חלקי. יצוין כי חלק מהפסיקה אליה הפנה ב"כ הנאשם עניינה בחריגה ממתחם העונש ההולם משיקולי שיקום, בשונה מענייננו.</w:t>
      </w:r>
    </w:p>
    <w:p w14:paraId="1328A0D4"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2" w:history="1">
        <w:r w:rsidR="000A04AF" w:rsidRPr="000A04AF">
          <w:rPr>
            <w:color w:val="0000FF"/>
            <w:u w:val="single"/>
            <w:rtl/>
          </w:rPr>
          <w:t>רע"פ 2919/22</w:t>
        </w:r>
      </w:hyperlink>
      <w:r w:rsidRPr="00DF398E">
        <w:rPr>
          <w:rtl/>
        </w:rPr>
        <w:t xml:space="preserve"> </w:t>
      </w:r>
      <w:r w:rsidRPr="00DF398E">
        <w:rPr>
          <w:b/>
          <w:bCs/>
          <w:rtl/>
        </w:rPr>
        <w:t>עלי שעבאן נ' מדינת ישראל</w:t>
      </w:r>
      <w:r w:rsidRPr="00DF398E">
        <w:rPr>
          <w:rtl/>
        </w:rPr>
        <w:t xml:space="preserve"> (1.8.22), אליו הפנה ב"כ הנאשם, המבקש שהה מחוץ לפתח ביתו כשברשותו אקדח מסוג יריחו, טעון במחסנית בה 16 כדורים. משהמבקש הבחין בכוח המשטרה קרב אליו, התכופף ורץ אל חלקו האחורי של הבית, שם השליך את האקדח מעבר לחומה. בגין האמור, יוחסו למבקש עבירת החזקת נשק ותחמושת, ועבירת שיבוש מהלכי משפט. הנאשם זוכה בבית המשפט השלום. הוגש ערעור, אשר התקבל והתיק הוחזר לבית משפט השלום לצורך גזירת עונשו של הנאשם. </w:t>
      </w:r>
      <w:r w:rsidRPr="00DF398E">
        <w:rPr>
          <w:b/>
          <w:bCs/>
          <w:rtl/>
        </w:rPr>
        <w:t>בית משפט השלום קבע כי מתחם העונש ההולם נע בין 12 עד 36 חודשי מאסר בפועל, לצד עונשים נלווים</w:t>
      </w:r>
      <w:r w:rsidRPr="00DF398E">
        <w:rPr>
          <w:rtl/>
        </w:rPr>
        <w:t xml:space="preserve">. על המבקש, בעל עבר פלילי עשיר, נגזרו 20 חודשי מאסר בפועל וענישה נלווית. המבקש ערער על גזר דינו לבית המשפט המחוזי, וערעורו התקבל בחלקו. בית המשפט המחוזי הקל בעונש שהוטל על המבקש, כך שחלף 20 חודשי מאסר בפועל שהושתו עליו, נגזר עליו לרצות 15 חודשים בפועל. יתר רכיבי גזר הדין נותרו על כנם. בקשת רשות ערעור שהוגשה לבית המשפט העליון על עצם ההרשעה נדחתה. </w:t>
      </w:r>
    </w:p>
    <w:p w14:paraId="18AE9F16"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3" w:history="1">
        <w:r w:rsidR="000A04AF" w:rsidRPr="000A04AF">
          <w:rPr>
            <w:color w:val="0000FF"/>
            <w:u w:val="single"/>
            <w:rtl/>
          </w:rPr>
          <w:t>רע"פ 5613/20</w:t>
        </w:r>
      </w:hyperlink>
      <w:r w:rsidRPr="00DF398E">
        <w:rPr>
          <w:rtl/>
        </w:rPr>
        <w:t xml:space="preserve"> </w:t>
      </w:r>
      <w:r w:rsidRPr="00DF398E">
        <w:rPr>
          <w:b/>
          <w:bCs/>
          <w:rtl/>
        </w:rPr>
        <w:t>אלהוזייל נ' מדינת ישראל</w:t>
      </w:r>
      <w:r w:rsidRPr="00DF398E">
        <w:rPr>
          <w:rtl/>
        </w:rPr>
        <w:t xml:space="preserve"> (25.08.2020), אליו הפנה ב"כ הנאשם, הנאשם הורשע על פי הודאתו בעבירות החזקת נשק ותחמושת, בכך שהחזיק במקום מגוריו אקדח מסוג </w:t>
      </w:r>
      <w:r w:rsidRPr="00DF398E">
        <w:t>FN</w:t>
      </w:r>
      <w:r w:rsidRPr="00DF398E">
        <w:rPr>
          <w:rtl/>
        </w:rPr>
        <w:t xml:space="preserve"> בקוטר 9 מ"מ ו-20 כדורים בקוטר זהה. </w:t>
      </w:r>
      <w:r w:rsidRPr="00DF398E">
        <w:rPr>
          <w:b/>
          <w:bCs/>
          <w:rtl/>
        </w:rPr>
        <w:t>בית המשפט קבע כי מתחם העונש ההולם נע בין 11 ל-30 חודשי מאסר בפועל.</w:t>
      </w:r>
      <w:r w:rsidRPr="00DF398E">
        <w:rPr>
          <w:rtl/>
        </w:rPr>
        <w:t xml:space="preserve"> בשל שלל נסיבות מקלות, נדון הנאשם ל-12 חודשי מאסר. הן הערעור והן בקשת רשות ערעור נדחו.</w:t>
      </w:r>
    </w:p>
    <w:p w14:paraId="7E19E010"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4" w:history="1">
        <w:r w:rsidR="000A04AF" w:rsidRPr="000A04AF">
          <w:rPr>
            <w:color w:val="0000FF"/>
            <w:u w:val="single"/>
            <w:rtl/>
          </w:rPr>
          <w:t>עפ"ג (מח' חיפה) 64033-11-22</w:t>
        </w:r>
      </w:hyperlink>
      <w:r w:rsidRPr="00DF398E">
        <w:rPr>
          <w:rtl/>
        </w:rPr>
        <w:t xml:space="preserve"> </w:t>
      </w:r>
      <w:r w:rsidRPr="00DF398E">
        <w:rPr>
          <w:b/>
          <w:bCs/>
          <w:rtl/>
        </w:rPr>
        <w:t>מ"י נ' מיכאלוב</w:t>
      </w:r>
      <w:r w:rsidRPr="00DF398E">
        <w:rPr>
          <w:rtl/>
        </w:rPr>
        <w:t xml:space="preserve"> (27.3.23), אליו הפנה ב"כ הנאשם, המשיב הורשע בביצוע</w:t>
      </w:r>
      <w:r>
        <w:rPr>
          <w:rtl/>
        </w:rPr>
        <w:t xml:space="preserve"> </w:t>
      </w:r>
      <w:r w:rsidRPr="00DF398E">
        <w:rPr>
          <w:rtl/>
        </w:rPr>
        <w:t>עבירה של</w:t>
      </w:r>
      <w:r>
        <w:rPr>
          <w:rtl/>
        </w:rPr>
        <w:t xml:space="preserve"> </w:t>
      </w:r>
      <w:r w:rsidRPr="00DF398E">
        <w:rPr>
          <w:rtl/>
        </w:rPr>
        <w:t xml:space="preserve">החזקת נשק שלא כדין </w:t>
      </w:r>
      <w:r w:rsidRPr="00DF398E">
        <w:rPr>
          <w:rtl/>
          <w:lang w:eastAsia="he-IL"/>
        </w:rPr>
        <w:t>ועבירה של החזקת סמים לצריכה עצמית</w:t>
      </w:r>
      <w:r w:rsidRPr="00DF398E">
        <w:rPr>
          <w:rtl/>
        </w:rPr>
        <w:t xml:space="preserve">. </w:t>
      </w:r>
      <w:r w:rsidRPr="00DF398E">
        <w:rPr>
          <w:rtl/>
          <w:lang w:eastAsia="he-IL"/>
        </w:rPr>
        <w:t xml:space="preserve">המשיב החזיק בביתו אקדח בקוטר 9 מ"מ ובו כדור אחד בקנה, שני כדורים נוספים במחסנית בתוך האקדח וכן החזיק המשיב שני כדורים נוספים המתאימים לשימוש באקדח. עוד החזיק המשיב בסם מסוכן מסוג קנאבוס במשקל של 47.62 גרם נטו לצריכה עצמית ללא היתר או רישיון. </w:t>
      </w:r>
      <w:r w:rsidRPr="00DF398E">
        <w:rPr>
          <w:b/>
          <w:bCs/>
          <w:rtl/>
          <w:lang w:eastAsia="he-IL"/>
        </w:rPr>
        <w:t>בית המשפט קבע כי בגין עבירת הנשק מתחם העונש ההולם נע מ-10 ועד 30 חודשי מאסר בפועל.</w:t>
      </w:r>
      <w:r w:rsidRPr="00DF398E">
        <w:rPr>
          <w:rtl/>
          <w:lang w:eastAsia="he-IL"/>
        </w:rPr>
        <w:t xml:space="preserve"> בשל שיקולי שיקום סטה בית המשפט לקולא מהמתחם שנקבע וגזר על הנאשם </w:t>
      </w:r>
      <w:r w:rsidRPr="00DF398E">
        <w:rPr>
          <w:rtl/>
        </w:rPr>
        <w:t>מאסר בפועל לתקופה של 9 חודשים לריצוי בעבודות שרות וענישה נלווית. המדינה הגישה ערעור על קולת העונש</w:t>
      </w:r>
      <w:r w:rsidRPr="00DF398E">
        <w:rPr>
          <w:rtl/>
          <w:lang w:eastAsia="he-IL"/>
        </w:rPr>
        <w:t>, אשר התקבל, ועל הנאשם הוטל עונש של 10 חודשי מאסר בפועל כאשר יתר רכיבי העונש למעט צו המבחן, נותרו על כנם.</w:t>
      </w:r>
      <w:r>
        <w:rPr>
          <w:rtl/>
          <w:lang w:eastAsia="he-IL"/>
        </w:rPr>
        <w:t xml:space="preserve"> </w:t>
      </w:r>
    </w:p>
    <w:p w14:paraId="41B5B42F"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5" w:history="1">
        <w:r w:rsidR="000A04AF" w:rsidRPr="000A04AF">
          <w:rPr>
            <w:color w:val="0000FF"/>
            <w:u w:val="single"/>
            <w:rtl/>
          </w:rPr>
          <w:t>עפ"ג 4673-08-19</w:t>
        </w:r>
      </w:hyperlink>
      <w:r w:rsidRPr="00DF398E">
        <w:rPr>
          <w:rtl/>
        </w:rPr>
        <w:t xml:space="preserve"> </w:t>
      </w:r>
      <w:r w:rsidRPr="00DF398E">
        <w:rPr>
          <w:b/>
          <w:bCs/>
          <w:rtl/>
        </w:rPr>
        <w:t>אבו מוסא נ' מדינת ישראל</w:t>
      </w:r>
      <w:r w:rsidRPr="00DF398E">
        <w:rPr>
          <w:rtl/>
        </w:rPr>
        <w:t xml:space="preserve"> (2.10.19) הנאשם הורשע </w:t>
      </w:r>
      <w:r>
        <w:rPr>
          <w:rFonts w:hint="cs"/>
          <w:rtl/>
        </w:rPr>
        <w:t>על סמך</w:t>
      </w:r>
      <w:r w:rsidRPr="00DF398E">
        <w:rPr>
          <w:rtl/>
        </w:rPr>
        <w:t xml:space="preserve"> הודאתו, בעבירה של החזקת נשק </w:t>
      </w:r>
      <w:r>
        <w:rPr>
          <w:rtl/>
        </w:rPr>
        <w:t>שלא כדין</w:t>
      </w:r>
      <w:r w:rsidRPr="00DF398E">
        <w:rPr>
          <w:rtl/>
        </w:rPr>
        <w:t xml:space="preserve">. הנאשם נתפס מחזיק נשק חם מסוג תת מקלע מאולתר, בחדרו, מוסלק מתחת למיטה. הנשק הגיע לידי הנאשם כעשרה ימים לפני המועד בו נתפס והחזיק בו בעבור אחר, שזהותו אינה ידועה למאשימה. בית משפט השלום קבע כי </w:t>
      </w:r>
      <w:r w:rsidRPr="00DF398E">
        <w:rPr>
          <w:b/>
          <w:bCs/>
          <w:rtl/>
        </w:rPr>
        <w:t>מתחם העונש ההולם בכל הנוגע לאחזקת נשק אוטומטי מסוג רובה סער או תת מקלע נע בין שנה וחצי ועד שלוש שנות מאסר בפועל</w:t>
      </w:r>
      <w:r w:rsidRPr="00DF398E">
        <w:rPr>
          <w:rtl/>
        </w:rPr>
        <w:t>. על הנאשם ללא עבר פלילי, הושת עונש של 18 חודשי מאסר בפועל וענישה נלווית. בית משפט המחוזי דחה את ערעור הנאשם לעניין העונש, תוך שאישר את מתחם העונש ההולם שקבע בית משפט קמא.</w:t>
      </w:r>
    </w:p>
    <w:p w14:paraId="72CE37FA"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6" w:history="1">
        <w:r w:rsidR="000A04AF" w:rsidRPr="000A04AF">
          <w:rPr>
            <w:color w:val="0000FF"/>
            <w:u w:val="single"/>
            <w:rtl/>
          </w:rPr>
          <w:t>ת"פ 52091-02-20</w:t>
        </w:r>
      </w:hyperlink>
      <w:r w:rsidRPr="00DF398E">
        <w:rPr>
          <w:rtl/>
        </w:rPr>
        <w:t xml:space="preserve"> </w:t>
      </w:r>
      <w:r w:rsidRPr="00DF398E">
        <w:rPr>
          <w:b/>
          <w:bCs/>
          <w:rtl/>
        </w:rPr>
        <w:t>מדינת ישראל נ' אל אעסם</w:t>
      </w:r>
      <w:r w:rsidRPr="00DF398E">
        <w:rPr>
          <w:rtl/>
        </w:rPr>
        <w:t xml:space="preserve"> (15.3.21) הנאשם הורשע בביצוע עביר</w:t>
      </w:r>
      <w:r>
        <w:rPr>
          <w:rFonts w:hint="cs"/>
          <w:rtl/>
        </w:rPr>
        <w:t>ה של החזק</w:t>
      </w:r>
      <w:r w:rsidRPr="00DF398E">
        <w:rPr>
          <w:rtl/>
        </w:rPr>
        <w:t xml:space="preserve">ת נשק. הנאשם קיבל לידיו נשק תת מקלע מאולתר 9 מ"מ ובנוסף, כ-20 קליעי 9 מ"מ. הנאשם החזיק את הנשק והתחמושת בארון במטבח ביתו. </w:t>
      </w:r>
      <w:r w:rsidRPr="00DF398E">
        <w:rPr>
          <w:b/>
          <w:bCs/>
          <w:rtl/>
        </w:rPr>
        <w:t>נקבע כי מתחם העונש ההולם נע בין 18 ל- 36 חדשים</w:t>
      </w:r>
      <w:r w:rsidRPr="00DF398E">
        <w:t>.</w:t>
      </w:r>
      <w:r w:rsidRPr="00DF398E">
        <w:rPr>
          <w:rtl/>
        </w:rPr>
        <w:t xml:space="preserve"> על הנאשם הוטלו 18 חודשי מאסר בפועל וענישה נלווית.</w:t>
      </w:r>
      <w:r w:rsidRPr="00DF398E">
        <w:rPr>
          <w:color w:val="000000"/>
          <w:sz w:val="27"/>
          <w:szCs w:val="27"/>
          <w:rtl/>
        </w:rPr>
        <w:t xml:space="preserve"> </w:t>
      </w:r>
      <w:r w:rsidRPr="00DF398E">
        <w:rPr>
          <w:rtl/>
        </w:rPr>
        <w:t>(הוגש ערעור שהתקבל חלקי</w:t>
      </w:r>
      <w:r>
        <w:rPr>
          <w:rtl/>
        </w:rPr>
        <w:t xml:space="preserve">ת, אך רכיב המאסר בפועל נותר על </w:t>
      </w:r>
      <w:r>
        <w:rPr>
          <w:rFonts w:hint="cs"/>
          <w:rtl/>
        </w:rPr>
        <w:t>כ</w:t>
      </w:r>
      <w:r w:rsidRPr="00DF398E">
        <w:rPr>
          <w:rtl/>
        </w:rPr>
        <w:t xml:space="preserve">נו </w:t>
      </w:r>
      <w:hyperlink r:id="rId27" w:history="1">
        <w:r w:rsidR="000A04AF" w:rsidRPr="000A04AF">
          <w:rPr>
            <w:color w:val="0000FF"/>
            <w:u w:val="single"/>
            <w:rtl/>
          </w:rPr>
          <w:t>עפ"ג 54406-04-21</w:t>
        </w:r>
      </w:hyperlink>
      <w:r w:rsidRPr="00DF398E">
        <w:rPr>
          <w:rtl/>
        </w:rPr>
        <w:t>).</w:t>
      </w:r>
    </w:p>
    <w:p w14:paraId="6C4667E8" w14:textId="77777777" w:rsidR="00044E12" w:rsidRPr="00DF398E" w:rsidRDefault="00044E12" w:rsidP="00044E12">
      <w:pPr>
        <w:pStyle w:val="aa"/>
        <w:numPr>
          <w:ilvl w:val="0"/>
          <w:numId w:val="1"/>
        </w:numPr>
        <w:spacing w:before="240" w:after="240" w:line="360" w:lineRule="auto"/>
        <w:jc w:val="both"/>
      </w:pPr>
      <w:r w:rsidRPr="00DF398E">
        <w:rPr>
          <w:rtl/>
        </w:rPr>
        <w:t xml:space="preserve">בעפ"ג 7585-09-23 </w:t>
      </w:r>
      <w:r w:rsidRPr="00DF398E">
        <w:rPr>
          <w:b/>
          <w:bCs/>
          <w:rtl/>
        </w:rPr>
        <w:t>בריק נ' מדינת ישראל</w:t>
      </w:r>
      <w:r w:rsidRPr="00DF398E">
        <w:rPr>
          <w:rtl/>
        </w:rPr>
        <w:t xml:space="preserve"> ( 31.10.23) המערער הורשע בבית משפט השלום בביצוע עבירה של סיוע להחזקת אקדח ו- 400 כדורי תחמושת. כמו כן ביקש המערער לצרף תיק נוסף בו הורשע בביצוע עבירה של תקיפת עובד ציבור ואיומים. בית המשפט השלום קבע </w:t>
      </w:r>
      <w:r w:rsidRPr="001531DD">
        <w:rPr>
          <w:b/>
          <w:bCs/>
          <w:rtl/>
        </w:rPr>
        <w:t>כי מתחם העונש ההולם בגין ביצוע עבירה של סיוע להחזקת נשק נע בין 8 ל- 24 חודשי מאסר בפועל</w:t>
      </w:r>
      <w:r w:rsidRPr="00DF398E">
        <w:rPr>
          <w:rtl/>
        </w:rPr>
        <w:t xml:space="preserve"> ובגין תיק המצורף בין חודשיים ל- 12 חודשי מאסר בפועל והשית על הנאשם עונש כולל של 18 חודשי מאסר בפועל. בית המשפט המחוזי קיבל את ערעורו של המערער על חומר</w:t>
      </w:r>
      <w:r>
        <w:rPr>
          <w:rFonts w:hint="cs"/>
          <w:rtl/>
        </w:rPr>
        <w:t>ת</w:t>
      </w:r>
      <w:r w:rsidRPr="00DF398E">
        <w:rPr>
          <w:rtl/>
        </w:rPr>
        <w:t xml:space="preserve"> העונש והעמיד את עונשו על 15 חודשי מאסר בפועל. </w:t>
      </w:r>
    </w:p>
    <w:p w14:paraId="640D134F"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28" w:history="1">
        <w:r w:rsidR="000A04AF" w:rsidRPr="000A04AF">
          <w:rPr>
            <w:color w:val="0000FF"/>
            <w:u w:val="single"/>
            <w:rtl/>
          </w:rPr>
          <w:t>ע"פ 4332/21</w:t>
        </w:r>
      </w:hyperlink>
      <w:r w:rsidRPr="00DF398E">
        <w:rPr>
          <w:rtl/>
        </w:rPr>
        <w:t xml:space="preserve"> </w:t>
      </w:r>
      <w:r w:rsidRPr="00DF398E">
        <w:rPr>
          <w:b/>
          <w:bCs/>
          <w:rtl/>
        </w:rPr>
        <w:t>עאסלה נ' מדינת ישראל</w:t>
      </w:r>
      <w:r w:rsidRPr="00DF398E">
        <w:rPr>
          <w:rtl/>
        </w:rPr>
        <w:t xml:space="preserve"> (20.2.22), אליו הפנה ב"כ הנאשם, המערער הורשע, לאחר הודאתו, בעבירה של החזקת נשק. המערער החזיק תת מקלע מאולתר מסוג קרלו ומחסנית, בלא רשות על פי דין להחזקתם, לאחר שעטף אותם בניילון נצמד ובמגבת, הכניסם לתוך תיק והסליק אותם מתחת לסלעים. המערער החזיק את הנשק והמחסנית במשך 3 חודשים בשדה הממוקם במרחק של מס' קילומטרים מביתו. </w:t>
      </w:r>
      <w:r w:rsidRPr="00DF398E">
        <w:rPr>
          <w:b/>
          <w:bCs/>
          <w:rtl/>
        </w:rPr>
        <w:t>בית המשפט המחוזי קבע כי מתחם העונש ההולם נע בין 22 ובין 48 חודשי מאסר בפועל</w:t>
      </w:r>
      <w:r w:rsidRPr="00DF398E">
        <w:rPr>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64AAAA6B" w14:textId="77777777" w:rsidR="00044E12" w:rsidRPr="00CB3469" w:rsidRDefault="00044E12" w:rsidP="00044E12">
      <w:pPr>
        <w:pStyle w:val="aa"/>
        <w:numPr>
          <w:ilvl w:val="0"/>
          <w:numId w:val="1"/>
        </w:numPr>
        <w:spacing w:before="240" w:after="240" w:line="360" w:lineRule="auto"/>
        <w:jc w:val="both"/>
      </w:pPr>
      <w:r w:rsidRPr="00CB3469">
        <w:rPr>
          <w:rtl/>
        </w:rPr>
        <w:t>ב</w:t>
      </w:r>
      <w:hyperlink r:id="rId29" w:history="1">
        <w:r w:rsidR="000A04AF" w:rsidRPr="000A04AF">
          <w:rPr>
            <w:color w:val="0000FF"/>
            <w:u w:val="single"/>
            <w:rtl/>
          </w:rPr>
          <w:t>ת"פ 3106-09-24</w:t>
        </w:r>
      </w:hyperlink>
      <w:r w:rsidRPr="00CB3469">
        <w:rPr>
          <w:rtl/>
        </w:rPr>
        <w:t xml:space="preserve"> </w:t>
      </w:r>
      <w:r w:rsidRPr="00CB3469">
        <w:rPr>
          <w:b/>
          <w:bCs/>
          <w:rtl/>
        </w:rPr>
        <w:t>מדינת ישראל נ' עמאש</w:t>
      </w:r>
      <w:r w:rsidRPr="00CB3469">
        <w:rPr>
          <w:rtl/>
        </w:rPr>
        <w:t xml:space="preserve"> (23.12.24), הנאשם הורשע בעבירה של</w:t>
      </w:r>
      <w:r w:rsidR="000A04AF">
        <w:rPr>
          <w:rtl/>
        </w:rPr>
        <w:t xml:space="preserve"> </w:t>
      </w:r>
      <w:r w:rsidRPr="00CB3469">
        <w:rPr>
          <w:rtl/>
        </w:rPr>
        <w:t>סיוע להחזקת נשק ובעבירה של</w:t>
      </w:r>
      <w:r w:rsidR="000A04AF">
        <w:rPr>
          <w:rtl/>
        </w:rPr>
        <w:t xml:space="preserve"> </w:t>
      </w:r>
      <w:r w:rsidRPr="00CB3469">
        <w:rPr>
          <w:rtl/>
        </w:rPr>
        <w:t>סיוע להחזקת אביזר או תחמושת שהם אינם חלק מהנשק. בביתו של הנאשם נערך חיפוש במהלכו התגלה כי הנאשם סייע לאדם אחר להחזיק על מדף ברזל שנמצא בכניסה לחדר השינה של הנאשם,</w:t>
      </w:r>
      <w:r w:rsidR="000A04AF">
        <w:rPr>
          <w:rtl/>
        </w:rPr>
        <w:t xml:space="preserve"> </w:t>
      </w:r>
      <w:r w:rsidRPr="00CB3469">
        <w:rPr>
          <w:rtl/>
        </w:rPr>
        <w:t>באקדח חצי אוטומטי מסוג</w:t>
      </w:r>
      <w:r w:rsidR="000A04AF">
        <w:rPr>
          <w:rtl/>
        </w:rPr>
        <w:t xml:space="preserve"> </w:t>
      </w:r>
      <w:r w:rsidRPr="00CB3469">
        <w:t>D.G.G</w:t>
      </w:r>
      <w:r w:rsidR="000A04AF">
        <w:rPr>
          <w:rtl/>
        </w:rPr>
        <w:t xml:space="preserve"> </w:t>
      </w:r>
      <w:r w:rsidRPr="00CB3469">
        <w:rPr>
          <w:rtl/>
        </w:rPr>
        <w:t xml:space="preserve">מודל 19 שבו מחסנית טעונה ב- 10 כדורי תחמושת בקוטר 9 מ"מ. </w:t>
      </w:r>
      <w:r w:rsidRPr="00CB3469">
        <w:rPr>
          <w:b/>
          <w:bCs/>
          <w:rtl/>
        </w:rPr>
        <w:t>נקבע כי מתחם העונש ההולם נע בין 6 חודשי מאסר שניתן לרצות בעבודות שירות ועד 15 חודשי מאסר בפועל, בצירוף ענישה נלווית</w:t>
      </w:r>
      <w:r w:rsidRPr="00CB3469">
        <w:t>.</w:t>
      </w:r>
      <w:r w:rsidRPr="00CB3469">
        <w:rPr>
          <w:rtl/>
        </w:rPr>
        <w:t xml:space="preserve"> על הנאשם נגזרו 7 חודשי מאסר בפועל וענישה נלווית. </w:t>
      </w:r>
    </w:p>
    <w:p w14:paraId="0258BA38"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30" w:history="1">
        <w:r w:rsidR="000A04AF" w:rsidRPr="000A04AF">
          <w:rPr>
            <w:color w:val="0000FF"/>
            <w:u w:val="single"/>
            <w:rtl/>
          </w:rPr>
          <w:t>ת"פ 1363-04-22</w:t>
        </w:r>
      </w:hyperlink>
      <w:r w:rsidRPr="00DF398E">
        <w:rPr>
          <w:rtl/>
        </w:rPr>
        <w:t xml:space="preserve"> </w:t>
      </w:r>
      <w:r w:rsidRPr="00DF398E">
        <w:rPr>
          <w:b/>
          <w:bCs/>
          <w:rtl/>
        </w:rPr>
        <w:t>מדינת ישראל נ' גרבאן</w:t>
      </w:r>
      <w:r w:rsidRPr="00DF398E">
        <w:rPr>
          <w:rtl/>
        </w:rPr>
        <w:t xml:space="preserve"> (23.2.23), הנאשם הורשע בסיוע לאחר להחזקת תת </w:t>
      </w:r>
      <w:r>
        <w:rPr>
          <w:rFonts w:hint="cs"/>
          <w:rtl/>
        </w:rPr>
        <w:t xml:space="preserve">מקלע </w:t>
      </w:r>
      <w:r w:rsidRPr="00DF398E">
        <w:rPr>
          <w:rtl/>
        </w:rPr>
        <w:t xml:space="preserve">מאולתר מסוג קרלו ומחסנית ריקה תואמת. </w:t>
      </w:r>
      <w:r w:rsidRPr="00DF398E">
        <w:rPr>
          <w:b/>
          <w:bCs/>
          <w:rtl/>
        </w:rPr>
        <w:t>בית המשפט קבע כי מתחם עונש הולם בגין ביצוע עבירה מושלמת של החזקת נשק נע בין 12 ל- 30 חודשי מאסר בפועל</w:t>
      </w:r>
      <w:r w:rsidRPr="00DF398E">
        <w:rPr>
          <w:rtl/>
        </w:rPr>
        <w:t xml:space="preserve">, </w:t>
      </w:r>
      <w:r w:rsidRPr="00DF398E">
        <w:rPr>
          <w:b/>
          <w:bCs/>
          <w:rtl/>
        </w:rPr>
        <w:t>אך בשים לב לעובדה כי הנאשם הורשע בסיוע להחזקת נשק המתחם הוא מחצית העונש.</w:t>
      </w:r>
      <w:r w:rsidRPr="00DF398E">
        <w:rPr>
          <w:rtl/>
        </w:rPr>
        <w:t xml:space="preserve"> על הנאשם, צעיר ללא עבר פלילי הושת עונש של 8 חודשי מאסר בפועל לצד ענישה נלוות. </w:t>
      </w:r>
    </w:p>
    <w:p w14:paraId="20ECA6AD" w14:textId="77777777" w:rsidR="00044E12" w:rsidRPr="00DF398E" w:rsidRDefault="00044E12" w:rsidP="00044E12">
      <w:pPr>
        <w:pStyle w:val="aa"/>
        <w:numPr>
          <w:ilvl w:val="0"/>
          <w:numId w:val="1"/>
        </w:numPr>
        <w:spacing w:before="240" w:after="240" w:line="360" w:lineRule="auto"/>
        <w:jc w:val="both"/>
      </w:pPr>
      <w:r w:rsidRPr="00DF398E">
        <w:rPr>
          <w:rtl/>
        </w:rPr>
        <w:t xml:space="preserve">בעפ"ג 14070-01-23 </w:t>
      </w:r>
      <w:r w:rsidRPr="00DF398E">
        <w:rPr>
          <w:b/>
          <w:bCs/>
          <w:rtl/>
        </w:rPr>
        <w:t>אלהוזייל</w:t>
      </w:r>
      <w:r w:rsidRPr="00DF398E">
        <w:rPr>
          <w:rtl/>
        </w:rPr>
        <w:t xml:space="preserve"> נ' </w:t>
      </w:r>
      <w:r w:rsidRPr="00DF398E">
        <w:rPr>
          <w:b/>
          <w:bCs/>
          <w:rtl/>
        </w:rPr>
        <w:t>מדינת ישראל</w:t>
      </w:r>
      <w:r w:rsidRPr="00DF398E">
        <w:rPr>
          <w:rtl/>
        </w:rPr>
        <w:t xml:space="preserve"> (22.3.23), אליו הפנתה המאשימה, המערער הורשע בהחזקת נשק ותחמושת ובהתנגדות למעצר. המערער החזיק אקדח חצי אוטומטי ובמחסנית עם 6 כדורים וברח מפני השוטרים. באותו עניין, </w:t>
      </w:r>
      <w:r w:rsidRPr="008E092A">
        <w:rPr>
          <w:b/>
          <w:bCs/>
          <w:rtl/>
        </w:rPr>
        <w:t>נקבע מתחם ענישה הנע בין 20 לבין 40 חודשי מאס</w:t>
      </w:r>
      <w:r w:rsidRPr="00DF398E">
        <w:rPr>
          <w:rtl/>
        </w:rPr>
        <w:t xml:space="preserve">ר. על המערער, שהיה נעדר עבר פלילי, נגזרו 24 חודשי מאסר לריצוי בפועל. ערעור שהגיש המערער על חומרת העונש נדחה. </w:t>
      </w:r>
    </w:p>
    <w:p w14:paraId="31C2F465" w14:textId="77777777" w:rsidR="00044E12" w:rsidRPr="00DF398E" w:rsidRDefault="00044E12" w:rsidP="00044E12">
      <w:pPr>
        <w:pStyle w:val="aa"/>
        <w:numPr>
          <w:ilvl w:val="0"/>
          <w:numId w:val="1"/>
        </w:numPr>
        <w:spacing w:before="240" w:after="240" w:line="360" w:lineRule="auto"/>
        <w:jc w:val="both"/>
      </w:pPr>
      <w:r w:rsidRPr="00DF398E">
        <w:rPr>
          <w:rtl/>
        </w:rPr>
        <w:t>ב</w:t>
      </w:r>
      <w:hyperlink r:id="rId31" w:history="1">
        <w:r w:rsidR="000A04AF" w:rsidRPr="000A04AF">
          <w:rPr>
            <w:color w:val="0000FF"/>
            <w:u w:val="single"/>
            <w:rtl/>
          </w:rPr>
          <w:t>ע"פ 2141/21</w:t>
        </w:r>
      </w:hyperlink>
      <w:r w:rsidRPr="00DF398E">
        <w:rPr>
          <w:rtl/>
        </w:rPr>
        <w:t xml:space="preserve"> </w:t>
      </w:r>
      <w:r w:rsidRPr="00DF398E">
        <w:rPr>
          <w:b/>
          <w:bCs/>
          <w:rtl/>
        </w:rPr>
        <w:t>איתן חניני נ' מדינת ישראל</w:t>
      </w:r>
      <w:r w:rsidRPr="00DF398E">
        <w:rPr>
          <w:rtl/>
        </w:rPr>
        <w:t xml:space="preserve"> (3.5.21), אליו הפנתה המאשימה, המערער הורשע, על פי הודאתו, בהחזקת נשק ותחמושת. המערער הצטייד באקדח אוויר שבוצעו בו שינויים שמאפשרים ירי של תחמושת בקליבר 7.65 מ"מ ובכדורים תואמים. המערער נתפס בחצר קרובה לביתו, כשהוא נושא את האקדח על גופו ובתוכו ארבעה כדורים. בית המשפט המחוזי קבע כי </w:t>
      </w:r>
      <w:r w:rsidRPr="00DF398E">
        <w:rPr>
          <w:b/>
          <w:bCs/>
          <w:rtl/>
        </w:rPr>
        <w:t>מתחם העונש ההולם נע בין 12 ל-30 חודשי מאסר בפועל,</w:t>
      </w:r>
      <w:r w:rsidRPr="00DF398E">
        <w:rPr>
          <w:rtl/>
        </w:rPr>
        <w:t xml:space="preserve"> וגזר על המערער 20 חודשי מאסר בפועל. ערעור שהגיש המערער לבית המשפט העליון נדחה. </w:t>
      </w:r>
    </w:p>
    <w:p w14:paraId="1F26A45B" w14:textId="77777777" w:rsidR="00044E12" w:rsidRPr="00DF398E" w:rsidRDefault="00044E12" w:rsidP="00044E12">
      <w:pPr>
        <w:pStyle w:val="aa"/>
        <w:numPr>
          <w:ilvl w:val="0"/>
          <w:numId w:val="1"/>
        </w:numPr>
        <w:spacing w:line="360" w:lineRule="auto"/>
        <w:jc w:val="both"/>
      </w:pPr>
      <w:r w:rsidRPr="00DF398E">
        <w:rPr>
          <w:rtl/>
        </w:rPr>
        <w:t>ב</w:t>
      </w:r>
      <w:hyperlink r:id="rId32" w:history="1">
        <w:r w:rsidR="000A04AF" w:rsidRPr="000A04AF">
          <w:rPr>
            <w:color w:val="0000FF"/>
            <w:u w:val="single"/>
            <w:rtl/>
          </w:rPr>
          <w:t>ע"פ 761/07</w:t>
        </w:r>
      </w:hyperlink>
      <w:r w:rsidRPr="00DF398E">
        <w:rPr>
          <w:rtl/>
        </w:rPr>
        <w:t xml:space="preserve"> </w:t>
      </w:r>
      <w:r w:rsidRPr="00DF398E">
        <w:rPr>
          <w:b/>
          <w:bCs/>
          <w:rtl/>
        </w:rPr>
        <w:t>מדינת ישראל</w:t>
      </w:r>
      <w:r w:rsidRPr="00DF398E">
        <w:rPr>
          <w:rtl/>
        </w:rPr>
        <w:t xml:space="preserve"> נ' </w:t>
      </w:r>
      <w:r w:rsidRPr="00DF398E">
        <w:rPr>
          <w:b/>
          <w:bCs/>
          <w:rtl/>
        </w:rPr>
        <w:t xml:space="preserve">מיכאל אדרי </w:t>
      </w:r>
      <w:r w:rsidRPr="00DF398E">
        <w:rPr>
          <w:rtl/>
        </w:rPr>
        <w:t>(22.02.07), אליו הפנתה המאשימה, המערער הורשע בהחזקת נשק שלא כדין ובהפרעה לשוטר במילוי תפקידו. המערער נהג ברכב ונתפס מחזיק באקדח, מחסנית ותחמושת המוסתרים בגרב בתחתוניו. כשנעצר המערער הזדהה כאחר. בית המשפט המחוזי גזר על המערער 12 חודשי מאסר בפועל. המדינה ערערה על קולת העונש. צוין כי המערער בעל עבר פלילי בעבירות לא פשוטות. העונש הוחמר ל 24 חודשי מאסר.</w:t>
      </w:r>
    </w:p>
    <w:p w14:paraId="287BEC7C" w14:textId="77777777" w:rsidR="00044E12" w:rsidRPr="00DF398E" w:rsidRDefault="00044E12" w:rsidP="00044E12">
      <w:pPr>
        <w:pStyle w:val="aa"/>
        <w:numPr>
          <w:ilvl w:val="0"/>
          <w:numId w:val="1"/>
        </w:numPr>
        <w:spacing w:line="360" w:lineRule="auto"/>
        <w:jc w:val="both"/>
        <w:rPr>
          <w:rtl/>
        </w:rPr>
      </w:pPr>
      <w:r w:rsidRPr="00DF398E">
        <w:rPr>
          <w:rtl/>
        </w:rPr>
        <w:t>ב</w:t>
      </w:r>
      <w:hyperlink r:id="rId33" w:history="1">
        <w:r w:rsidR="000A04AF" w:rsidRPr="000A04AF">
          <w:rPr>
            <w:color w:val="0000FF"/>
            <w:u w:val="single"/>
            <w:rtl/>
          </w:rPr>
          <w:t>ת"פ 11843-03-20</w:t>
        </w:r>
      </w:hyperlink>
      <w:r w:rsidRPr="00DF398E">
        <w:rPr>
          <w:rtl/>
        </w:rPr>
        <w:t xml:space="preserve"> </w:t>
      </w:r>
      <w:r w:rsidRPr="00DF398E">
        <w:rPr>
          <w:b/>
          <w:bCs/>
          <w:rtl/>
        </w:rPr>
        <w:t>מדינת ישראל נ' סולומון בייך</w:t>
      </w:r>
      <w:r w:rsidRPr="00DF398E">
        <w:rPr>
          <w:rtl/>
        </w:rPr>
        <w:t xml:space="preserve"> (18.02.</w:t>
      </w:r>
      <w:r>
        <w:rPr>
          <w:rFonts w:hint="cs"/>
          <w:rtl/>
        </w:rPr>
        <w:t>21</w:t>
      </w:r>
      <w:r w:rsidRPr="00DF398E">
        <w:rPr>
          <w:rtl/>
        </w:rPr>
        <w:t>), אליו הפנתה המאשימה,</w:t>
      </w:r>
      <w:r>
        <w:rPr>
          <w:rtl/>
        </w:rPr>
        <w:t xml:space="preserve"> </w:t>
      </w:r>
      <w:r w:rsidRPr="00DF398E">
        <w:rPr>
          <w:rtl/>
        </w:rPr>
        <w:t xml:space="preserve">הנאשם הורשע בעבירות של סיוע להחזקת 2 אקדחים, 2 מחסניות ו-22 כדורים וכן עבירה של הפרעה לשוטר. נקבע מתחם עונש </w:t>
      </w:r>
      <w:r w:rsidRPr="008E092A">
        <w:rPr>
          <w:b/>
          <w:bCs/>
          <w:rtl/>
        </w:rPr>
        <w:t>הולם הנע בין 8 ל- 24 חודשי מאסר</w:t>
      </w:r>
      <w:r w:rsidRPr="00DF398E">
        <w:rPr>
          <w:rtl/>
        </w:rPr>
        <w:t xml:space="preserve">. על הנאשם נגזרו 9 חודשי מאסר בפועל וענישה נלווית. </w:t>
      </w:r>
    </w:p>
    <w:p w14:paraId="352C1814"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לאחר ששקלתי את מכלול השיקולים המעוגנים </w:t>
      </w:r>
      <w:hyperlink r:id="rId34" w:history="1">
        <w:r w:rsidR="00D54D6C" w:rsidRPr="00D54D6C">
          <w:rPr>
            <w:rStyle w:val="Hyperlink"/>
            <w:rFonts w:ascii="David" w:hAnsi="David"/>
            <w:color w:val="0000FF"/>
            <w:rtl/>
          </w:rPr>
          <w:t>בסעיף 40ג(א)</w:t>
        </w:r>
      </w:hyperlink>
      <w:r w:rsidRPr="00DF398E">
        <w:rPr>
          <w:rFonts w:ascii="David" w:hAnsi="David"/>
          <w:rtl/>
        </w:rPr>
        <w:t xml:space="preserve"> ל</w:t>
      </w:r>
      <w:hyperlink r:id="rId35" w:history="1">
        <w:r w:rsidR="000A04AF" w:rsidRPr="000A04AF">
          <w:rPr>
            <w:rFonts w:ascii="David" w:hAnsi="David"/>
            <w:color w:val="0000FF"/>
            <w:u w:val="single"/>
            <w:rtl/>
          </w:rPr>
          <w:t>חוק העונשין</w:t>
        </w:r>
      </w:hyperlink>
      <w:r w:rsidRPr="00DF398E">
        <w:rPr>
          <w:rFonts w:ascii="David" w:hAnsi="David"/>
          <w:rtl/>
        </w:rPr>
        <w:t xml:space="preserve">, אני קובעת כי </w:t>
      </w:r>
      <w:r w:rsidRPr="00DF398E">
        <w:rPr>
          <w:rFonts w:ascii="David" w:hAnsi="David"/>
          <w:b/>
          <w:bCs/>
          <w:rtl/>
        </w:rPr>
        <w:t>מתחם העונש ההולם נע בין 9 ל- 20 חודשי מאסר בפועל, בצירוף ענישה נלווית</w:t>
      </w:r>
      <w:r w:rsidRPr="00DF398E">
        <w:rPr>
          <w:rFonts w:ascii="David" w:hAnsi="David"/>
          <w:rtl/>
        </w:rPr>
        <w:t xml:space="preserve">. </w:t>
      </w:r>
    </w:p>
    <w:p w14:paraId="77A49898" w14:textId="77777777" w:rsidR="00044E12" w:rsidRPr="00DF398E" w:rsidRDefault="00044E12" w:rsidP="00044E12">
      <w:pPr>
        <w:spacing w:before="240" w:after="240" w:line="360" w:lineRule="auto"/>
        <w:jc w:val="both"/>
        <w:rPr>
          <w:rFonts w:ascii="David" w:hAnsi="David"/>
          <w:b/>
          <w:bCs/>
        </w:rPr>
      </w:pPr>
      <w:r w:rsidRPr="00DF398E">
        <w:rPr>
          <w:rFonts w:ascii="David" w:hAnsi="David"/>
          <w:b/>
          <w:bCs/>
          <w:rtl/>
        </w:rPr>
        <w:t>חריגה ממתחם העונש ההולם:</w:t>
      </w:r>
    </w:p>
    <w:p w14:paraId="007EFD8D" w14:textId="77777777" w:rsidR="00044E12" w:rsidRPr="00DF398E" w:rsidRDefault="00044E12" w:rsidP="00044E12">
      <w:pPr>
        <w:spacing w:before="240" w:after="240" w:line="360" w:lineRule="auto"/>
        <w:jc w:val="both"/>
        <w:rPr>
          <w:rFonts w:ascii="David" w:hAnsi="David"/>
          <w:b/>
          <w:bCs/>
          <w:sz w:val="26"/>
          <w:szCs w:val="26"/>
          <w:rtl/>
        </w:rPr>
      </w:pPr>
      <w:r w:rsidRPr="00DF398E">
        <w:rPr>
          <w:rFonts w:ascii="David" w:hAnsi="David"/>
          <w:rtl/>
        </w:rPr>
        <w:t>בעניינו של הנאשם לא מצאתי נסיבות המצדיקות סטייה ממתחם העונש ההולם לא לחומרא ולא לקולא</w:t>
      </w:r>
      <w:r w:rsidRPr="00DF398E">
        <w:rPr>
          <w:rFonts w:ascii="David" w:hAnsi="David"/>
          <w:sz w:val="26"/>
          <w:szCs w:val="26"/>
          <w:rtl/>
        </w:rPr>
        <w:t>.</w:t>
      </w:r>
    </w:p>
    <w:p w14:paraId="22D1C74B" w14:textId="77777777" w:rsidR="00044E12" w:rsidRPr="00DF398E" w:rsidRDefault="00044E12" w:rsidP="00044E12">
      <w:pPr>
        <w:spacing w:before="240" w:after="240" w:line="360" w:lineRule="auto"/>
        <w:jc w:val="both"/>
        <w:rPr>
          <w:rFonts w:ascii="David" w:hAnsi="David"/>
          <w:b/>
          <w:bCs/>
        </w:rPr>
      </w:pPr>
      <w:r w:rsidRPr="00DF398E">
        <w:rPr>
          <w:rFonts w:ascii="David" w:hAnsi="David"/>
          <w:b/>
          <w:bCs/>
          <w:rtl/>
        </w:rPr>
        <w:t xml:space="preserve">באשר לעונשו של הנאשם בתוך מתחם העונש ההולם, שקבעתי לעיל: </w:t>
      </w:r>
    </w:p>
    <w:p w14:paraId="64D73D25" w14:textId="77777777" w:rsidR="00044E12" w:rsidRPr="00DF398E" w:rsidRDefault="00044E12" w:rsidP="00044E12">
      <w:pPr>
        <w:spacing w:before="240" w:after="240" w:line="360" w:lineRule="auto"/>
        <w:jc w:val="both"/>
        <w:rPr>
          <w:rFonts w:ascii="David" w:hAnsi="David"/>
        </w:rPr>
      </w:pPr>
      <w:r w:rsidRPr="00DF398E">
        <w:rPr>
          <w:rFonts w:ascii="David" w:hAnsi="David"/>
          <w:rtl/>
        </w:rPr>
        <w:t xml:space="preserve">לקולא שקלתי את העובדה כי הנאשם הודה בהזדמנות הראשונה, בדיון מוקד, נטל אחריות על מעשיו והביע חרטה. בהודאתו חסך הנאשם מזמנו השיפוטי של בית המשפט ומהצורך להעיד עדים. </w:t>
      </w:r>
    </w:p>
    <w:p w14:paraId="3051A2ED"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כמו כן נתתי את דעתי לפגיעת העונש במשפחתו של הנאשם והתחשבתי בעדותה של אשת הנאשם, אשר נותרה בגפה לגדל שני ילדים קטנים, כאשר הבת הקטנה נולדה בזמן שהנאשם היה עצור עד תום ההליכים והוא ראה אותה לראשונה במהלך הדיונים בבית המשפט. </w:t>
      </w:r>
    </w:p>
    <w:p w14:paraId="46E41E3C"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לחומרא, לא ניתן להתעלם מעברו הפלילי של הנאשם. לחובתו של הנאשם 3 הרשעות קודמות בגין עבירות סמים כאשר הרשעתו האחרונה מיוני 23 היא בגין החזקת סמים שלא לצריכה עצמית, בגינה נידון הנאשם למאסר קצר. </w:t>
      </w:r>
    </w:p>
    <w:p w14:paraId="3868D038" w14:textId="77777777" w:rsidR="00044E12" w:rsidRPr="00DF398E" w:rsidRDefault="00044E12" w:rsidP="00044E12">
      <w:pPr>
        <w:spacing w:before="240" w:after="240" w:line="360" w:lineRule="auto"/>
        <w:jc w:val="both"/>
        <w:rPr>
          <w:rFonts w:ascii="David" w:hAnsi="David"/>
          <w:rtl/>
        </w:rPr>
      </w:pPr>
      <w:r w:rsidRPr="00DF398E">
        <w:rPr>
          <w:rFonts w:ascii="David" w:hAnsi="David"/>
          <w:rtl/>
        </w:rPr>
        <w:t xml:space="preserve">כמו כן, בשים לב להיות עבירות בנשק "מכת מדינה" וההשלכות החמורות של עבירה זו על שלום הציבור, נתתי משקל גם לשיקולי הרתעת היחיד והרבים. </w:t>
      </w:r>
    </w:p>
    <w:p w14:paraId="2808C7D1" w14:textId="77777777" w:rsidR="00044E12" w:rsidRPr="00DF398E" w:rsidRDefault="00044E12" w:rsidP="00044E12">
      <w:pPr>
        <w:spacing w:before="240" w:after="240" w:line="360" w:lineRule="auto"/>
        <w:jc w:val="both"/>
        <w:rPr>
          <w:rFonts w:ascii="David" w:hAnsi="David"/>
          <w:b/>
          <w:bCs/>
          <w:rtl/>
        </w:rPr>
      </w:pPr>
      <w:r w:rsidRPr="00DF398E">
        <w:rPr>
          <w:rFonts w:ascii="David" w:hAnsi="David"/>
          <w:b/>
          <w:bCs/>
          <w:rtl/>
        </w:rPr>
        <w:t>לאחר ששקלתי את כלל השיקולים המפורטים לעיל, אני גוזרת על הנאשם את העונשים הבאים:</w:t>
      </w:r>
    </w:p>
    <w:p w14:paraId="73E65DBC" w14:textId="77777777" w:rsidR="00044E12" w:rsidRPr="00DF398E" w:rsidRDefault="00044E12" w:rsidP="00044E12">
      <w:pPr>
        <w:pStyle w:val="aa"/>
        <w:numPr>
          <w:ilvl w:val="0"/>
          <w:numId w:val="2"/>
        </w:numPr>
        <w:spacing w:before="240" w:after="240" w:line="360" w:lineRule="auto"/>
        <w:jc w:val="both"/>
        <w:rPr>
          <w:b/>
          <w:bCs/>
          <w:sz w:val="26"/>
          <w:szCs w:val="26"/>
          <w:rtl/>
        </w:rPr>
      </w:pPr>
      <w:r w:rsidRPr="00DF398E">
        <w:rPr>
          <w:rtl/>
        </w:rPr>
        <w:t>12 חודשי מאסר בפועל, מיום מעצרו של הנאשם בתאריך</w:t>
      </w:r>
      <w:r>
        <w:rPr>
          <w:rtl/>
        </w:rPr>
        <w:t xml:space="preserve"> </w:t>
      </w:r>
      <w:r w:rsidRPr="00DF398E">
        <w:rPr>
          <w:rtl/>
        </w:rPr>
        <w:t>24.11.24.</w:t>
      </w:r>
    </w:p>
    <w:p w14:paraId="67A6FA11" w14:textId="77777777" w:rsidR="00044E12" w:rsidRPr="00DF398E" w:rsidRDefault="00044E12" w:rsidP="00044E12">
      <w:pPr>
        <w:pStyle w:val="aa"/>
        <w:numPr>
          <w:ilvl w:val="0"/>
          <w:numId w:val="2"/>
        </w:numPr>
        <w:spacing w:before="240" w:after="240" w:line="360" w:lineRule="auto"/>
        <w:jc w:val="both"/>
        <w:rPr>
          <w:b/>
          <w:bCs/>
          <w:sz w:val="26"/>
          <w:szCs w:val="26"/>
          <w:rtl/>
        </w:rPr>
      </w:pPr>
      <w:r w:rsidRPr="00DF398E">
        <w:rPr>
          <w:rtl/>
        </w:rPr>
        <w:t xml:space="preserve">6 חודשי מאסר על תנאי למשך 3 שנים מיום שחרורו של הנאשם, והתנאי הוא כי הנאשם לא יעבור בתקופת התנאי עבירה בנשק או סיוע לעבירה בנשק, ויורשע בגינה. </w:t>
      </w:r>
    </w:p>
    <w:p w14:paraId="0BD45949" w14:textId="77777777" w:rsidR="00044E12" w:rsidRPr="00DF398E" w:rsidRDefault="00044E12" w:rsidP="00044E12">
      <w:pPr>
        <w:spacing w:line="360" w:lineRule="auto"/>
        <w:jc w:val="both"/>
        <w:rPr>
          <w:rFonts w:ascii="David" w:hAnsi="David"/>
        </w:rPr>
      </w:pPr>
      <w:r w:rsidRPr="00DF398E">
        <w:rPr>
          <w:rFonts w:ascii="David" w:hAnsi="David"/>
          <w:rtl/>
        </w:rPr>
        <w:t>המאשימה בטיעוניה לא עתרה להטיל עונש של קנס, ועל כן בשים לב למצבו הכלכלי של הנאשם והעובדה כי רק לפני חודש נולדה לו בת ואשתו מגדלת את ילדי</w:t>
      </w:r>
      <w:r>
        <w:rPr>
          <w:rFonts w:ascii="David" w:hAnsi="David" w:hint="cs"/>
          <w:rtl/>
        </w:rPr>
        <w:t>הם</w:t>
      </w:r>
      <w:r w:rsidRPr="00DF398E">
        <w:rPr>
          <w:rFonts w:ascii="David" w:hAnsi="David"/>
          <w:rtl/>
        </w:rPr>
        <w:t xml:space="preserve"> בגפה, ונוכח אורך תקופת המאסר לא מצאתי להטיל עונש כלכלי. </w:t>
      </w:r>
    </w:p>
    <w:p w14:paraId="6C7209B4" w14:textId="77777777" w:rsidR="00044E12" w:rsidRDefault="00044E12" w:rsidP="00044E12">
      <w:pPr>
        <w:spacing w:before="240" w:after="240" w:line="360" w:lineRule="auto"/>
        <w:jc w:val="both"/>
        <w:rPr>
          <w:rFonts w:ascii="David" w:hAnsi="David"/>
          <w:b/>
          <w:bCs/>
          <w:rtl/>
        </w:rPr>
      </w:pPr>
    </w:p>
    <w:p w14:paraId="6DEB2377" w14:textId="77777777" w:rsidR="00044E12" w:rsidRPr="00DF398E" w:rsidRDefault="000A04AF" w:rsidP="00044E12">
      <w:pPr>
        <w:spacing w:before="240" w:after="240" w:line="360" w:lineRule="auto"/>
        <w:jc w:val="both"/>
        <w:rPr>
          <w:rFonts w:ascii="David" w:hAnsi="David"/>
          <w:b/>
          <w:bCs/>
        </w:rPr>
      </w:pPr>
      <w:r w:rsidRPr="000A04AF">
        <w:rPr>
          <w:rFonts w:ascii="David" w:hAnsi="David"/>
          <w:b/>
          <w:bCs/>
          <w:color w:val="FFFFFF"/>
          <w:sz w:val="2"/>
          <w:szCs w:val="2"/>
          <w:rtl/>
        </w:rPr>
        <w:t>5129371</w:t>
      </w:r>
      <w:r w:rsidR="00044E12" w:rsidRPr="00DF398E">
        <w:rPr>
          <w:rFonts w:ascii="David" w:hAnsi="David"/>
          <w:b/>
          <w:bCs/>
          <w:rtl/>
        </w:rPr>
        <w:t xml:space="preserve">אני מורה על חילוט הנשק, התחמושת והאביזרים לנשק שנתפסו במסגרת תיק זה. </w:t>
      </w:r>
    </w:p>
    <w:p w14:paraId="70BC8DC7" w14:textId="77777777" w:rsidR="00044E12" w:rsidRPr="00DF398E" w:rsidRDefault="000A04AF" w:rsidP="00044E12">
      <w:pPr>
        <w:spacing w:before="240" w:after="240" w:line="360" w:lineRule="auto"/>
        <w:jc w:val="both"/>
        <w:rPr>
          <w:rFonts w:ascii="David" w:hAnsi="David"/>
          <w:b/>
          <w:bCs/>
          <w:u w:val="single"/>
          <w:rtl/>
        </w:rPr>
      </w:pPr>
      <w:r w:rsidRPr="000A04AF">
        <w:rPr>
          <w:rFonts w:ascii="David" w:hAnsi="David"/>
          <w:b/>
          <w:bCs/>
          <w:color w:val="FFFFFF"/>
          <w:sz w:val="2"/>
          <w:szCs w:val="2"/>
          <w:u w:val="single"/>
          <w:rtl/>
        </w:rPr>
        <w:t>54678313</w:t>
      </w:r>
      <w:r w:rsidR="00044E12" w:rsidRPr="00DF398E">
        <w:rPr>
          <w:rFonts w:ascii="David" w:hAnsi="David"/>
          <w:b/>
          <w:bCs/>
          <w:u w:val="single"/>
          <w:rtl/>
        </w:rPr>
        <w:t xml:space="preserve">זכות ערעור תוך 45 יום מהיום לבית המשפט המחוזי בחיפה. </w:t>
      </w:r>
    </w:p>
    <w:p w14:paraId="0C980DBF" w14:textId="77777777" w:rsidR="00044E12" w:rsidRPr="00DF398E" w:rsidRDefault="00044E12" w:rsidP="00044E12">
      <w:pPr>
        <w:spacing w:before="240" w:after="240" w:line="360" w:lineRule="auto"/>
        <w:jc w:val="both"/>
        <w:rPr>
          <w:rFonts w:ascii="David" w:hAnsi="David"/>
          <w:rtl/>
        </w:rPr>
      </w:pPr>
    </w:p>
    <w:p w14:paraId="40541501" w14:textId="77777777" w:rsidR="00044E12" w:rsidRPr="00DF398E" w:rsidRDefault="000A04AF" w:rsidP="00044E12">
      <w:pPr>
        <w:spacing w:line="360" w:lineRule="auto"/>
        <w:jc w:val="both"/>
        <w:rPr>
          <w:rFonts w:ascii="David" w:hAnsi="David"/>
          <w:b/>
          <w:bCs/>
          <w:sz w:val="26"/>
          <w:szCs w:val="26"/>
          <w:rtl/>
        </w:rPr>
      </w:pPr>
      <w:bookmarkStart w:id="7" w:name="Nitan"/>
      <w:r>
        <w:rPr>
          <w:rFonts w:ascii="David" w:hAnsi="David"/>
          <w:rtl/>
        </w:rPr>
        <w:t xml:space="preserve">ניתן היום, כ"ו אדר תשפ"ה, 26 מרץ 2025, במעמד הצדדים. </w:t>
      </w:r>
      <w:bookmarkEnd w:id="7"/>
      <w:r w:rsidR="00044E12" w:rsidRPr="00DF398E">
        <w:rPr>
          <w:rFonts w:ascii="David" w:hAnsi="David"/>
          <w:b/>
          <w:bCs/>
          <w:sz w:val="26"/>
          <w:szCs w:val="26"/>
          <w:rtl/>
        </w:rPr>
        <w:tab/>
      </w:r>
      <w:r w:rsidR="00044E12" w:rsidRPr="00DF398E">
        <w:rPr>
          <w:rFonts w:ascii="David" w:hAnsi="David"/>
          <w:b/>
          <w:bCs/>
          <w:sz w:val="26"/>
          <w:szCs w:val="26"/>
          <w:rtl/>
        </w:rPr>
        <w:tab/>
      </w:r>
      <w:r w:rsidR="00044E12" w:rsidRPr="00DF398E">
        <w:rPr>
          <w:rFonts w:ascii="David" w:hAnsi="David"/>
          <w:b/>
          <w:bCs/>
          <w:sz w:val="26"/>
          <w:szCs w:val="26"/>
          <w:rtl/>
        </w:rPr>
        <w:tab/>
      </w:r>
      <w:r w:rsidR="00044E12" w:rsidRPr="00DF398E">
        <w:rPr>
          <w:rFonts w:ascii="David" w:hAnsi="David"/>
          <w:b/>
          <w:bCs/>
          <w:sz w:val="26"/>
          <w:szCs w:val="26"/>
          <w:rtl/>
        </w:rPr>
        <w:tab/>
      </w:r>
      <w:r w:rsidR="00044E12" w:rsidRPr="00DF398E">
        <w:rPr>
          <w:rFonts w:ascii="David" w:hAnsi="David"/>
          <w:b/>
          <w:bCs/>
          <w:sz w:val="26"/>
          <w:szCs w:val="26"/>
          <w:rtl/>
        </w:rPr>
        <w:tab/>
      </w:r>
      <w:r w:rsidR="00044E12" w:rsidRPr="00DF398E">
        <w:rPr>
          <w:rFonts w:ascii="David" w:hAnsi="David"/>
          <w:b/>
          <w:bCs/>
          <w:sz w:val="26"/>
          <w:szCs w:val="26"/>
          <w:rtl/>
        </w:rPr>
        <w:tab/>
      </w:r>
      <w:r w:rsidR="00044E12" w:rsidRPr="00DF398E">
        <w:rPr>
          <w:rFonts w:ascii="David" w:hAnsi="David"/>
          <w:b/>
          <w:bCs/>
          <w:sz w:val="26"/>
          <w:szCs w:val="26"/>
          <w:rtl/>
        </w:rPr>
        <w:tab/>
      </w:r>
      <w:r w:rsidR="00044E12">
        <w:rPr>
          <w:rFonts w:ascii="David" w:hAnsi="David"/>
          <w:b/>
          <w:bCs/>
          <w:sz w:val="26"/>
          <w:szCs w:val="26"/>
          <w:rtl/>
        </w:rPr>
        <w:t xml:space="preserve">  </w:t>
      </w:r>
      <w:r w:rsidR="00044E12" w:rsidRPr="00DF398E">
        <w:rPr>
          <w:rFonts w:ascii="David" w:hAnsi="David"/>
          <w:b/>
          <w:bCs/>
          <w:sz w:val="26"/>
          <w:szCs w:val="26"/>
          <w:rtl/>
        </w:rPr>
        <w:t xml:space="preserve">     </w:t>
      </w:r>
    </w:p>
    <w:p w14:paraId="74B69F2D" w14:textId="77777777" w:rsidR="000A04AF" w:rsidRDefault="000A04AF" w:rsidP="000A04AF">
      <w:pPr>
        <w:rPr>
          <w:rtl/>
        </w:rPr>
      </w:pPr>
    </w:p>
    <w:p w14:paraId="1D057D0F" w14:textId="77777777" w:rsidR="000A04AF" w:rsidRDefault="000A04AF" w:rsidP="000A04AF">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69B57BA" w14:textId="77777777" w:rsidR="00D54D6C" w:rsidRPr="00D54D6C" w:rsidRDefault="00D54D6C" w:rsidP="00D54D6C">
      <w:pPr>
        <w:keepNext/>
        <w:rPr>
          <w:rFonts w:ascii="David" w:hAnsi="David"/>
          <w:color w:val="000000"/>
          <w:sz w:val="22"/>
          <w:szCs w:val="22"/>
          <w:rtl/>
        </w:rPr>
      </w:pPr>
    </w:p>
    <w:p w14:paraId="40816C03" w14:textId="77777777" w:rsidR="00D54D6C" w:rsidRPr="00D54D6C" w:rsidRDefault="00D54D6C" w:rsidP="00D54D6C">
      <w:pPr>
        <w:keepNext/>
        <w:rPr>
          <w:rFonts w:ascii="David" w:hAnsi="David"/>
          <w:color w:val="000000"/>
          <w:sz w:val="22"/>
          <w:szCs w:val="22"/>
          <w:rtl/>
        </w:rPr>
      </w:pPr>
      <w:r w:rsidRPr="00D54D6C">
        <w:rPr>
          <w:rFonts w:ascii="David" w:hAnsi="David"/>
          <w:color w:val="000000"/>
          <w:sz w:val="22"/>
          <w:szCs w:val="22"/>
          <w:rtl/>
        </w:rPr>
        <w:t>מריה פיקוס בוגדאנוב 54678313-/</w:t>
      </w:r>
    </w:p>
    <w:p w14:paraId="4019893B" w14:textId="77777777" w:rsidR="000A04AF" w:rsidRPr="000A04AF" w:rsidRDefault="00D54D6C" w:rsidP="00D54D6C">
      <w:pPr>
        <w:rPr>
          <w:color w:val="0000FF"/>
          <w:u w:val="single"/>
        </w:rPr>
      </w:pPr>
      <w:r w:rsidRPr="00D54D6C">
        <w:rPr>
          <w:color w:val="000000"/>
          <w:u w:val="single"/>
          <w:rtl/>
        </w:rPr>
        <w:t>נוסח מסמך זה כפוף לשינויי ניסוח ועריכה</w:t>
      </w:r>
    </w:p>
    <w:sectPr w:rsidR="000A04AF" w:rsidRPr="000A04AF" w:rsidSect="00D54D6C">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BC81B" w14:textId="77777777" w:rsidR="00CF71EC" w:rsidRDefault="00CF71EC" w:rsidP="00BA5596">
      <w:r>
        <w:separator/>
      </w:r>
    </w:p>
  </w:endnote>
  <w:endnote w:type="continuationSeparator" w:id="0">
    <w:p w14:paraId="17D4494C" w14:textId="77777777" w:rsidR="00CF71EC" w:rsidRDefault="00CF71EC" w:rsidP="00BA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5CE06" w14:textId="77777777" w:rsidR="00D54D6C" w:rsidRDefault="00D54D6C" w:rsidP="00D54D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EDD9533" w14:textId="77777777" w:rsidR="007C3CCA" w:rsidRPr="00D54D6C" w:rsidRDefault="00D54D6C" w:rsidP="00D54D6C">
    <w:pPr>
      <w:pStyle w:val="a5"/>
      <w:pBdr>
        <w:top w:val="single" w:sz="4" w:space="1" w:color="auto"/>
        <w:between w:val="single" w:sz="4" w:space="0" w:color="auto"/>
      </w:pBdr>
      <w:spacing w:after="60"/>
      <w:jc w:val="center"/>
      <w:rPr>
        <w:rFonts w:ascii="FrankRuehl" w:hAnsi="FrankRuehl" w:cs="FrankRuehl"/>
        <w:color w:val="000000"/>
      </w:rPr>
    </w:pPr>
    <w:r w:rsidRPr="00D54D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57B00" w14:textId="77777777" w:rsidR="00D54D6C" w:rsidRDefault="00D54D6C" w:rsidP="00D54D6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39BA">
      <w:rPr>
        <w:rFonts w:ascii="FrankRuehl" w:hAnsi="FrankRuehl" w:cs="FrankRuehl"/>
        <w:noProof/>
        <w:rtl/>
      </w:rPr>
      <w:t>1</w:t>
    </w:r>
    <w:r>
      <w:rPr>
        <w:rFonts w:ascii="FrankRuehl" w:hAnsi="FrankRuehl" w:cs="FrankRuehl"/>
        <w:rtl/>
      </w:rPr>
      <w:fldChar w:fldCharType="end"/>
    </w:r>
  </w:p>
  <w:p w14:paraId="7B8C9F77" w14:textId="77777777" w:rsidR="007C3CCA" w:rsidRPr="00D54D6C" w:rsidRDefault="00D54D6C" w:rsidP="00D54D6C">
    <w:pPr>
      <w:pStyle w:val="a5"/>
      <w:pBdr>
        <w:top w:val="single" w:sz="4" w:space="1" w:color="auto"/>
        <w:between w:val="single" w:sz="4" w:space="0" w:color="auto"/>
      </w:pBdr>
      <w:spacing w:after="60"/>
      <w:jc w:val="center"/>
      <w:rPr>
        <w:rFonts w:ascii="FrankRuehl" w:hAnsi="FrankRuehl" w:cs="FrankRuehl"/>
        <w:color w:val="000000"/>
      </w:rPr>
    </w:pPr>
    <w:r w:rsidRPr="00D54D6C">
      <w:rPr>
        <w:rFonts w:ascii="FrankRuehl" w:hAnsi="FrankRuehl" w:cs="FrankRuehl"/>
        <w:color w:val="000000"/>
      </w:rPr>
      <w:pict w14:anchorId="4C0F7D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46D4F" w14:textId="77777777" w:rsidR="00CF71EC" w:rsidRDefault="00CF71EC" w:rsidP="00BA5596">
      <w:r>
        <w:separator/>
      </w:r>
    </w:p>
  </w:footnote>
  <w:footnote w:type="continuationSeparator" w:id="0">
    <w:p w14:paraId="3A88387B" w14:textId="77777777" w:rsidR="00CF71EC" w:rsidRDefault="00CF71EC" w:rsidP="00BA5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3C27A" w14:textId="77777777" w:rsidR="000A04AF" w:rsidRPr="00D54D6C" w:rsidRDefault="00D54D6C" w:rsidP="00D54D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22499-12-24</w:t>
    </w:r>
    <w:r>
      <w:rPr>
        <w:rFonts w:ascii="David" w:hAnsi="David"/>
        <w:color w:val="000000"/>
        <w:sz w:val="22"/>
        <w:szCs w:val="22"/>
        <w:rtl/>
      </w:rPr>
      <w:tab/>
      <w:t xml:space="preserve"> מדינת ישראל נ' סאמח חוסיין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26578" w14:textId="77777777" w:rsidR="000A04AF" w:rsidRPr="00D54D6C" w:rsidRDefault="00D54D6C" w:rsidP="00D54D6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22499-12-24</w:t>
    </w:r>
    <w:r>
      <w:rPr>
        <w:rFonts w:ascii="David" w:hAnsi="David"/>
        <w:color w:val="000000"/>
        <w:sz w:val="22"/>
        <w:szCs w:val="22"/>
        <w:rtl/>
      </w:rPr>
      <w:tab/>
      <w:t xml:space="preserve"> מדינת ישראל נ' סאמח חוסיין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800B7"/>
    <w:multiLevelType w:val="hybridMultilevel"/>
    <w:tmpl w:val="6108F6F0"/>
    <w:lvl w:ilvl="0" w:tplc="E856A902">
      <w:start w:val="1"/>
      <w:numFmt w:val="bullet"/>
      <w:lvlText w:val=""/>
      <w:lvlJc w:val="left"/>
      <w:pPr>
        <w:ind w:left="720" w:hanging="360"/>
      </w:pPr>
      <w:rPr>
        <w:rFonts w:ascii="Symbol" w:hAnsi="Symbol"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9276C2"/>
    <w:multiLevelType w:val="hybridMultilevel"/>
    <w:tmpl w:val="96CCAA6A"/>
    <w:lvl w:ilvl="0" w:tplc="247ADC14">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1366329">
    <w:abstractNumId w:val="0"/>
  </w:num>
  <w:num w:numId="2" w16cid:durableId="1581862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4E12"/>
    <w:rsid w:val="00044E12"/>
    <w:rsid w:val="000A04AF"/>
    <w:rsid w:val="006E673E"/>
    <w:rsid w:val="007C3CCA"/>
    <w:rsid w:val="00BA5596"/>
    <w:rsid w:val="00BD5A95"/>
    <w:rsid w:val="00CF71EC"/>
    <w:rsid w:val="00D41239"/>
    <w:rsid w:val="00D54D6C"/>
    <w:rsid w:val="00E73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BF3588"/>
  <w15:chartTrackingRefBased/>
  <w15:docId w15:val="{0FD7F4BA-EF6A-424D-8355-6DAD1FD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4E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4E12"/>
    <w:pPr>
      <w:tabs>
        <w:tab w:val="center" w:pos="4153"/>
        <w:tab w:val="right" w:pos="8306"/>
      </w:tabs>
    </w:pPr>
  </w:style>
  <w:style w:type="character" w:customStyle="1" w:styleId="a4">
    <w:name w:val="כותרת עליונה תו"/>
    <w:link w:val="a3"/>
    <w:rsid w:val="00044E12"/>
    <w:rPr>
      <w:rFonts w:ascii="Times New Roman" w:eastAsia="Times New Roman" w:hAnsi="Times New Roman" w:cs="David"/>
      <w:sz w:val="24"/>
      <w:szCs w:val="24"/>
    </w:rPr>
  </w:style>
  <w:style w:type="paragraph" w:styleId="a5">
    <w:name w:val="footer"/>
    <w:basedOn w:val="a"/>
    <w:link w:val="a6"/>
    <w:rsid w:val="00044E12"/>
    <w:pPr>
      <w:tabs>
        <w:tab w:val="center" w:pos="4153"/>
        <w:tab w:val="right" w:pos="8306"/>
      </w:tabs>
    </w:pPr>
  </w:style>
  <w:style w:type="character" w:customStyle="1" w:styleId="a6">
    <w:name w:val="כותרת תחתונה תו"/>
    <w:link w:val="a5"/>
    <w:rsid w:val="00044E12"/>
    <w:rPr>
      <w:rFonts w:ascii="Times New Roman" w:eastAsia="Times New Roman" w:hAnsi="Times New Roman" w:cs="David"/>
      <w:sz w:val="24"/>
      <w:szCs w:val="24"/>
    </w:rPr>
  </w:style>
  <w:style w:type="table" w:styleId="a7">
    <w:name w:val="Table Grid"/>
    <w:basedOn w:val="a1"/>
    <w:rsid w:val="00044E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4E12"/>
  </w:style>
  <w:style w:type="character" w:styleId="Hyperlink">
    <w:name w:val="Hyperlink"/>
    <w:rsid w:val="00044E12"/>
    <w:rPr>
      <w:color w:val="0563C1"/>
      <w:u w:val="single"/>
    </w:rPr>
  </w:style>
  <w:style w:type="character" w:customStyle="1" w:styleId="a9">
    <w:name w:val="פיסקת רשימה תו"/>
    <w:link w:val="aa"/>
    <w:locked/>
    <w:rsid w:val="00044E12"/>
    <w:rPr>
      <w:rFonts w:ascii="David" w:hAnsi="David" w:cs="David"/>
      <w:sz w:val="24"/>
      <w:szCs w:val="24"/>
    </w:rPr>
  </w:style>
  <w:style w:type="paragraph" w:styleId="aa">
    <w:name w:val="List Paragraph"/>
    <w:basedOn w:val="a"/>
    <w:link w:val="a9"/>
    <w:qFormat/>
    <w:rsid w:val="00044E12"/>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478630" TargetMode="External"/><Relationship Id="rId39" Type="http://schemas.openxmlformats.org/officeDocument/2006/relationships/footer" Target="footer1.xml"/><Relationship Id="rId21" Type="http://schemas.openxmlformats.org/officeDocument/2006/relationships/hyperlink" Target="http://www.nevo.co.il/case/28697218" TargetMode="External"/><Relationship Id="rId34" Type="http://schemas.openxmlformats.org/officeDocument/2006/relationships/hyperlink" Target="http://www.nevo.co.il/law/70301/40c.a"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834904" TargetMode="External"/><Relationship Id="rId20" Type="http://schemas.openxmlformats.org/officeDocument/2006/relationships/hyperlink" Target="http://www.nevo.co.il/case/28883087" TargetMode="External"/><Relationship Id="rId29" Type="http://schemas.openxmlformats.org/officeDocument/2006/relationships/hyperlink" Target="http://www.nevo.co.il/case/3305474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g" TargetMode="External"/><Relationship Id="rId24" Type="http://schemas.openxmlformats.org/officeDocument/2006/relationships/hyperlink" Target="http://www.nevo.co.il/case/29174839" TargetMode="External"/><Relationship Id="rId32" Type="http://schemas.openxmlformats.org/officeDocument/2006/relationships/hyperlink" Target="http://www.nevo.co.il/case/5724364"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573417" TargetMode="External"/><Relationship Id="rId23" Type="http://schemas.openxmlformats.org/officeDocument/2006/relationships/hyperlink" Target="http://www.nevo.co.il/case/26913995" TargetMode="External"/><Relationship Id="rId28" Type="http://schemas.openxmlformats.org/officeDocument/2006/relationships/hyperlink" Target="http://www.nevo.co.il/case/2772118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8378067" TargetMode="External"/><Relationship Id="rId31" Type="http://schemas.openxmlformats.org/officeDocument/2006/relationships/hyperlink" Target="http://www.nevo.co.il/case/27502726" TargetMode="Externa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8567439" TargetMode="External"/><Relationship Id="rId27" Type="http://schemas.openxmlformats.org/officeDocument/2006/relationships/hyperlink" Target="http://www.nevo.co.il/case/27573270" TargetMode="External"/><Relationship Id="rId30" Type="http://schemas.openxmlformats.org/officeDocument/2006/relationships/hyperlink" Target="http://www.nevo.co.il/case/28450570"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case/25923515" TargetMode="External"/><Relationship Id="rId33" Type="http://schemas.openxmlformats.org/officeDocument/2006/relationships/hyperlink" Target="http://www.nevo.co.il/case/26516895"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2833</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16970</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3670139</vt:i4>
      </vt:variant>
      <vt:variant>
        <vt:i4>78</vt:i4>
      </vt:variant>
      <vt:variant>
        <vt:i4>0</vt:i4>
      </vt:variant>
      <vt:variant>
        <vt:i4>5</vt:i4>
      </vt:variant>
      <vt:variant>
        <vt:lpwstr>http://www.nevo.co.il/case/26516895</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3604596</vt:i4>
      </vt:variant>
      <vt:variant>
        <vt:i4>72</vt:i4>
      </vt:variant>
      <vt:variant>
        <vt:i4>0</vt:i4>
      </vt:variant>
      <vt:variant>
        <vt:i4>5</vt:i4>
      </vt:variant>
      <vt:variant>
        <vt:lpwstr>http://www.nevo.co.il/case/27502726</vt:lpwstr>
      </vt:variant>
      <vt:variant>
        <vt:lpwstr/>
      </vt:variant>
      <vt:variant>
        <vt:i4>3211388</vt:i4>
      </vt:variant>
      <vt:variant>
        <vt:i4>69</vt:i4>
      </vt:variant>
      <vt:variant>
        <vt:i4>0</vt:i4>
      </vt:variant>
      <vt:variant>
        <vt:i4>5</vt:i4>
      </vt:variant>
      <vt:variant>
        <vt:lpwstr>http://www.nevo.co.il/case/28450570</vt:lpwstr>
      </vt:variant>
      <vt:variant>
        <vt:lpwstr/>
      </vt:variant>
      <vt:variant>
        <vt:i4>3342453</vt:i4>
      </vt:variant>
      <vt:variant>
        <vt:i4>66</vt:i4>
      </vt:variant>
      <vt:variant>
        <vt:i4>0</vt:i4>
      </vt:variant>
      <vt:variant>
        <vt:i4>5</vt:i4>
      </vt:variant>
      <vt:variant>
        <vt:lpwstr>http://www.nevo.co.il/case/33054745</vt:lpwstr>
      </vt:variant>
      <vt:variant>
        <vt:lpwstr/>
      </vt:variant>
      <vt:variant>
        <vt:i4>3932272</vt:i4>
      </vt:variant>
      <vt:variant>
        <vt:i4>63</vt:i4>
      </vt:variant>
      <vt:variant>
        <vt:i4>0</vt:i4>
      </vt:variant>
      <vt:variant>
        <vt:i4>5</vt:i4>
      </vt:variant>
      <vt:variant>
        <vt:lpwstr>http://www.nevo.co.il/case/27721185</vt:lpwstr>
      </vt:variant>
      <vt:variant>
        <vt:lpwstr/>
      </vt:variant>
      <vt:variant>
        <vt:i4>3342454</vt:i4>
      </vt:variant>
      <vt:variant>
        <vt:i4>60</vt:i4>
      </vt:variant>
      <vt:variant>
        <vt:i4>0</vt:i4>
      </vt:variant>
      <vt:variant>
        <vt:i4>5</vt:i4>
      </vt:variant>
      <vt:variant>
        <vt:lpwstr>http://www.nevo.co.il/case/27573270</vt:lpwstr>
      </vt:variant>
      <vt:variant>
        <vt:lpwstr/>
      </vt:variant>
      <vt:variant>
        <vt:i4>3997811</vt:i4>
      </vt:variant>
      <vt:variant>
        <vt:i4>57</vt:i4>
      </vt:variant>
      <vt:variant>
        <vt:i4>0</vt:i4>
      </vt:variant>
      <vt:variant>
        <vt:i4>5</vt:i4>
      </vt:variant>
      <vt:variant>
        <vt:lpwstr>http://www.nevo.co.il/case/26478630</vt:lpwstr>
      </vt:variant>
      <vt:variant>
        <vt:lpwstr/>
      </vt:variant>
      <vt:variant>
        <vt:i4>3735670</vt:i4>
      </vt:variant>
      <vt:variant>
        <vt:i4>54</vt:i4>
      </vt:variant>
      <vt:variant>
        <vt:i4>0</vt:i4>
      </vt:variant>
      <vt:variant>
        <vt:i4>5</vt:i4>
      </vt:variant>
      <vt:variant>
        <vt:lpwstr>http://www.nevo.co.il/case/25923515</vt:lpwstr>
      </vt:variant>
      <vt:variant>
        <vt:lpwstr/>
      </vt:variant>
      <vt:variant>
        <vt:i4>3407986</vt:i4>
      </vt:variant>
      <vt:variant>
        <vt:i4>51</vt:i4>
      </vt:variant>
      <vt:variant>
        <vt:i4>0</vt:i4>
      </vt:variant>
      <vt:variant>
        <vt:i4>5</vt:i4>
      </vt:variant>
      <vt:variant>
        <vt:lpwstr>http://www.nevo.co.il/case/29174839</vt:lpwstr>
      </vt:variant>
      <vt:variant>
        <vt:lpwstr/>
      </vt:variant>
      <vt:variant>
        <vt:i4>3211386</vt:i4>
      </vt:variant>
      <vt:variant>
        <vt:i4>48</vt:i4>
      </vt:variant>
      <vt:variant>
        <vt:i4>0</vt:i4>
      </vt:variant>
      <vt:variant>
        <vt:i4>5</vt:i4>
      </vt:variant>
      <vt:variant>
        <vt:lpwstr>http://www.nevo.co.il/case/26913995</vt:lpwstr>
      </vt:variant>
      <vt:variant>
        <vt:lpwstr/>
      </vt:variant>
      <vt:variant>
        <vt:i4>3342462</vt:i4>
      </vt:variant>
      <vt:variant>
        <vt:i4>45</vt:i4>
      </vt:variant>
      <vt:variant>
        <vt:i4>0</vt:i4>
      </vt:variant>
      <vt:variant>
        <vt:i4>5</vt:i4>
      </vt:variant>
      <vt:variant>
        <vt:lpwstr>http://www.nevo.co.il/case/28567439</vt:lpwstr>
      </vt:variant>
      <vt:variant>
        <vt:lpwstr/>
      </vt:variant>
      <vt:variant>
        <vt:i4>3276919</vt:i4>
      </vt:variant>
      <vt:variant>
        <vt:i4>42</vt:i4>
      </vt:variant>
      <vt:variant>
        <vt:i4>0</vt:i4>
      </vt:variant>
      <vt:variant>
        <vt:i4>5</vt:i4>
      </vt:variant>
      <vt:variant>
        <vt:lpwstr>http://www.nevo.co.il/case/28697218</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4128891</vt:i4>
      </vt:variant>
      <vt:variant>
        <vt:i4>36</vt:i4>
      </vt:variant>
      <vt:variant>
        <vt:i4>0</vt:i4>
      </vt:variant>
      <vt:variant>
        <vt:i4>5</vt:i4>
      </vt:variant>
      <vt:variant>
        <vt:lpwstr>http://www.nevo.co.il/case/28378067</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3670136</vt:i4>
      </vt:variant>
      <vt:variant>
        <vt:i4>27</vt:i4>
      </vt:variant>
      <vt:variant>
        <vt:i4>0</vt:i4>
      </vt:variant>
      <vt:variant>
        <vt:i4>5</vt:i4>
      </vt:variant>
      <vt:variant>
        <vt:lpwstr>http://www.nevo.co.il/case/6834904</vt:lpwstr>
      </vt:variant>
      <vt:variant>
        <vt:lpwstr/>
      </vt:variant>
      <vt:variant>
        <vt:i4>3211379</vt:i4>
      </vt:variant>
      <vt:variant>
        <vt:i4>24</vt:i4>
      </vt:variant>
      <vt:variant>
        <vt:i4>0</vt:i4>
      </vt:variant>
      <vt:variant>
        <vt:i4>5</vt:i4>
      </vt:variant>
      <vt:variant>
        <vt:lpwstr>http://www.nevo.co.il/case/5573417</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2025-04-25T11:09:00Z</dcterms:created>
  <dcterms:modified xsi:type="dcterms:W3CDTF">2025-04-25T11:09:00Z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22499</vt:lpwstr>
  </property>
  <property fmtid="{D5CDD505-2E9C-101B-9397-08002B2CF9AE}" pid="6" name="NEWPARTB">
    <vt:lpwstr>12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סאמח חוסיין</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20250326</vt:lpwstr>
  </property>
  <property fmtid="{D5CDD505-2E9C-101B-9397-08002B2CF9AE}" pid="13" name="TYPE_N_DATE">
    <vt:lpwstr>38020250326</vt:lpwstr>
  </property>
  <property fmtid="{D5CDD505-2E9C-101B-9397-08002B2CF9AE}" pid="14" name="CASESLISTTMP1">
    <vt:lpwstr>5573417;6834904;28378067;28883087;28697218;28567439;26913995;29174839;25923515;26478630;27573270;27721185;33054745;28450570;27502726;5724364;26516895</vt:lpwstr>
  </property>
  <property fmtid="{D5CDD505-2E9C-101B-9397-08002B2CF9AE}" pid="15" name="CASENOTES1">
    <vt:lpwstr>ProcID=135&amp;PartA=7585&amp;PartB=09&amp;PartC=23</vt:lpwstr>
  </property>
  <property fmtid="{D5CDD505-2E9C-101B-9397-08002B2CF9AE}" pid="16" name="CASENOTES2">
    <vt:lpwstr>ProcID=135&amp;PartA=14070&amp;PartB=01&amp;PartC=23</vt:lpwstr>
  </property>
  <property fmtid="{D5CDD505-2E9C-101B-9397-08002B2CF9AE}" pid="17" name="CASENOTES3">
    <vt:lpwstr>ProcID=209&amp;PartA=37980&amp;PartB=03&amp;PartC=23</vt:lpwstr>
  </property>
  <property fmtid="{D5CDD505-2E9C-101B-9397-08002B2CF9AE}" pid="18" name="CASENOTES4">
    <vt:lpwstr>ProcID=133;209&amp;PartA=1332&amp;PartC=04</vt:lpwstr>
  </property>
  <property fmtid="{D5CDD505-2E9C-101B-9397-08002B2CF9AE}" pid="19" name="WORDNUMPAGES">
    <vt:lpwstr>9</vt:lpwstr>
  </property>
  <property fmtid="{D5CDD505-2E9C-101B-9397-08002B2CF9AE}" pid="20" name="TYPE_ABS_DATE">
    <vt:lpwstr>380020250326</vt:lpwstr>
  </property>
  <property fmtid="{D5CDD505-2E9C-101B-9397-08002B2CF9AE}" pid="21" name="LAWYER">
    <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70301/144.a;031;144.g;040c.a</vt:lpwstr>
  </property>
  <property fmtid="{D5CDD505-2E9C-101B-9397-08002B2CF9AE}" pid="40" name="ISABSTRACT">
    <vt:lpwstr>Y</vt:lpwstr>
  </property>
</Properties>
</file>