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right"/>
        <w:bidi w:val="1"/>
      </w:pPr>
      <w:r>
        <w:rPr>
          <w:rFonts w:ascii="Noto Kufi Arabic" w:hAnsi="Noto Kufi Arabic" w:cs="Noto Kufi Arabic"/>
          <w:b/>
          <w:color w:val="B88B3D"/>
          <w:sz w:val="58"/>
        </w:rPr>
        <w:t>PRD — MVP</w:t>
      </w:r>
    </w:p>
    <w:p>
      <w:pPr>
        <w:spacing w:after="160"/>
        <w:jc w:val="right"/>
        <w:bidi w:val="1"/>
      </w:pPr>
      <w:r>
        <w:rPr>
          <w:rFonts w:ascii="Noto Kufi Arabic" w:hAnsi="Noto Kufi Arabic" w:cs="Noto Kufi Arabic"/>
          <w:b/>
          <w:color w:val="16324F"/>
          <w:sz w:val="40"/>
        </w:rPr>
        <w:t>منصة موحدة لمعارض السيارات السعودية</w:t>
      </w:r>
    </w:p>
    <w:p>
      <w:pPr>
        <w:jc w:val="right"/>
        <w:bidi w:val="1"/>
      </w:pPr>
      <w:r>
        <w:rPr>
          <w:rFonts w:ascii="Noto Sans Arabic" w:hAnsi="Noto Sans Arabic" w:cs="Noto Sans Arabic"/>
          <w:b w:val="0"/>
          <w:color w:val="245E82"/>
          <w:sz w:val="23"/>
        </w:rPr>
        <w:t>Product Requirements Document — Minimum Viable Product</w:t>
      </w:r>
    </w:p>
    <w:p/>
    <w:tbl>
      <w:tblPr>
        <w:tblW w:type="auto" w:w="0"/>
        <w:jc w:val="center"/>
        <w:tblLayout w:type="fixed"/>
        <w:tblLook w:firstColumn="1" w:firstRow="1" w:lastColumn="0" w:lastRow="0" w:noHBand="0" w:noVBand="1" w:val="04A0"/>
      </w:tblPr>
      <w:tblGrid>
        <w:gridCol w:w="10200"/>
      </w:tblGrid>
      <w:tr>
        <w:tc>
          <w:tcPr>
            <w:tcW w:type="dxa" w:w="10200"/>
            <w:shd w:fill="EAF3F4"/>
            <w:tcMar>
              <w:top w:w="150" w:type="dxa"/>
              <w:start w:w="190" w:type="dxa"/>
              <w:bottom w:w="150" w:type="dxa"/>
              <w:end w:w="190" w:type="dxa"/>
            </w:tcMar>
          </w:tcPr>
          <w:p>
            <w:pPr>
              <w:jc w:val="right"/>
              <w:bidi w:val="1"/>
            </w:pPr>
            <w:r>
              <w:rPr>
                <w:rFonts w:ascii="Noto Kufi Arabic" w:hAnsi="Noto Kufi Arabic" w:cs="Noto Kufi Arabic"/>
                <w:b/>
                <w:color w:val="1D7A73"/>
                <w:sz w:val="22"/>
              </w:rPr>
              <w:t>تعريف المنتج</w:t>
            </w:r>
          </w:p>
          <w:p>
            <w:pPr>
              <w:spacing w:after="0"/>
              <w:jc w:val="right"/>
              <w:bidi w:val="1"/>
            </w:pPr>
            <w:r>
              <w:rPr>
                <w:rFonts w:ascii="Noto Sans Arabic" w:hAnsi="Noto Sans Arabic" w:cs="Noto Sans Arabic"/>
                <w:b w:val="0"/>
                <w:color w:val="202428"/>
                <w:sz w:val="21"/>
              </w:rPr>
              <w:t>منصة واحدة يتصفح فيها المستخدم سيارات المعارض حسب المدينة والماركة والموديل والسعر والفلاتر، بينما يمتلك كل معرض لوحة SaaS مستقلة لإدارة مخزونه وتحديث توفر سياراته واستقبال العملاء المحتملين.</w:t>
            </w:r>
          </w:p>
        </w:tc>
      </w:tr>
    </w:tbl>
    <w:p/>
    <w:tbl>
      <w:tblPr>
        <w:tblStyle w:val="TableGrid"/>
        <w:tblW w:type="auto" w:w="0"/>
        <w:jc w:val="center"/>
        <w:tblLayout w:type="fixed"/>
        <w:tblLook w:firstColumn="1" w:firstRow="1" w:lastColumn="0" w:lastRow="0" w:noHBand="0" w:noVBand="1" w:val="04A0"/>
      </w:tblPr>
      <w:tblGrid>
        <w:gridCol w:w="5100"/>
        <w:gridCol w:w="5100"/>
      </w:tblGrid>
      <w:tr>
        <w:tc>
          <w:tcPr>
            <w:tcW w:type="dxa" w:w="2835"/>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البند</w:t>
            </w:r>
          </w:p>
        </w:tc>
        <w:tc>
          <w:tcPr>
            <w:tcW w:type="dxa" w:w="6690"/>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القيمة</w:t>
            </w:r>
          </w:p>
        </w:tc>
      </w:tr>
      <w:tr>
        <w:tc>
          <w:tcPr>
            <w:tcW w:type="dxa" w:w="283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السوق</w:t>
            </w:r>
          </w:p>
        </w:tc>
        <w:tc>
          <w:tcPr>
            <w:tcW w:type="dxa" w:w="669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المملكة العربية السعودية</w:t>
            </w:r>
          </w:p>
        </w:tc>
      </w:tr>
      <w:tr>
        <w:tc>
          <w:tcPr>
            <w:tcW w:type="dxa" w:w="2835"/>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نوع المنتج</w:t>
            </w:r>
          </w:p>
        </w:tc>
        <w:tc>
          <w:tcPr>
            <w:tcW w:type="dxa" w:w="6690"/>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Automotive Marketplace + SaaS Multi-Tenant</w:t>
            </w:r>
          </w:p>
        </w:tc>
      </w:tr>
      <w:tr>
        <w:tc>
          <w:tcPr>
            <w:tcW w:type="dxa" w:w="283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النطاق</w:t>
            </w:r>
          </w:p>
        </w:tc>
        <w:tc>
          <w:tcPr>
            <w:tcW w:type="dxa" w:w="669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MVP / Pilot</w:t>
            </w:r>
          </w:p>
        </w:tc>
      </w:tr>
      <w:tr>
        <w:tc>
          <w:tcPr>
            <w:tcW w:type="dxa" w:w="2835"/>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المعمارية</w:t>
            </w:r>
          </w:p>
        </w:tc>
        <w:tc>
          <w:tcPr>
            <w:tcW w:type="dxa" w:w="6690"/>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Shared Database + Shared Schema + TenantId</w:t>
            </w:r>
          </w:p>
        </w:tc>
      </w:tr>
      <w:tr>
        <w:tc>
          <w:tcPr>
            <w:tcW w:type="dxa" w:w="283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حالة الوثيقة</w:t>
            </w:r>
          </w:p>
        </w:tc>
        <w:tc>
          <w:tcPr>
            <w:tcW w:type="dxa" w:w="669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Baseline v1.0</w:t>
            </w:r>
          </w:p>
        </w:tc>
      </w:tr>
    </w:tbl>
    <w:p/>
    <w:p>
      <w:pPr>
        <w:pageBreakBefore/>
        <w:jc w:val="right"/>
        <w:bidi w:val="1"/>
      </w:pPr>
    </w:p>
    <w:p>
      <w:pPr>
        <w:spacing w:before="180" w:after="80"/>
        <w:jc w:val="right"/>
        <w:keepNext/>
        <w:bidi w:val="1"/>
        <w:pBdr>
          <w:bottom w:val="single" w:sz="8" w:space="4" w:color="1D7A73"/>
        </w:pBdr>
      </w:pPr>
      <w:r>
        <w:rPr>
          <w:rFonts w:ascii="Noto Kufi Arabic" w:hAnsi="Noto Kufi Arabic" w:cs="Noto Kufi Arabic"/>
          <w:b/>
          <w:color w:val="16324F"/>
          <w:sz w:val="32"/>
        </w:rPr>
        <w:t>1. الهدف من الوثيقة</w:t>
      </w:r>
    </w:p>
    <w:p>
      <w:pPr>
        <w:spacing w:after="80" w:line="288" w:lineRule="auto"/>
        <w:jc w:val="right"/>
        <w:bidi w:val="1"/>
      </w:pPr>
      <w:r>
        <w:rPr>
          <w:rFonts w:ascii="Noto Sans Arabic" w:hAnsi="Noto Sans Arabic" w:cs="Noto Sans Arabic"/>
          <w:b w:val="0"/>
          <w:color w:val="202428"/>
          <w:sz w:val="21"/>
        </w:rPr>
        <w:t>توثيق متطلبات المنتج التجارية وتجربة المستخدم ونطاق النسخة الأولى، بحيث يكون المرجع الأساسي لمدير المنتج، المصمم، المعماري، وفريق التنفيذ. أي ميزة غير مدرجة ضمن Must Have تعتبر خارج MVP ما لم يعتمدها مالك المنتج رسميًا.</w:t>
      </w:r>
    </w:p>
    <w:p>
      <w:pPr>
        <w:spacing w:before="180" w:after="80"/>
        <w:jc w:val="right"/>
        <w:keepNext/>
        <w:bidi w:val="1"/>
        <w:pBdr>
          <w:bottom w:val="single" w:sz="8" w:space="4" w:color="1D7A73"/>
        </w:pBdr>
      </w:pPr>
      <w:r>
        <w:rPr>
          <w:rFonts w:ascii="Noto Kufi Arabic" w:hAnsi="Noto Kufi Arabic" w:cs="Noto Kufi Arabic"/>
          <w:b/>
          <w:color w:val="16324F"/>
          <w:sz w:val="32"/>
        </w:rPr>
        <w:t>2. الرؤية والتمركز</w:t>
      </w:r>
    </w:p>
    <w:tbl>
      <w:tblPr>
        <w:tblW w:type="auto" w:w="0"/>
        <w:jc w:val="center"/>
        <w:tblLayout w:type="fixed"/>
        <w:tblLook w:firstColumn="1" w:firstRow="1" w:lastColumn="0" w:lastRow="0" w:noHBand="0" w:noVBand="1" w:val="04A0"/>
      </w:tblPr>
      <w:tblGrid>
        <w:gridCol w:w="10200"/>
      </w:tblGrid>
      <w:tr>
        <w:tc>
          <w:tcPr>
            <w:tcW w:type="dxa" w:w="10200"/>
            <w:shd w:fill="EAF3F4"/>
            <w:tcMar>
              <w:top w:w="150" w:type="dxa"/>
              <w:start w:w="190" w:type="dxa"/>
              <w:bottom w:w="150" w:type="dxa"/>
              <w:end w:w="190" w:type="dxa"/>
            </w:tcMar>
          </w:tcPr>
          <w:p>
            <w:pPr>
              <w:jc w:val="right"/>
              <w:bidi w:val="1"/>
            </w:pPr>
            <w:r>
              <w:rPr>
                <w:rFonts w:ascii="Noto Kufi Arabic" w:hAnsi="Noto Kufi Arabic" w:cs="Noto Kufi Arabic"/>
                <w:b/>
                <w:color w:val="1D7A73"/>
                <w:sz w:val="22"/>
              </w:rPr>
              <w:t>الرؤية</w:t>
            </w:r>
          </w:p>
          <w:p>
            <w:pPr>
              <w:spacing w:after="0"/>
              <w:jc w:val="right"/>
              <w:bidi w:val="1"/>
            </w:pPr>
            <w:r>
              <w:rPr>
                <w:rFonts w:ascii="Noto Sans Arabic" w:hAnsi="Noto Sans Arabic" w:cs="Noto Sans Arabic"/>
                <w:b w:val="0"/>
                <w:color w:val="202428"/>
                <w:sz w:val="21"/>
              </w:rPr>
              <w:t>بناء منصة سعودية موحدة ومتخصصة في معارض السيارات، تمكّن المستخدم من استكشاف سيارات المعارض من مكان واحد حسب الموقع والفلاتر، وتمكّن المعرض من إبقاء مخزونه محدثًا واستقبال العملاء المحتملين من لوحة SaaS مستقلة.</w:t>
            </w:r>
          </w:p>
        </w:tc>
      </w:tr>
    </w:tbl>
    <w:p/>
    <w:p>
      <w:pPr>
        <w:spacing w:after="80" w:line="288" w:lineRule="auto"/>
        <w:jc w:val="right"/>
        <w:bidi w:val="1"/>
      </w:pPr>
      <w:r>
        <w:rPr>
          <w:rFonts w:ascii="Noto Sans Arabic" w:hAnsi="Noto Sans Arabic" w:cs="Noto Sans Arabic"/>
          <w:b w:val="0"/>
          <w:color w:val="202428"/>
          <w:sz w:val="21"/>
        </w:rPr>
        <w:t>المنصة ليست نظام إدارة معارض فقط، وليست سوق إعلانات عام. المنتج يجمع Marketplace عام للعميل مع نظام SaaS خفيف لكل معرض.</w:t>
      </w:r>
    </w:p>
    <w:p>
      <w:pPr>
        <w:spacing w:before="180" w:after="80"/>
        <w:jc w:val="right"/>
        <w:keepNext/>
        <w:bidi w:val="1"/>
        <w:pBdr>
          <w:bottom w:val="single" w:sz="8" w:space="4" w:color="1D7A73"/>
        </w:pBdr>
      </w:pPr>
      <w:r>
        <w:rPr>
          <w:rFonts w:ascii="Noto Kufi Arabic" w:hAnsi="Noto Kufi Arabic" w:cs="Noto Kufi Arabic"/>
          <w:b/>
          <w:color w:val="16324F"/>
          <w:sz w:val="32"/>
        </w:rPr>
        <w:t>3. المشكلة التي يحلها المنتج</w:t>
      </w:r>
    </w:p>
    <w:p>
      <w:pPr>
        <w:spacing w:before="120" w:after="80"/>
        <w:jc w:val="right"/>
        <w:keepNext/>
        <w:bidi w:val="1"/>
      </w:pPr>
      <w:r>
        <w:rPr>
          <w:rFonts w:ascii="Noto Kufi Arabic" w:hAnsi="Noto Kufi Arabic" w:cs="Noto Kufi Arabic"/>
          <w:b/>
          <w:color w:val="245E82"/>
          <w:sz w:val="25"/>
        </w:rPr>
        <w:t>3.1 للعميل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تشتت سيارات المعارض بين قنوات ومواقع متعددة.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وجود سيارات مباعة أو غير متوفرة بعد نشرها.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صعوبة معرفة المعارض الموجودة في مدينة معينة ومقارنة مخزونها.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الحاجة إلى فلاتر سيارات واضحة بدل البحث العام غير المتخصص.</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عدم وضوح السعر أو حداثة الإعلان في بعض الحالات.</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الانتقال بين عدة صفحات أو حسابات للوصول إلى المعرض.</w:t>
      </w:r>
    </w:p>
    <w:p>
      <w:pPr>
        <w:spacing w:before="120" w:after="80"/>
        <w:jc w:val="right"/>
        <w:keepNext/>
        <w:bidi w:val="1"/>
      </w:pPr>
      <w:r>
        <w:rPr>
          <w:rFonts w:ascii="Noto Kufi Arabic" w:hAnsi="Noto Kufi Arabic" w:cs="Noto Kufi Arabic"/>
          <w:b/>
          <w:color w:val="245E82"/>
          <w:sz w:val="25"/>
        </w:rPr>
        <w:t>3.2 للمعرض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إدارة المخزون يدويًا أو عبر ملفات Excel منفصلة عن قنوات التسويق.</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الحاجة لإعادة نشر أو تحديث السيارة في أكثر من قناة.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ضياع العملاء المحتملين بين الاتصال وواتساب والنماذج.</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استمرار ظهور سيارة بعد الحجز أو البيع.</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عدم وجود رؤية بسيطة لما يحتاج متابعة اليوم.</w:t>
      </w:r>
    </w:p>
    <w:p>
      <w:pPr>
        <w:spacing w:before="180" w:after="80"/>
        <w:jc w:val="right"/>
        <w:keepNext/>
        <w:bidi w:val="1"/>
        <w:pBdr>
          <w:bottom w:val="single" w:sz="8" w:space="4" w:color="1D7A73"/>
        </w:pBdr>
      </w:pPr>
      <w:r>
        <w:rPr>
          <w:rFonts w:ascii="Noto Kufi Arabic" w:hAnsi="Noto Kufi Arabic" w:cs="Noto Kufi Arabic"/>
          <w:b/>
          <w:color w:val="16324F"/>
          <w:sz w:val="32"/>
        </w:rPr>
        <w:t>4. الفرضية والميزة التنافسية</w:t>
      </w:r>
    </w:p>
    <w:tbl>
      <w:tblPr>
        <w:tblW w:type="auto" w:w="0"/>
        <w:jc w:val="center"/>
        <w:tblLayout w:type="fixed"/>
        <w:tblLook w:firstColumn="1" w:firstRow="1" w:lastColumn="0" w:lastRow="0" w:noHBand="0" w:noVBand="1" w:val="04A0"/>
      </w:tblPr>
      <w:tblGrid>
        <w:gridCol w:w="10200"/>
      </w:tblGrid>
      <w:tr>
        <w:tc>
          <w:tcPr>
            <w:tcW w:type="dxa" w:w="10200"/>
            <w:shd w:fill="EAF3F4"/>
            <w:tcMar>
              <w:top w:w="150" w:type="dxa"/>
              <w:start w:w="190" w:type="dxa"/>
              <w:bottom w:w="150" w:type="dxa"/>
              <w:end w:w="190" w:type="dxa"/>
            </w:tcMar>
          </w:tcPr>
          <w:p>
            <w:pPr>
              <w:jc w:val="right"/>
              <w:bidi w:val="1"/>
            </w:pPr>
            <w:r>
              <w:rPr>
                <w:rFonts w:ascii="Noto Kufi Arabic" w:hAnsi="Noto Kufi Arabic" w:cs="Noto Kufi Arabic"/>
                <w:b/>
                <w:color w:val="1D7A73"/>
                <w:sz w:val="22"/>
              </w:rPr>
              <w:t>الميزة التنافسية الرئيسية</w:t>
            </w:r>
          </w:p>
          <w:p>
            <w:pPr>
              <w:spacing w:after="0"/>
              <w:jc w:val="right"/>
              <w:bidi w:val="1"/>
            </w:pPr>
            <w:r>
              <w:rPr>
                <w:rFonts w:ascii="Noto Sans Arabic" w:hAnsi="Noto Sans Arabic" w:cs="Noto Sans Arabic"/>
                <w:b w:val="0"/>
                <w:color w:val="202428"/>
                <w:sz w:val="21"/>
              </w:rPr>
              <w:t>مخزون معارض موحد داخل منصة واحدة، وتحديث حالة السيارة يأتي من لوحة SaaS التي يستخدمها المعرض نفسه. عند تغيير السعر أو تأكيد التوفر أو الحجز أو البيع، ينعكس ذلك على الـMarketplace العام. التميز المطلوب هو حداثة المخزون وتنظيمه، وليس مجرد كثرة الإعلانات.</w:t>
            </w:r>
          </w:p>
        </w:tc>
      </w:tr>
    </w:tbl>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098"/>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الركيزة</w:t>
            </w:r>
          </w:p>
        </w:tc>
        <w:tc>
          <w:tcPr>
            <w:tcW w:type="dxa" w:w="3685"/>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قيمة للعميل</w:t>
            </w:r>
          </w:p>
        </w:tc>
        <w:tc>
          <w:tcPr>
            <w:tcW w:type="dxa" w:w="3742"/>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قيمة للمعرض</w:t>
            </w:r>
          </w:p>
        </w:tc>
      </w:tr>
      <w:tr>
        <w:tc>
          <w:tcPr>
            <w:tcW w:type="dxa" w:w="209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منصة موحدة</w:t>
            </w:r>
          </w:p>
        </w:tc>
        <w:tc>
          <w:tcPr>
            <w:tcW w:type="dxa" w:w="368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يشاهد سيارات معارض متعددة في نتائج واحدة.</w:t>
            </w:r>
          </w:p>
        </w:tc>
        <w:tc>
          <w:tcPr>
            <w:tcW w:type="dxa" w:w="3742"/>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يصل إلى جمهور مشترك دون إنشاء متجر منفصل.</w:t>
            </w:r>
          </w:p>
        </w:tc>
      </w:tr>
      <w:tr>
        <w:tc>
          <w:tcPr>
            <w:tcW w:type="dxa" w:w="2098"/>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بحث حسب الموقع</w:t>
            </w:r>
          </w:p>
        </w:tc>
        <w:tc>
          <w:tcPr>
            <w:tcW w:type="dxa" w:w="3685"/>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يعرض السيارات الموجودة فعليًا في المدينة/الفرع.</w:t>
            </w:r>
          </w:p>
        </w:tc>
        <w:tc>
          <w:tcPr>
            <w:tcW w:type="dxa" w:w="3742"/>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يعكس موقع المخزون الحقيقي.</w:t>
            </w:r>
          </w:p>
        </w:tc>
      </w:tr>
      <w:tr>
        <w:tc>
          <w:tcPr>
            <w:tcW w:type="dxa" w:w="209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تأكيد التوفر</w:t>
            </w:r>
          </w:p>
        </w:tc>
        <w:tc>
          <w:tcPr>
            <w:tcW w:type="dxa" w:w="368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يعرف متى تم تأكيد وجود السيارة.</w:t>
            </w:r>
          </w:p>
        </w:tc>
        <w:tc>
          <w:tcPr>
            <w:tcW w:type="dxa" w:w="3742"/>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يؤكد المخزون فرديًا أو جماعيًا.</w:t>
            </w:r>
          </w:p>
        </w:tc>
      </w:tr>
      <w:tr>
        <w:tc>
          <w:tcPr>
            <w:tcW w:type="dxa" w:w="2098"/>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صفحة معرض</w:t>
            </w:r>
          </w:p>
        </w:tc>
        <w:tc>
          <w:tcPr>
            <w:tcW w:type="dxa" w:w="3685"/>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يشاهد مخزون المعرض وبياناته في مكان واحد.</w:t>
            </w:r>
          </w:p>
        </w:tc>
        <w:tc>
          <w:tcPr>
            <w:tcW w:type="dxa" w:w="3742"/>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واجهة عامة جاهزة للمعرض.</w:t>
            </w:r>
          </w:p>
        </w:tc>
      </w:tr>
      <w:tr>
        <w:tc>
          <w:tcPr>
            <w:tcW w:type="dxa" w:w="209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Lead منظم</w:t>
            </w:r>
          </w:p>
        </w:tc>
        <w:tc>
          <w:tcPr>
            <w:tcW w:type="dxa" w:w="368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يرسل طلب عرض سعر واضح.</w:t>
            </w:r>
          </w:p>
        </w:tc>
        <w:tc>
          <w:tcPr>
            <w:tcW w:type="dxa" w:w="3742"/>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يستقبل العميل مرتبطًا بسيارة وحالة.</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5. الجمهور المستهدف</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1814"/>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Persona</w:t>
            </w:r>
          </w:p>
        </w:tc>
        <w:tc>
          <w:tcPr>
            <w:tcW w:type="dxa" w:w="3628"/>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الهدف</w:t>
            </w:r>
          </w:p>
        </w:tc>
        <w:tc>
          <w:tcPr>
            <w:tcW w:type="dxa" w:w="4082"/>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السلوك المتوقع في MVP</w:t>
            </w:r>
          </w:p>
        </w:tc>
      </w:tr>
      <w:tr>
        <w:tc>
          <w:tcPr>
            <w:tcW w:type="dxa" w:w="1814"/>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باحث عن سيارة جديدة</w:t>
            </w:r>
          </w:p>
        </w:tc>
        <w:tc>
          <w:tcPr>
            <w:tcW w:type="dxa" w:w="362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الوصول لموديل وسعر مناسبين في مدينته.</w:t>
            </w:r>
          </w:p>
        </w:tc>
        <w:tc>
          <w:tcPr>
            <w:tcW w:type="dxa" w:w="4082"/>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بحث، فلترة، مقارنة النتائج، اتصال/واتساب/عرض سعر.</w:t>
            </w:r>
          </w:p>
        </w:tc>
      </w:tr>
      <w:tr>
        <w:tc>
          <w:tcPr>
            <w:tcW w:type="dxa" w:w="1814"/>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باحث عن سيارة مستعملة</w:t>
            </w:r>
          </w:p>
        </w:tc>
        <w:tc>
          <w:tcPr>
            <w:tcW w:type="dxa" w:w="3628"/>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إيجاد سيارة حسب السعر والسنة والممشى.</w:t>
            </w:r>
          </w:p>
        </w:tc>
        <w:tc>
          <w:tcPr>
            <w:tcW w:type="dxa" w:w="4082"/>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فلترة أدق ومراجعة حالة التوفر.</w:t>
            </w:r>
          </w:p>
        </w:tc>
      </w:tr>
      <w:tr>
        <w:tc>
          <w:tcPr>
            <w:tcW w:type="dxa" w:w="1814"/>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مالك معرض</w:t>
            </w:r>
          </w:p>
        </w:tc>
        <w:tc>
          <w:tcPr>
            <w:tcW w:type="dxa" w:w="362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عرض المخزون واستقبال عملاء دون نظام معقد.</w:t>
            </w:r>
          </w:p>
        </w:tc>
        <w:tc>
          <w:tcPr>
            <w:tcW w:type="dxa" w:w="4082"/>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إدارة السيارات والموظفين والفرع الرئيسي.</w:t>
            </w:r>
          </w:p>
        </w:tc>
      </w:tr>
      <w:tr>
        <w:tc>
          <w:tcPr>
            <w:tcW w:type="dxa" w:w="1814"/>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مندوب مبيعات</w:t>
            </w:r>
          </w:p>
        </w:tc>
        <w:tc>
          <w:tcPr>
            <w:tcW w:type="dxa" w:w="3628"/>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متابعة الطلبات المرتبطة بسيارات محددة.</w:t>
            </w:r>
          </w:p>
        </w:tc>
        <w:tc>
          <w:tcPr>
            <w:tcW w:type="dxa" w:w="4082"/>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تغيير حالة Lead والتواصل معه.</w:t>
            </w:r>
          </w:p>
        </w:tc>
      </w:tr>
      <w:tr>
        <w:tc>
          <w:tcPr>
            <w:tcW w:type="dxa" w:w="1814"/>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مدير المنصة</w:t>
            </w:r>
          </w:p>
        </w:tc>
        <w:tc>
          <w:tcPr>
            <w:tcW w:type="dxa" w:w="3628"/>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ضبط جودة السوق واعتماد المعارض.</w:t>
            </w:r>
          </w:p>
        </w:tc>
        <w:tc>
          <w:tcPr>
            <w:tcW w:type="dxa" w:w="4082"/>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اعتماد/تعليق المعارض وإدارة البيانات المرجعية.</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6. نطاق الـMVP — Marketplace للعميل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تصفح المنصة دون تسجيل.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اختيار المدينة أو كل السعودية.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البحث بالماركة والموديل.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اختيار جديدة أو مستعملة.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فلاتر: السعر، السنة، الممشى، ناقل الحركة، الوقود، نوع الهيكل.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فرز: الأحدث، الأقل سعرًا، الأعلى سعرًا، الأقل ممشى، الأحدث تأكيدًا للتوفر.</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صفحة تفاصيل السيارة.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صفحة عامة لكل 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الاتصال بالمعرض.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فتح واتساب برسالة مرتبطة بالسيارة.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طلب عرض سعر بعد التحقق برقم الجوال/OTP.</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المفضلة بعد تسجيل الدخول.</w:t>
      </w:r>
    </w:p>
    <w:p>
      <w:pPr>
        <w:spacing w:before="180" w:after="80"/>
        <w:jc w:val="right"/>
        <w:keepNext/>
        <w:bidi w:val="1"/>
        <w:pBdr>
          <w:bottom w:val="single" w:sz="8" w:space="4" w:color="1D7A73"/>
        </w:pBdr>
      </w:pPr>
      <w:r>
        <w:rPr>
          <w:rFonts w:ascii="Noto Kufi Arabic" w:hAnsi="Noto Kufi Arabic" w:cs="Noto Kufi Arabic"/>
          <w:b/>
          <w:color w:val="16324F"/>
          <w:sz w:val="32"/>
        </w:rPr>
        <w:t>7. نطاق الـMVP — SaaS للمعرض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إنشاء Tenant بعد اعتماد المنشأة.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فرع رئيسي واحد في تجربة الـPilot، مع دعم Branch ككيان مستقل في المعمارية.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أدوار أساسية: مالك، مدير، مندوب مبيعات.</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إضافة وتعديل وأرشفة سيارة.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رفع صور السيارة وتحديد صورة رئيسية.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استيراد مخزون من Excel/CSV.</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تعديل السعر.</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تأكيد التوفر فرديًا وجماعيًا.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الحالات التشغيلية: متوفرة، محجوزة، مباعة، غير متاحة.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قائمة Leads مرتبطة بالسيارة والفرع.</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حالات Lead مبسطة: جديد، تم التواصل، مهتم، موعد، تم البيع، لم تتم الصفقة.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Dashboard يركز على: Leads الجديدة، سيارات تحتاج تأكيد، سيارات محجوزة/مباعة.</w:t>
      </w:r>
    </w:p>
    <w:p>
      <w:pPr>
        <w:spacing w:before="180" w:after="80"/>
        <w:jc w:val="right"/>
        <w:keepNext/>
        <w:bidi w:val="1"/>
        <w:pBdr>
          <w:bottom w:val="single" w:sz="8" w:space="4" w:color="1D7A73"/>
        </w:pBdr>
      </w:pPr>
      <w:r>
        <w:rPr>
          <w:rFonts w:ascii="Noto Kufi Arabic" w:hAnsi="Noto Kufi Arabic" w:cs="Noto Kufi Arabic"/>
          <w:b/>
          <w:color w:val="16324F"/>
          <w:sz w:val="32"/>
        </w:rPr>
        <w:t>8. نطاق الـMVP — Super Admin</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اعتماد/رفض/تعليق المعرض.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إدارة المدن.</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إدارة الماركات والموديلات.</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مراجعة/إيقاف سيارة عند الحاجة.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مشاهدة مؤشرات عامة للمخزون والـLeads.</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تفعيل خطة Pilot يدويًا للمعرض.</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Audit Log أساسي للعمليات الحساسة.</w:t>
      </w:r>
    </w:p>
    <w:p>
      <w:pPr>
        <w:spacing w:before="180" w:after="80"/>
        <w:jc w:val="right"/>
        <w:keepNext/>
        <w:bidi w:val="1"/>
        <w:pBdr>
          <w:bottom w:val="single" w:sz="8" w:space="4" w:color="1D7A73"/>
        </w:pBdr>
      </w:pPr>
      <w:r>
        <w:rPr>
          <w:rFonts w:ascii="Noto Kufi Arabic" w:hAnsi="Noto Kufi Arabic" w:cs="Noto Kufi Arabic"/>
          <w:b/>
          <w:color w:val="16324F"/>
          <w:sz w:val="32"/>
        </w:rPr>
        <w:t>9. البحث والتصفح حسب الموقع</w:t>
      </w:r>
    </w:p>
    <w:p>
      <w:pPr>
        <w:spacing w:after="80" w:line="288" w:lineRule="auto"/>
        <w:jc w:val="right"/>
        <w:bidi w:val="1"/>
      </w:pPr>
      <w:r>
        <w:rPr>
          <w:rFonts w:ascii="Noto Sans Arabic" w:hAnsi="Noto Sans Arabic" w:cs="Noto Sans Arabic"/>
          <w:b w:val="0"/>
          <w:color w:val="202428"/>
          <w:sz w:val="21"/>
        </w:rPr>
        <w:t>البحث بالمدينة جزء أساسي من المنتج. السيارة لا ترتبط مباشرة بمدينة المعرض فقط، بل ترتبط بفرع، والفرع يرتبط بمدينة. هذا يسمح مستقبلًا بدعم عدة فروع دون إعادة تصميم.</w:t>
      </w:r>
    </w:p>
    <w:tbl>
      <w:tblPr>
        <w:tblStyle w:val="TableGrid"/>
        <w:tblW w:type="auto" w:w="0"/>
        <w:jc w:val="center"/>
        <w:tblLayout w:type="fixed"/>
        <w:tblLook w:firstColumn="1" w:firstRow="1" w:lastColumn="0" w:lastRow="0" w:noHBand="0" w:noVBand="1" w:val="04A0"/>
      </w:tblPr>
      <w:tblGrid>
        <w:gridCol w:w="5100"/>
        <w:gridCol w:w="5100"/>
      </w:tblGrid>
      <w:tr>
        <w:tc>
          <w:tcPr>
            <w:tcW w:type="dxa" w:w="2835"/>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المفهوم</w:t>
            </w:r>
          </w:p>
        </w:tc>
        <w:tc>
          <w:tcPr>
            <w:tcW w:type="dxa" w:w="6690"/>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القرار</w:t>
            </w:r>
          </w:p>
        </w:tc>
      </w:tr>
      <w:tr>
        <w:tc>
          <w:tcPr>
            <w:tcW w:type="dxa" w:w="283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City</w:t>
            </w:r>
          </w:p>
        </w:tc>
        <w:tc>
          <w:tcPr>
            <w:tcW w:type="dxa" w:w="669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بيانات مرجعية عالمية.</w:t>
            </w:r>
          </w:p>
        </w:tc>
      </w:tr>
      <w:tr>
        <w:tc>
          <w:tcPr>
            <w:tcW w:type="dxa" w:w="2835"/>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Branch</w:t>
            </w:r>
          </w:p>
        </w:tc>
        <w:tc>
          <w:tcPr>
            <w:tcW w:type="dxa" w:w="6690"/>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كيان مستقل داخل Tenant.</w:t>
            </w:r>
          </w:p>
        </w:tc>
      </w:tr>
      <w:tr>
        <w:tc>
          <w:tcPr>
            <w:tcW w:type="dxa" w:w="283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Vehicle</w:t>
            </w:r>
          </w:p>
        </w:tc>
        <w:tc>
          <w:tcPr>
            <w:tcW w:type="dxa" w:w="669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يرتبط بـ BranchId.</w:t>
            </w:r>
          </w:p>
        </w:tc>
      </w:tr>
      <w:tr>
        <w:tc>
          <w:tcPr>
            <w:tcW w:type="dxa" w:w="2835"/>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MVP</w:t>
            </w:r>
          </w:p>
        </w:tc>
        <w:tc>
          <w:tcPr>
            <w:tcW w:type="dxa" w:w="6690"/>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يسمح بفرع رئيسي واحد افتراضيًا.</w:t>
            </w:r>
          </w:p>
        </w:tc>
      </w:tr>
      <w:tr>
        <w:tc>
          <w:tcPr>
            <w:tcW w:type="dxa" w:w="283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المستقبل</w:t>
            </w:r>
          </w:p>
        </w:tc>
        <w:tc>
          <w:tcPr>
            <w:tcW w:type="dxa" w:w="6690"/>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تفعيل فروع إضافية حسب الباقة دون تغيير نموذج البيانات.</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10. قواعد توفر السيارة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كل سيارة منشورة يجب أن تحمل حالة توفر وتاريخ آخر تأكيد.</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المعرض يستطيع تأكيد مجموعة سيارات دفعة واحدة.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عند تجاوز مدة التأكيد تنتقل السيارة إلى حالة يحتاج التوفر إلى تأكيد.</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بعد مهلة إضافية يمكن إخفاؤها تلقائيًا من النتائج حتى إعادة التأكيد.</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السيارة المباعة لا تظهر في نتائج البحث العامة.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الحجز لا يساوي البيع ويجب أن تكون له حالة مستقلة.</w:t>
      </w:r>
    </w:p>
    <w:p>
      <w:pPr>
        <w:spacing w:before="180" w:after="80"/>
        <w:jc w:val="right"/>
        <w:keepNext/>
        <w:bidi w:val="1"/>
        <w:pBdr>
          <w:bottom w:val="single" w:sz="8" w:space="4" w:color="1D7A73"/>
        </w:pBdr>
      </w:pPr>
      <w:r>
        <w:rPr>
          <w:rFonts w:ascii="Noto Kufi Arabic" w:hAnsi="Noto Kufi Arabic" w:cs="Noto Kufi Arabic"/>
          <w:b/>
          <w:color w:val="16324F"/>
          <w:sz w:val="32"/>
        </w:rPr>
        <w:t>11. رحلة العميل الرئيسية</w:t>
      </w:r>
    </w:p>
    <w:tbl>
      <w:tblPr>
        <w:tblStyle w:val="TableGrid"/>
        <w:tblW w:type="auto" w:w="0"/>
        <w:jc w:val="center"/>
        <w:tblLayout w:type="fixed"/>
        <w:tblLook w:firstColumn="1" w:firstRow="1" w:lastColumn="0" w:lastRow="0" w:noHBand="0" w:noVBand="1" w:val="04A0"/>
      </w:tblPr>
      <w:tblGrid>
        <w:gridCol w:w="5100"/>
        <w:gridCol w:w="5100"/>
      </w:tblGrid>
      <w:tr>
        <w:tc>
          <w:tcPr>
            <w:tcW w:type="dxa" w:w="1247"/>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الخطوة</w:t>
            </w:r>
          </w:p>
        </w:tc>
        <w:tc>
          <w:tcPr>
            <w:tcW w:type="dxa" w:w="8277"/>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التجربة</w:t>
            </w:r>
          </w:p>
        </w:tc>
      </w:tr>
      <w:tr>
        <w:tc>
          <w:tcPr>
            <w:tcW w:type="dxa" w:w="124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1</w:t>
            </w:r>
          </w:p>
        </w:tc>
        <w:tc>
          <w:tcPr>
            <w:tcW w:type="dxa" w:w="827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فتح المنصة واختيار المدينة.</w:t>
            </w:r>
          </w:p>
        </w:tc>
      </w:tr>
      <w:tr>
        <w:tc>
          <w:tcPr>
            <w:tcW w:type="dxa" w:w="124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2</w:t>
            </w:r>
          </w:p>
        </w:tc>
        <w:tc>
          <w:tcPr>
            <w:tcW w:type="dxa" w:w="827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اختيار جديدة/مستعملة أو البحث عن ماركة وموديل.</w:t>
            </w:r>
          </w:p>
        </w:tc>
      </w:tr>
      <w:tr>
        <w:tc>
          <w:tcPr>
            <w:tcW w:type="dxa" w:w="124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3</w:t>
            </w:r>
          </w:p>
        </w:tc>
        <w:tc>
          <w:tcPr>
            <w:tcW w:type="dxa" w:w="827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استخدام الفلاتر ومشاهدة سيارات معارض متعددة.</w:t>
            </w:r>
          </w:p>
        </w:tc>
      </w:tr>
      <w:tr>
        <w:tc>
          <w:tcPr>
            <w:tcW w:type="dxa" w:w="124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4</w:t>
            </w:r>
          </w:p>
        </w:tc>
        <w:tc>
          <w:tcPr>
            <w:tcW w:type="dxa" w:w="827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فتح صفحة السيارة ورؤية السعر والتوفر والمعرض.</w:t>
            </w:r>
          </w:p>
        </w:tc>
      </w:tr>
      <w:tr>
        <w:tc>
          <w:tcPr>
            <w:tcW w:type="dxa" w:w="124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5</w:t>
            </w:r>
          </w:p>
        </w:tc>
        <w:tc>
          <w:tcPr>
            <w:tcW w:type="dxa" w:w="827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اتصال أو واتساب أو طلب عرض سعر.</w:t>
            </w:r>
          </w:p>
        </w:tc>
      </w:tr>
      <w:tr>
        <w:tc>
          <w:tcPr>
            <w:tcW w:type="dxa" w:w="124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6</w:t>
            </w:r>
          </w:p>
        </w:tc>
        <w:tc>
          <w:tcPr>
            <w:tcW w:type="dxa" w:w="827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في طلب عرض السعر: OTP ثم إنشاء Lead للمعرض الصحيح.</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12. رحلة المعرض الرئيسية</w:t>
      </w:r>
    </w:p>
    <w:tbl>
      <w:tblPr>
        <w:tblStyle w:val="TableGrid"/>
        <w:tblW w:type="auto" w:w="0"/>
        <w:jc w:val="center"/>
        <w:tblLayout w:type="fixed"/>
        <w:tblLook w:firstColumn="1" w:firstRow="1" w:lastColumn="0" w:lastRow="0" w:noHBand="0" w:noVBand="1" w:val="04A0"/>
      </w:tblPr>
      <w:tblGrid>
        <w:gridCol w:w="5100"/>
        <w:gridCol w:w="5100"/>
      </w:tblGrid>
      <w:tr>
        <w:tc>
          <w:tcPr>
            <w:tcW w:type="dxa" w:w="1247"/>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الخطوة</w:t>
            </w:r>
          </w:p>
        </w:tc>
        <w:tc>
          <w:tcPr>
            <w:tcW w:type="dxa" w:w="8277"/>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التجربة</w:t>
            </w:r>
          </w:p>
        </w:tc>
      </w:tr>
      <w:tr>
        <w:tc>
          <w:tcPr>
            <w:tcW w:type="dxa" w:w="124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1</w:t>
            </w:r>
          </w:p>
        </w:tc>
        <w:tc>
          <w:tcPr>
            <w:tcW w:type="dxa" w:w="827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تسجيل المنشأة وإرسالها للاعتماد.</w:t>
            </w:r>
          </w:p>
        </w:tc>
      </w:tr>
      <w:tr>
        <w:tc>
          <w:tcPr>
            <w:tcW w:type="dxa" w:w="124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2</w:t>
            </w:r>
          </w:p>
        </w:tc>
        <w:tc>
          <w:tcPr>
            <w:tcW w:type="dxa" w:w="827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إنشاء الفرع الرئيسي.</w:t>
            </w:r>
          </w:p>
        </w:tc>
      </w:tr>
      <w:tr>
        <w:tc>
          <w:tcPr>
            <w:tcW w:type="dxa" w:w="124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3</w:t>
            </w:r>
          </w:p>
        </w:tc>
        <w:tc>
          <w:tcPr>
            <w:tcW w:type="dxa" w:w="827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إضافة السيارات يدويًا أو استيراد Excel.</w:t>
            </w:r>
          </w:p>
        </w:tc>
      </w:tr>
      <w:tr>
        <w:tc>
          <w:tcPr>
            <w:tcW w:type="dxa" w:w="124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4</w:t>
            </w:r>
          </w:p>
        </w:tc>
        <w:tc>
          <w:tcPr>
            <w:tcW w:type="dxa" w:w="827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نشر السيارات بعد اكتمال البيانات.</w:t>
            </w:r>
          </w:p>
        </w:tc>
      </w:tr>
      <w:tr>
        <w:tc>
          <w:tcPr>
            <w:tcW w:type="dxa" w:w="124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5</w:t>
            </w:r>
          </w:p>
        </w:tc>
        <w:tc>
          <w:tcPr>
            <w:tcW w:type="dxa" w:w="827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تأكيد توفر المخزون دوريًا.</w:t>
            </w:r>
          </w:p>
        </w:tc>
      </w:tr>
      <w:tr>
        <w:tc>
          <w:tcPr>
            <w:tcW w:type="dxa" w:w="124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6</w:t>
            </w:r>
          </w:p>
        </w:tc>
        <w:tc>
          <w:tcPr>
            <w:tcW w:type="dxa" w:w="8277"/>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استقبال Leads وتحديث حالتها.</w:t>
            </w:r>
          </w:p>
        </w:tc>
      </w:tr>
      <w:tr>
        <w:tc>
          <w:tcPr>
            <w:tcW w:type="dxa" w:w="124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7</w:t>
            </w:r>
          </w:p>
        </w:tc>
        <w:tc>
          <w:tcPr>
            <w:tcW w:type="dxa" w:w="8277"/>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عند حجز/بيع السيارة تتغير حالة ظهورها في السوق.</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13. قواعد العمل الأساسية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BR-01 — لا يستطيع معرض غير معتمد نشر سيارات عامة.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BR-02 — كل سيارة عامة تتبع Tenant وBranch محددين.</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BR-03 — لا يستطيع موظف Tenant الوصول إلى بيانات Tenant آخر.</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BR-04 — Stock Number يكون فريدًا داخل Tenant وليس على مستوى المنصة كلها.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BR-05 — المستخدم النهائي يمكنه تصفح السوق دون تسجيل.</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BR-06 — طلب عرض السعر يحتاج جوالًا موثقًا بالـOTP.</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BR-07 — Lead ينشأ داخل Tenant مالك السيارة.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BR-08 — السيارة المباعة تزال من نتائج البحث فورًا.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BR-09 — البحث بالمدينة يستخدم مدينة الفرع الذي توجد فيه السيارة.</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BR-10 — الفلاتر لا تعرض سيارات خارج شروط المستخدم حتى لو كانت مروجة مستقبلًا.</w:t>
      </w:r>
    </w:p>
    <w:p>
      <w:pPr>
        <w:spacing w:before="180" w:after="80"/>
        <w:jc w:val="right"/>
        <w:keepNext/>
        <w:bidi w:val="1"/>
        <w:pBdr>
          <w:bottom w:val="single" w:sz="8" w:space="4" w:color="1D7A73"/>
        </w:pBdr>
      </w:pPr>
      <w:r>
        <w:rPr>
          <w:rFonts w:ascii="Noto Kufi Arabic" w:hAnsi="Noto Kufi Arabic" w:cs="Noto Kufi Arabic"/>
          <w:b/>
          <w:color w:val="16324F"/>
          <w:sz w:val="32"/>
        </w:rPr>
        <w:t>14. نموذج SaaS في الـPilot</w:t>
      </w:r>
    </w:p>
    <w:p>
      <w:pPr>
        <w:spacing w:after="80" w:line="288" w:lineRule="auto"/>
        <w:jc w:val="right"/>
        <w:bidi w:val="1"/>
      </w:pPr>
      <w:r>
        <w:rPr>
          <w:rFonts w:ascii="Noto Sans Arabic" w:hAnsi="Noto Sans Arabic" w:cs="Noto Sans Arabic"/>
          <w:b w:val="0"/>
          <w:color w:val="202428"/>
          <w:sz w:val="21"/>
        </w:rPr>
        <w:t>الـMVP يدعم مفهوم الخطة والحدود، لكن لا يحتاج في أول Pilot إلى دورة دفع وفوترة كاملة. يمكن للإدارة تفعيل الخطة يدويًا إلى أن نثبت استعداد المعارض للدفع.</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1871"/>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الخطة</w:t>
            </w:r>
          </w:p>
        </w:tc>
        <w:tc>
          <w:tcPr>
            <w:tcW w:type="dxa" w:w="3515"/>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الحد المبدئي</w:t>
            </w:r>
          </w:p>
        </w:tc>
        <w:tc>
          <w:tcPr>
            <w:tcW w:type="dxa" w:w="4139"/>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ملاحظة</w:t>
            </w:r>
          </w:p>
        </w:tc>
      </w:tr>
      <w:tr>
        <w:tc>
          <w:tcPr>
            <w:tcW w:type="dxa" w:w="1871"/>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Starter</w:t>
            </w:r>
          </w:p>
        </w:tc>
        <w:tc>
          <w:tcPr>
            <w:tcW w:type="dxa" w:w="351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فرع رئيسي واحد، حتى 50 سيارة، 3 موظفين</w:t>
            </w:r>
          </w:p>
        </w:tc>
        <w:tc>
          <w:tcPr>
            <w:tcW w:type="dxa" w:w="4139"/>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للـPilot والمعارض الصغيرة.</w:t>
            </w:r>
          </w:p>
        </w:tc>
      </w:tr>
      <w:tr>
        <w:tc>
          <w:tcPr>
            <w:tcW w:type="dxa" w:w="1871"/>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Pro</w:t>
            </w:r>
          </w:p>
        </w:tc>
        <w:tc>
          <w:tcPr>
            <w:tcW w:type="dxa" w:w="3515"/>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حدود أعلى قابلة للضبط</w:t>
            </w:r>
          </w:p>
        </w:tc>
        <w:tc>
          <w:tcPr>
            <w:tcW w:type="dxa" w:w="4139"/>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يمكن تفعيلها يدويًا دون Billing كامل.</w:t>
            </w:r>
          </w:p>
        </w:tc>
      </w:tr>
      <w:tr>
        <w:tc>
          <w:tcPr>
            <w:tcW w:type="dxa" w:w="1871"/>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Enterprise</w:t>
            </w:r>
          </w:p>
        </w:tc>
        <w:tc>
          <w:tcPr>
            <w:tcW w:type="dxa" w:w="3515"/>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خارج MVP</w:t>
            </w:r>
          </w:p>
        </w:tc>
        <w:tc>
          <w:tcPr>
            <w:tcW w:type="dxa" w:w="4139"/>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لاحقًا حسب الحاجة.</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15. خارج نطاق الـMVP</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شراء السيارة والدفع بقيمتها داخل المنصة.</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نقل الملكية.</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محادثة داخلية كاملة.</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مزادات.</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تقييمات عامة متقدمة.</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Trade-In آلي.</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قرار تمويل أو تكامل بنكي كامل.</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AI Search / Recommendations / Lead Scoring.</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Native iOS/Android.</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White Label وCustom Domains.</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Microservices.</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OpenSearch/Elasticsearch.</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Database per Tenant كخيار افتراضي.</w:t>
      </w:r>
    </w:p>
    <w:p>
      <w:pPr>
        <w:spacing w:after="10" w:line="245"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بوابة Billing كاملة.</w:t>
      </w:r>
    </w:p>
    <w:p>
      <w:pPr>
        <w:spacing w:before="180" w:after="80"/>
        <w:jc w:val="right"/>
        <w:keepNext/>
        <w:bidi w:val="1"/>
        <w:pageBreakBefore w:val="0"/>
        <w:pBdr>
          <w:bottom w:val="single" w:sz="8" w:space="4" w:color="1D7A73"/>
        </w:pBdr>
      </w:pPr>
      <w:r>
        <w:rPr>
          <w:rFonts w:ascii="Noto Kufi Arabic" w:hAnsi="Noto Kufi Arabic" w:cs="Noto Kufi Arabic"/>
          <w:b/>
          <w:color w:val="16324F"/>
          <w:sz w:val="32"/>
        </w:rPr>
        <w:t>16. مؤشرات نجاح الـPilot</w:t>
      </w:r>
    </w:p>
    <w:tbl>
      <w:tblPr>
        <w:tblStyle w:val="TableGrid"/>
        <w:tblW w:type="auto" w:w="0"/>
        <w:jc w:val="center"/>
        <w:tblLayout w:type="fixed"/>
        <w:tblLook w:firstColumn="1" w:firstRow="1" w:lastColumn="0" w:lastRow="0" w:noHBand="0" w:noVBand="1" w:val="04A0"/>
      </w:tblPr>
      <w:tblGrid>
        <w:gridCol w:w="5100"/>
        <w:gridCol w:w="5100"/>
      </w:tblGrid>
      <w:tr>
        <w:tc>
          <w:tcPr>
            <w:tcW w:type="dxa" w:w="3515"/>
            <w:shd w:fill="16324F"/>
            <w:tcMar>
              <w:top w:w="45" w:type="dxa"/>
              <w:start w:w="65" w:type="dxa"/>
              <w:bottom w:w="45" w:type="dxa"/>
              <w:end w:w="65" w:type="dxa"/>
            </w:tcMar>
            <w:vAlign w:val="center"/>
          </w:tcPr>
          <w:p>
            <w:pPr>
              <w:spacing w:after="0" w:line="240" w:lineRule="auto"/>
              <w:jc w:val="center"/>
              <w:bidi w:val="1"/>
            </w:pPr>
            <w:r>
              <w:rPr>
                <w:rFonts w:ascii="Noto Sans Arabic" w:hAnsi="Noto Sans Arabic" w:cs="Noto Sans Arabic"/>
                <w:b/>
                <w:color w:val="FFFFFF"/>
                <w:sz w:val="17"/>
              </w:rPr>
              <w:t>المؤشر</w:t>
            </w:r>
          </w:p>
        </w:tc>
        <w:tc>
          <w:tcPr>
            <w:tcW w:type="dxa" w:w="6009"/>
            <w:shd w:fill="16324F"/>
            <w:tcMar>
              <w:top w:w="45" w:type="dxa"/>
              <w:start w:w="65" w:type="dxa"/>
              <w:bottom w:w="45" w:type="dxa"/>
              <w:end w:w="65" w:type="dxa"/>
            </w:tcMar>
            <w:vAlign w:val="center"/>
          </w:tcPr>
          <w:p>
            <w:pPr>
              <w:spacing w:after="0" w:line="240" w:lineRule="auto"/>
              <w:jc w:val="center"/>
              <w:bidi w:val="1"/>
            </w:pPr>
            <w:r>
              <w:rPr>
                <w:rFonts w:ascii="Noto Sans Arabic" w:hAnsi="Noto Sans Arabic" w:cs="Noto Sans Arabic"/>
                <w:b/>
                <w:color w:val="FFFFFF"/>
                <w:sz w:val="17"/>
              </w:rPr>
              <w:t>الهدف من القياس</w:t>
            </w:r>
          </w:p>
        </w:tc>
      </w:tr>
      <w:tr>
        <w:tc>
          <w:tcPr>
            <w:tcW w:type="dxa" w:w="3515"/>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Qualified Leads per Active Vehicle</w:t>
            </w:r>
          </w:p>
        </w:tc>
        <w:tc>
          <w:tcPr>
            <w:tcW w:type="dxa" w:w="6009"/>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هل المنصة تولد قيمة للمعرض؟</w:t>
            </w:r>
          </w:p>
        </w:tc>
      </w:tr>
      <w:tr>
        <w:tc>
          <w:tcPr>
            <w:tcW w:type="dxa" w:w="3515"/>
            <w:shd w:fill="F8FAFB"/>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Availability Confirmation Rate</w:t>
            </w:r>
          </w:p>
        </w:tc>
        <w:tc>
          <w:tcPr>
            <w:tcW w:type="dxa" w:w="6009"/>
            <w:shd w:fill="F8FAFB"/>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هل المخزون يبقى حديثًا؟</w:t>
            </w:r>
          </w:p>
        </w:tc>
      </w:tr>
      <w:tr>
        <w:tc>
          <w:tcPr>
            <w:tcW w:type="dxa" w:w="3515"/>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sz w:val="16"/>
              </w:rPr>
              <w:t>معدل الانتقال من البحث إلى صفحة السيارة</w:t>
            </w:r>
          </w:p>
        </w:tc>
        <w:tc>
          <w:tcPr>
            <w:tcW w:type="dxa" w:w="6009"/>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هل البحث والفلاتر تساعد المستخدم؟</w:t>
            </w:r>
          </w:p>
        </w:tc>
      </w:tr>
      <w:tr>
        <w:tc>
          <w:tcPr>
            <w:tcW w:type="dxa" w:w="3515"/>
            <w:shd w:fill="F8FAFB"/>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sz w:val="16"/>
              </w:rPr>
              <w:t>معدل الانتقال من صفحة السيارة إلى التواصل</w:t>
            </w:r>
          </w:p>
        </w:tc>
        <w:tc>
          <w:tcPr>
            <w:tcW w:type="dxa" w:w="6009"/>
            <w:shd w:fill="F8FAFB"/>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هل صفحة السيارة تقود للتواصل؟</w:t>
            </w:r>
          </w:p>
        </w:tc>
      </w:tr>
      <w:tr>
        <w:tc>
          <w:tcPr>
            <w:tcW w:type="dxa" w:w="3515"/>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Median Dealer Response Time</w:t>
            </w:r>
          </w:p>
        </w:tc>
        <w:tc>
          <w:tcPr>
            <w:tcW w:type="dxa" w:w="6009"/>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هل المعارض تتابع العملاء بسرعة؟</w:t>
            </w:r>
          </w:p>
        </w:tc>
      </w:tr>
      <w:tr>
        <w:tc>
          <w:tcPr>
            <w:tcW w:type="dxa" w:w="3515"/>
            <w:shd w:fill="F8FAFB"/>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Sold-but-Still-Published Rate</w:t>
            </w:r>
          </w:p>
        </w:tc>
        <w:tc>
          <w:tcPr>
            <w:tcW w:type="dxa" w:w="6009"/>
            <w:shd w:fill="F8FAFB"/>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هل تحديث البيع ينعكس على السوق؟</w:t>
            </w:r>
          </w:p>
        </w:tc>
      </w:tr>
      <w:tr>
        <w:tc>
          <w:tcPr>
            <w:tcW w:type="dxa" w:w="3515"/>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Weekly Active Dealer Staff</w:t>
            </w:r>
          </w:p>
        </w:tc>
        <w:tc>
          <w:tcPr>
            <w:tcW w:type="dxa" w:w="6009"/>
            <w:tcMar>
              <w:top w:w="45" w:type="dxa"/>
              <w:start w:w="65" w:type="dxa"/>
              <w:bottom w:w="45" w:type="dxa"/>
              <w:end w:w="65" w:type="dxa"/>
            </w:tcMar>
            <w:vAlign w:val="center"/>
          </w:tcPr>
          <w:p>
            <w:pPr>
              <w:spacing w:after="0" w:line="240" w:lineRule="auto"/>
              <w:jc w:val="right"/>
              <w:bidi w:val="1"/>
            </w:pPr>
            <w:r>
              <w:rPr>
                <w:rFonts w:ascii="Noto Sans Arabic" w:hAnsi="Noto Sans Arabic" w:cs="Noto Sans Arabic"/>
                <w:b w:val="0"/>
                <w:color w:val="202428"/>
                <w:sz w:val="16"/>
              </w:rPr>
              <w:t>هل SaaS يدخل في الاستخدام اليومي؟</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17. معايير قبول الـMVP</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AC-01 — اعتماد معرض وإنشاء Tenant.</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AC-02 — إنشاء فرع رئيسي للمعرض.</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AC-03 — إضافة سيارات يدويًا ومن Excel.</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AC-04 — ربط كل سيارة بفرع ومدينة.</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AC-05 — بحث حسب المدينة والماركة والموديل والسعر والسنة والممشى.</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AC-06 — عرض حالة التوفر وآخر تأكيد في صفحة السيارة.</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AC-07 — تأكيد توفر جماعي من لوحة المعرض.</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AC-08 — إخفاء السيارة المباعة من البحث.</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AC-09 — إنشاء Lead صحيح عند طلب عرض سعر.</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AC-10 — تحديث حالة Lead من لوحة المعرض.</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AC-11 — منع وصول Tenant A إلى بيانات Tenant B.</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AC-12 — عمل الواجهات عربي/RTL/Mobile First.</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AC-13 — تمكين الإدارة من اعتماد/تعليق المعرض.</w:t>
      </w:r>
    </w:p>
    <w:p>
      <w:pPr>
        <w:spacing w:after="4" w:line="240" w:lineRule="auto"/>
        <w:ind w:right="0"/>
        <w:jc w:val="right"/>
        <w:bidi w:val="1"/>
      </w:pPr>
      <w:r>
        <w:rPr>
          <w:rFonts w:ascii="Noto Sans Arabic" w:hAnsi="Noto Sans Arabic" w:cs="Noto Sans Arabic"/>
          <w:b/>
          <w:color w:val="1D7A73"/>
          <w:sz w:val="18"/>
        </w:rPr>
        <w:t xml:space="preserve">• </w:t>
      </w:r>
      <w:r>
        <w:rPr>
          <w:rFonts w:ascii="Noto Sans Arabic" w:hAnsi="Noto Sans Arabic" w:cs="Noto Sans Arabic"/>
          <w:b w:val="0"/>
          <w:color w:val="202428"/>
          <w:sz w:val="18"/>
        </w:rPr>
        <w:t>AC-14 — تسجيل أحداث أساسية: بحث، مشاهدة سيارة، اتصال، واتساب، Lead.</w:t>
      </w:r>
    </w:p>
    <w:p>
      <w:pPr>
        <w:spacing w:before="180" w:after="80"/>
        <w:jc w:val="right"/>
        <w:keepNext/>
        <w:bidi w:val="1"/>
        <w:pageBreakBefore/>
        <w:pBdr>
          <w:bottom w:val="single" w:sz="8" w:space="4" w:color="1D7A73"/>
        </w:pBdr>
      </w:pPr>
      <w:r>
        <w:rPr>
          <w:rFonts w:ascii="Noto Kufi Arabic" w:hAnsi="Noto Kufi Arabic" w:cs="Noto Kufi Arabic"/>
          <w:b/>
          <w:color w:val="16324F"/>
          <w:sz w:val="32"/>
        </w:rPr>
        <w:t>18. المخاطر الرئيسية</w:t>
      </w:r>
    </w:p>
    <w:tbl>
      <w:tblPr>
        <w:tblStyle w:val="TableGrid"/>
        <w:tblW w:type="auto" w:w="0"/>
        <w:jc w:val="center"/>
        <w:tblLayout w:type="fixed"/>
        <w:tblLook w:firstColumn="1" w:firstRow="1" w:lastColumn="0" w:lastRow="0" w:noHBand="0" w:noVBand="1" w:val="04A0"/>
      </w:tblPr>
      <w:tblGrid>
        <w:gridCol w:w="5100"/>
        <w:gridCol w:w="5100"/>
      </w:tblGrid>
      <w:tr>
        <w:tc>
          <w:tcPr>
            <w:tcW w:type="dxa" w:w="3402"/>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الخطر</w:t>
            </w:r>
          </w:p>
        </w:tc>
        <w:tc>
          <w:tcPr>
            <w:tcW w:type="dxa" w:w="6123"/>
            <w:shd w:fill="16324F"/>
            <w:tcMar>
              <w:top w:w="90" w:type="dxa"/>
              <w:start w:w="90" w:type="dxa"/>
              <w:bottom w:w="90" w:type="dxa"/>
              <w:end w:w="90" w:type="dxa"/>
            </w:tcMar>
            <w:vAlign w:val="center"/>
          </w:tcPr>
          <w:p>
            <w:pPr>
              <w:jc w:val="center"/>
              <w:bidi w:val="1"/>
            </w:pPr>
            <w:r>
              <w:rPr>
                <w:rFonts w:ascii="Noto Sans Arabic" w:hAnsi="Noto Sans Arabic" w:cs="Noto Sans Arabic"/>
                <w:b/>
                <w:color w:val="FFFFFF"/>
                <w:sz w:val="18"/>
              </w:rPr>
              <w:t>المعالجة في MVP</w:t>
            </w:r>
          </w:p>
        </w:tc>
      </w:tr>
      <w:tr>
        <w:tc>
          <w:tcPr>
            <w:tcW w:type="dxa" w:w="3402"/>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المعرض لا يحدث التوفر</w:t>
            </w:r>
          </w:p>
        </w:tc>
        <w:tc>
          <w:tcPr>
            <w:tcW w:type="dxa" w:w="6123"/>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تأكيد جماعي + تنبيهات + إخفاء بعد المهلة.</w:t>
            </w:r>
          </w:p>
        </w:tc>
      </w:tr>
      <w:tr>
        <w:tc>
          <w:tcPr>
            <w:tcW w:type="dxa" w:w="3402"/>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مخزون قليل في البداية</w:t>
            </w:r>
          </w:p>
        </w:tc>
        <w:tc>
          <w:tcPr>
            <w:tcW w:type="dxa" w:w="6123"/>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Pilot مركز مع عدد محدود من المعارض والمدن.</w:t>
            </w:r>
          </w:p>
        </w:tc>
      </w:tr>
      <w:tr>
        <w:tc>
          <w:tcPr>
            <w:tcW w:type="dxa" w:w="3402"/>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Excel Import معقد</w:t>
            </w:r>
          </w:p>
        </w:tc>
        <w:tc>
          <w:tcPr>
            <w:tcW w:type="dxa" w:w="6123"/>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قالب موحد + تحقق قبل الاستيراد.</w:t>
            </w:r>
          </w:p>
        </w:tc>
      </w:tr>
      <w:tr>
        <w:tc>
          <w:tcPr>
            <w:tcW w:type="dxa" w:w="3402"/>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Leads لا تتم متابعتها</w:t>
            </w:r>
          </w:p>
        </w:tc>
        <w:tc>
          <w:tcPr>
            <w:tcW w:type="dxa" w:w="6123"/>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Dashboard بسيط وحالات واضحة.</w:t>
            </w:r>
          </w:p>
        </w:tc>
      </w:tr>
      <w:tr>
        <w:tc>
          <w:tcPr>
            <w:tcW w:type="dxa" w:w="3402"/>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تسرب بيانات بين المعارض</w:t>
            </w:r>
          </w:p>
        </w:tc>
        <w:tc>
          <w:tcPr>
            <w:tcW w:type="dxa" w:w="6123"/>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TenantContext + Scoping + اختبارات Cross-Tenant.</w:t>
            </w:r>
          </w:p>
        </w:tc>
      </w:tr>
      <w:tr>
        <w:tc>
          <w:tcPr>
            <w:tcW w:type="dxa" w:w="3402"/>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تضخم النطاق</w:t>
            </w:r>
          </w:p>
        </w:tc>
        <w:tc>
          <w:tcPr>
            <w:tcW w:type="dxa" w:w="6123"/>
            <w:shd w:fill="F8FAFB"/>
            <w:tcMar>
              <w:top w:w="90" w:type="dxa"/>
              <w:start w:w="90" w:type="dxa"/>
              <w:bottom w:w="90" w:type="dxa"/>
              <w:end w:w="90" w:type="dxa"/>
            </w:tcMar>
            <w:vAlign w:val="center"/>
          </w:tcPr>
          <w:p>
            <w:pPr>
              <w:jc w:val="right"/>
              <w:bidi w:val="1"/>
            </w:pPr>
            <w:r>
              <w:rPr>
                <w:rFonts w:ascii="Noto Sans Arabic" w:hAnsi="Noto Sans Arabic" w:cs="Noto Sans Arabic"/>
                <w:b w:val="0"/>
                <w:color w:val="202428"/>
                <w:sz w:val="18"/>
              </w:rPr>
              <w:t>Post-MVP Backlog صارم.</w:t>
            </w:r>
          </w:p>
        </w:tc>
      </w:tr>
    </w:tbl>
    <w:p/>
    <w:p>
      <w:pPr>
        <w:spacing w:before="180" w:after="80"/>
        <w:jc w:val="right"/>
        <w:keepNext/>
        <w:bidi w:val="1"/>
        <w:pBdr>
          <w:bottom w:val="single" w:sz="8" w:space="4" w:color="1D7A73"/>
        </w:pBdr>
      </w:pPr>
      <w:r>
        <w:rPr>
          <w:rFonts w:ascii="Noto Kufi Arabic" w:hAnsi="Noto Kufi Arabic" w:cs="Noto Kufi Arabic"/>
          <w:b/>
          <w:color w:val="16324F"/>
          <w:sz w:val="32"/>
        </w:rPr>
        <w:t>19. ملاحظات واعتمادات</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هذه الوثيقة لا تمثل رأيًا قانونيًا أو ماليًا.</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متطلبات الخصوصية والتجارة الإلكترونية والتمويل يجب مراجعتها قبل الإطلاق الإنتاجي.</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أي تغيير في نطاق MVP يجب تسجيله واعتماده من مالك المنتج.</w:t>
      </w:r>
    </w:p>
    <w:p>
      <w:pPr>
        <w:spacing w:after="50" w:line="276" w:lineRule="auto"/>
        <w:ind w:right="0"/>
        <w:jc w:val="right"/>
        <w:bidi w:val="1"/>
      </w:pPr>
      <w:r>
        <w:rPr>
          <w:rFonts w:ascii="Noto Sans Arabic" w:hAnsi="Noto Sans Arabic" w:cs="Noto Sans Arabic"/>
          <w:b/>
          <w:color w:val="1D7A73"/>
          <w:sz w:val="20"/>
        </w:rPr>
        <w:t xml:space="preserve">• </w:t>
      </w:r>
      <w:r>
        <w:rPr>
          <w:rFonts w:ascii="Noto Sans Arabic" w:hAnsi="Noto Sans Arabic" w:cs="Noto Sans Arabic"/>
          <w:b w:val="0"/>
          <w:color w:val="202428"/>
          <w:sz w:val="20"/>
        </w:rPr>
        <w:t>الميزة التنافسية ستحتاج إثباتًا ببيانات Pilot ومقابلات مع المعارض والعملاء.</w:t>
      </w: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b w:val="0"/>
        <w:color w:val="66717A"/>
        <w:sz w:val="16"/>
      </w:rPr>
      <w:t>Baseline v1.0 | أغسطس 2026 | وثيقة داخلية قابلة للتحديث</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s="Noto Sans Arabic"/>
        <w:b/>
        <w:color w:val="66717A"/>
        <w:sz w:val="16"/>
      </w:rPr>
      <w:t>PRD MVP | Automotive Marketplace SaaS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