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right"/>
        <w:bidi w:val="1"/>
      </w:pPr>
      <w:r>
        <w:rPr>
          <w:rFonts w:ascii="Noto Kufi Arabic" w:hAnsi="Noto Kufi Arabic" w:cs="Noto Kufi Arabic"/>
          <w:b/>
          <w:color w:val="B88B3D"/>
          <w:sz w:val="58"/>
        </w:rPr>
        <w:t>SRS — MVP</w:t>
      </w:r>
    </w:p>
    <w:p>
      <w:pPr>
        <w:spacing w:after="160"/>
        <w:jc w:val="right"/>
        <w:bidi w:val="1"/>
      </w:pPr>
      <w:r>
        <w:rPr>
          <w:rFonts w:ascii="Noto Kufi Arabic" w:hAnsi="Noto Kufi Arabic" w:cs="Noto Kufi Arabic"/>
          <w:b/>
          <w:color w:val="16324F"/>
          <w:sz w:val="40"/>
        </w:rPr>
        <w:t>منصة موحدة لمعارض السيارات السعودية</w:t>
      </w:r>
    </w:p>
    <w:p>
      <w:pPr>
        <w:jc w:val="right"/>
        <w:bidi w:val="1"/>
      </w:pPr>
      <w:r>
        <w:rPr>
          <w:rFonts w:ascii="Noto Sans Arabic" w:hAnsi="Noto Sans Arabic" w:cs="Noto Sans Arabic"/>
          <w:b w:val="0"/>
          <w:color w:val="245E82"/>
          <w:sz w:val="23"/>
        </w:rPr>
        <w:t>Software Requirements Specification — Minimum Viable Product</w:t>
      </w:r>
    </w:p>
    <w:p/>
    <w:tbl>
      <w:tblPr>
        <w:tblW w:type="auto" w:w="0"/>
        <w:jc w:val="center"/>
        <w:tblLayout w:type="fixed"/>
        <w:tblLook w:firstColumn="1" w:firstRow="1" w:lastColumn="0" w:lastRow="0" w:noHBand="0" w:noVBand="1" w:val="04A0"/>
      </w:tblPr>
      <w:tblGrid>
        <w:gridCol w:w="10200"/>
      </w:tblGrid>
      <w:tr>
        <w:tc>
          <w:tcPr>
            <w:tcW w:type="dxa" w:w="10200"/>
            <w:shd w:fill="EAF3F4"/>
            <w:tcMar>
              <w:top w:w="150" w:type="dxa"/>
              <w:start w:w="190" w:type="dxa"/>
              <w:bottom w:w="150" w:type="dxa"/>
              <w:end w:w="190" w:type="dxa"/>
            </w:tcMar>
          </w:tcPr>
          <w:p>
            <w:pPr>
              <w:jc w:val="right"/>
              <w:bidi w:val="1"/>
            </w:pPr>
            <w:r>
              <w:rPr>
                <w:rFonts w:ascii="Noto Kufi Arabic" w:hAnsi="Noto Kufi Arabic" w:cs="Noto Kufi Arabic"/>
                <w:b/>
                <w:color w:val="1D7A73"/>
                <w:sz w:val="22"/>
              </w:rPr>
              <w:t>تعريف المنتج</w:t>
            </w:r>
          </w:p>
          <w:p>
            <w:pPr>
              <w:spacing w:after="0"/>
              <w:jc w:val="right"/>
              <w:bidi w:val="1"/>
            </w:pPr>
            <w:r>
              <w:rPr>
                <w:rFonts w:ascii="Noto Sans Arabic" w:hAnsi="Noto Sans Arabic" w:cs="Noto Sans Arabic"/>
                <w:b w:val="0"/>
                <w:color w:val="202428"/>
                <w:sz w:val="21"/>
              </w:rPr>
              <w:t>منصة واحدة يتصفح فيها المستخدم سيارات المعارض حسب المدينة والماركة والموديل والسعر والفلاتر، بينما يمتلك كل معرض لوحة SaaS مستقلة لإدارة مخزونه وتحديث توفر سياراته واستقبال العملاء المحتملين.</w:t>
            </w:r>
          </w:p>
        </w:tc>
      </w:tr>
    </w:tbl>
    <w:p/>
    <w:tbl>
      <w:tblPr>
        <w:tblStyle w:val="TableGrid"/>
        <w:tblW w:type="auto" w:w="0"/>
        <w:jc w:val="center"/>
        <w:tblLayout w:type="fixed"/>
        <w:tblLook w:firstColumn="1" w:firstRow="1" w:lastColumn="0" w:lastRow="0" w:noHBand="0" w:noVBand="1" w:val="04A0"/>
      </w:tblPr>
      <w:tblGrid>
        <w:gridCol w:w="5100"/>
        <w:gridCol w:w="5100"/>
      </w:tblGrid>
      <w:tr>
        <w:tc>
          <w:tcPr>
            <w:tcW w:type="dxa" w:w="2835"/>
            <w:shd w:fill="16324F"/>
            <w:tcMar>
              <w:top w:w="90" w:type="dxa"/>
              <w:start w:w="90" w:type="dxa"/>
              <w:bottom w:w="90" w:type="dxa"/>
              <w:end w:w="90" w:type="dxa"/>
            </w:tcMar>
            <w:vAlign w:val="center"/>
          </w:tcPr>
          <w:p>
            <w:pPr>
              <w:jc w:val="center"/>
              <w:bidi w:val="1"/>
            </w:pPr>
            <w:r>
              <w:rPr>
                <w:rFonts w:ascii="Noto Sans Arabic" w:hAnsi="Noto Sans Arabic" w:cs="Noto Sans Arabic"/>
                <w:b/>
                <w:color w:val="FFFFFF"/>
                <w:sz w:val="18"/>
              </w:rPr>
              <w:t>البند</w:t>
            </w:r>
          </w:p>
        </w:tc>
        <w:tc>
          <w:tcPr>
            <w:tcW w:type="dxa" w:w="6690"/>
            <w:shd w:fill="16324F"/>
            <w:tcMar>
              <w:top w:w="90" w:type="dxa"/>
              <w:start w:w="90" w:type="dxa"/>
              <w:bottom w:w="90" w:type="dxa"/>
              <w:end w:w="90" w:type="dxa"/>
            </w:tcMar>
            <w:vAlign w:val="center"/>
          </w:tcPr>
          <w:p>
            <w:pPr>
              <w:jc w:val="center"/>
              <w:bidi w:val="1"/>
            </w:pPr>
            <w:r>
              <w:rPr>
                <w:rFonts w:ascii="Noto Sans Arabic" w:hAnsi="Noto Sans Arabic" w:cs="Noto Sans Arabic"/>
                <w:b/>
                <w:color w:val="FFFFFF"/>
                <w:sz w:val="18"/>
              </w:rPr>
              <w:t>القيمة</w:t>
            </w:r>
          </w:p>
        </w:tc>
      </w:tr>
      <w:tr>
        <w:tc>
          <w:tcPr>
            <w:tcW w:type="dxa" w:w="2835"/>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السوق</w:t>
            </w:r>
          </w:p>
        </w:tc>
        <w:tc>
          <w:tcPr>
            <w:tcW w:type="dxa" w:w="6690"/>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المملكة العربية السعودية</w:t>
            </w:r>
          </w:p>
        </w:tc>
      </w:tr>
      <w:tr>
        <w:tc>
          <w:tcPr>
            <w:tcW w:type="dxa" w:w="2835"/>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نوع المنتج</w:t>
            </w:r>
          </w:p>
        </w:tc>
        <w:tc>
          <w:tcPr>
            <w:tcW w:type="dxa" w:w="6690"/>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Automotive Marketplace + SaaS Multi-Tenant</w:t>
            </w:r>
          </w:p>
        </w:tc>
      </w:tr>
      <w:tr>
        <w:tc>
          <w:tcPr>
            <w:tcW w:type="dxa" w:w="2835"/>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النطاق</w:t>
            </w:r>
          </w:p>
        </w:tc>
        <w:tc>
          <w:tcPr>
            <w:tcW w:type="dxa" w:w="6690"/>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MVP / Pilot</w:t>
            </w:r>
          </w:p>
        </w:tc>
      </w:tr>
      <w:tr>
        <w:tc>
          <w:tcPr>
            <w:tcW w:type="dxa" w:w="2835"/>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المعمارية</w:t>
            </w:r>
          </w:p>
        </w:tc>
        <w:tc>
          <w:tcPr>
            <w:tcW w:type="dxa" w:w="6690"/>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Shared Database + Shared Schema + TenantId</w:t>
            </w:r>
          </w:p>
        </w:tc>
      </w:tr>
      <w:tr>
        <w:tc>
          <w:tcPr>
            <w:tcW w:type="dxa" w:w="2835"/>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حالة الوثيقة</w:t>
            </w:r>
          </w:p>
        </w:tc>
        <w:tc>
          <w:tcPr>
            <w:tcW w:type="dxa" w:w="6690"/>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Baseline v1.0</w:t>
            </w:r>
          </w:p>
        </w:tc>
      </w:tr>
    </w:tbl>
    <w:p/>
    <w:p>
      <w:pPr>
        <w:pageBreakBefore/>
        <w:jc w:val="right"/>
        <w:bidi w:val="1"/>
      </w:pPr>
    </w:p>
    <w:p>
      <w:pPr>
        <w:spacing w:before="180" w:after="80"/>
        <w:jc w:val="right"/>
        <w:keepNext/>
        <w:bidi w:val="1"/>
        <w:pBdr>
          <w:bottom w:val="single" w:sz="8" w:space="4" w:color="1D7A73"/>
        </w:pBdr>
      </w:pPr>
      <w:r>
        <w:rPr>
          <w:rFonts w:ascii="Noto Kufi Arabic" w:hAnsi="Noto Kufi Arabic" w:cs="Noto Kufi Arabic"/>
          <w:b/>
          <w:color w:val="16324F"/>
          <w:sz w:val="32"/>
        </w:rPr>
        <w:t>1. الغرض والنطاق</w:t>
      </w:r>
    </w:p>
    <w:p>
      <w:pPr>
        <w:spacing w:after="80" w:line="288" w:lineRule="auto"/>
        <w:jc w:val="right"/>
        <w:bidi w:val="1"/>
      </w:pPr>
      <w:r>
        <w:rPr>
          <w:rFonts w:ascii="Noto Sans Arabic" w:hAnsi="Noto Sans Arabic" w:cs="Noto Sans Arabic"/>
          <w:b w:val="0"/>
          <w:color w:val="202428"/>
          <w:sz w:val="21"/>
        </w:rPr>
        <w:t>تصف هذه الوثيقة المتطلبات البرمجية للـMVP الخاص بمنصة سيارات موحدة لمعارض السيارات السعودية. وهي المرجع لفريق الهندسة والاختبار لتحديد ما يجب أن ينفذه النظام في النسخة الأولى وما لا يجب تنفيذه.</w:t>
      </w:r>
    </w:p>
    <w:p>
      <w:pPr>
        <w:spacing w:before="180" w:after="80"/>
        <w:jc w:val="right"/>
        <w:keepNext/>
        <w:bidi w:val="1"/>
        <w:pBdr>
          <w:bottom w:val="single" w:sz="8" w:space="4" w:color="1D7A73"/>
        </w:pBdr>
      </w:pPr>
      <w:r>
        <w:rPr>
          <w:rFonts w:ascii="Noto Kufi Arabic" w:hAnsi="Noto Kufi Arabic" w:cs="Noto Kufi Arabic"/>
          <w:b/>
          <w:color w:val="16324F"/>
          <w:sz w:val="32"/>
        </w:rPr>
        <w:t>2. نظرة عامة على النظام</w:t>
      </w:r>
    </w:p>
    <w:tbl>
      <w:tblPr>
        <w:tblStyle w:val="TableGrid"/>
        <w:tblW w:type="auto" w:w="0"/>
        <w:jc w:val="center"/>
        <w:tblLayout w:type="fixed"/>
        <w:tblLook w:firstColumn="1" w:firstRow="1" w:lastColumn="0" w:lastRow="0" w:noHBand="0" w:noVBand="1" w:val="04A0"/>
      </w:tblPr>
      <w:tblGrid>
        <w:gridCol w:w="5100"/>
        <w:gridCol w:w="5100"/>
      </w:tblGrid>
      <w:tr>
        <w:tc>
          <w:tcPr>
            <w:tcW w:type="dxa" w:w="2494"/>
            <w:shd w:fill="16324F"/>
            <w:tcMar>
              <w:top w:w="90" w:type="dxa"/>
              <w:start w:w="90" w:type="dxa"/>
              <w:bottom w:w="90" w:type="dxa"/>
              <w:end w:w="90" w:type="dxa"/>
            </w:tcMar>
            <w:vAlign w:val="center"/>
          </w:tcPr>
          <w:p>
            <w:pPr>
              <w:jc w:val="center"/>
              <w:bidi w:val="1"/>
            </w:pPr>
            <w:r>
              <w:rPr>
                <w:rFonts w:ascii="Noto Sans Arabic" w:hAnsi="Noto Sans Arabic" w:cs="Noto Sans Arabic"/>
                <w:b/>
                <w:color w:val="FFFFFF"/>
                <w:sz w:val="18"/>
              </w:rPr>
              <w:t>المكوّن</w:t>
            </w:r>
          </w:p>
        </w:tc>
        <w:tc>
          <w:tcPr>
            <w:tcW w:type="dxa" w:w="7030"/>
            <w:shd w:fill="16324F"/>
            <w:tcMar>
              <w:top w:w="90" w:type="dxa"/>
              <w:start w:w="90" w:type="dxa"/>
              <w:bottom w:w="90" w:type="dxa"/>
              <w:end w:w="90" w:type="dxa"/>
            </w:tcMar>
            <w:vAlign w:val="center"/>
          </w:tcPr>
          <w:p>
            <w:pPr>
              <w:jc w:val="center"/>
              <w:bidi w:val="1"/>
            </w:pPr>
            <w:r>
              <w:rPr>
                <w:rFonts w:ascii="Noto Sans Arabic" w:hAnsi="Noto Sans Arabic" w:cs="Noto Sans Arabic"/>
                <w:b/>
                <w:color w:val="FFFFFF"/>
                <w:sz w:val="18"/>
              </w:rPr>
              <w:t>الوصف</w:t>
            </w:r>
          </w:p>
        </w:tc>
      </w:tr>
      <w:tr>
        <w:tc>
          <w:tcPr>
            <w:tcW w:type="dxa" w:w="2494"/>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Public Marketplace</w:t>
            </w:r>
          </w:p>
        </w:tc>
        <w:tc>
          <w:tcPr>
            <w:tcW w:type="dxa" w:w="7030"/>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منصة عامة تعرض سيارات جميع المعارض النشطة وفق المدينة والفلاتر.</w:t>
            </w:r>
          </w:p>
        </w:tc>
      </w:tr>
      <w:tr>
        <w:tc>
          <w:tcPr>
            <w:tcW w:type="dxa" w:w="2494"/>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Tenant Dashboard</w:t>
            </w:r>
          </w:p>
        </w:tc>
        <w:tc>
          <w:tcPr>
            <w:tcW w:type="dxa" w:w="7030"/>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لوحة SaaS مستقلة لكل معرض لإدارة المخزون والـLeads.</w:t>
            </w:r>
          </w:p>
        </w:tc>
      </w:tr>
      <w:tr>
        <w:tc>
          <w:tcPr>
            <w:tcW w:type="dxa" w:w="2494"/>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Admin Dashboard</w:t>
            </w:r>
          </w:p>
        </w:tc>
        <w:tc>
          <w:tcPr>
            <w:tcW w:type="dxa" w:w="7030"/>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لوحة المنصة لاعتماد المعارض وإدارة البيانات المرجعية والجودة.</w:t>
            </w:r>
          </w:p>
        </w:tc>
      </w:tr>
      <w:tr>
        <w:tc>
          <w:tcPr>
            <w:tcW w:type="dxa" w:w="2494"/>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API</w:t>
            </w:r>
          </w:p>
        </w:tc>
        <w:tc>
          <w:tcPr>
            <w:tcW w:type="dxa" w:w="7030"/>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خدمة خلفية موحدة للهوية والـTenancy والمخزون والبحث والـLeads.</w:t>
            </w:r>
          </w:p>
        </w:tc>
      </w:tr>
      <w:tr>
        <w:tc>
          <w:tcPr>
            <w:tcW w:type="dxa" w:w="2494"/>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Database</w:t>
            </w:r>
          </w:p>
        </w:tc>
        <w:tc>
          <w:tcPr>
            <w:tcW w:type="dxa" w:w="7030"/>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PostgreSQL مشتركة مع Shared Schema وTenantId للبيانات التابعة للمعارض.</w:t>
            </w:r>
          </w:p>
        </w:tc>
      </w:tr>
    </w:tbl>
    <w:p/>
    <w:p>
      <w:pPr>
        <w:spacing w:before="180" w:after="80"/>
        <w:jc w:val="right"/>
        <w:keepNext/>
        <w:bidi w:val="1"/>
        <w:pBdr>
          <w:bottom w:val="single" w:sz="8" w:space="4" w:color="1D7A73"/>
        </w:pBdr>
      </w:pPr>
      <w:r>
        <w:rPr>
          <w:rFonts w:ascii="Noto Kufi Arabic" w:hAnsi="Noto Kufi Arabic" w:cs="Noto Kufi Arabic"/>
          <w:b/>
          <w:color w:val="16324F"/>
          <w:sz w:val="32"/>
        </w:rPr>
        <w:t>3. المعمارية المعتمدة للـMVP</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Modular Monolith.</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Monorepo.</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Shared Application.</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Shared PostgreSQL Database.</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Shared Schema.</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TenantId في جميع بيانات المعرض.</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TenantContext إلزامي في عمليات Tenant الداخلية.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Global catalog منفصل منطقيًا عن بيانات Tenants.</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قابلية إضافة Tenant Data Source Resolver مستقبلًا لفصل عميل Enterprise.</w:t>
      </w:r>
    </w:p>
    <w:p>
      <w:pPr>
        <w:spacing w:after="80" w:line="288" w:lineRule="auto"/>
        <w:jc w:val="right"/>
        <w:bidi w:val="1"/>
      </w:pPr>
      <w:r>
        <w:rPr>
          <w:rFonts w:ascii="Noto Sans Arabic" w:hAnsi="Noto Sans Arabic" w:cs="Noto Sans Arabic"/>
          <w:b w:val="0"/>
          <w:color w:val="202428"/>
          <w:sz w:val="20"/>
        </w:rPr>
        <w:t>الفصل المستقبلي إلى Dedicated Database ممكن معماريًا إذا تم الحفاظ على حدود Tenant الصحيحة، لكنه سيظل يتطلب عملية Migration وتشغيل محسوبة. الهدف هو تجنب إعادة كتابة Business Logic، وليس الادعاء بعدم الحاجة إلى ترحيل بيانات.</w:t>
      </w:r>
    </w:p>
    <w:p>
      <w:pPr>
        <w:spacing w:before="180" w:after="80"/>
        <w:jc w:val="right"/>
        <w:keepNext/>
        <w:bidi w:val="1"/>
        <w:pBdr>
          <w:bottom w:val="single" w:sz="8" w:space="4" w:color="1D7A73"/>
        </w:pBdr>
      </w:pPr>
      <w:r>
        <w:rPr>
          <w:rFonts w:ascii="Noto Kufi Arabic" w:hAnsi="Noto Kufi Arabic" w:cs="Noto Kufi Arabic"/>
          <w:b/>
          <w:color w:val="16324F"/>
          <w:sz w:val="32"/>
        </w:rPr>
        <w:t>4. الأطراف والأدوار</w:t>
      </w:r>
    </w:p>
    <w:tbl>
      <w:tblPr>
        <w:tblStyle w:val="TableGrid"/>
        <w:tblW w:type="auto" w:w="0"/>
        <w:jc w:val="center"/>
        <w:tblLayout w:type="fixed"/>
        <w:tblLook w:firstColumn="1" w:firstRow="1" w:lastColumn="0" w:lastRow="0" w:noHBand="0" w:noVBand="1" w:val="04A0"/>
      </w:tblPr>
      <w:tblGrid>
        <w:gridCol w:w="5100"/>
        <w:gridCol w:w="5100"/>
      </w:tblGrid>
      <w:tr>
        <w:tc>
          <w:tcPr>
            <w:tcW w:type="dxa" w:w="2551"/>
            <w:shd w:fill="16324F"/>
            <w:tcMar>
              <w:top w:w="90" w:type="dxa"/>
              <w:start w:w="90" w:type="dxa"/>
              <w:bottom w:w="90" w:type="dxa"/>
              <w:end w:w="90" w:type="dxa"/>
            </w:tcMar>
            <w:vAlign w:val="center"/>
          </w:tcPr>
          <w:p>
            <w:pPr>
              <w:jc w:val="center"/>
              <w:bidi w:val="1"/>
            </w:pPr>
            <w:r>
              <w:rPr>
                <w:rFonts w:ascii="Noto Sans Arabic" w:hAnsi="Noto Sans Arabic" w:cs="Noto Sans Arabic"/>
                <w:b/>
                <w:color w:val="FFFFFF"/>
                <w:sz w:val="18"/>
              </w:rPr>
              <w:t>الفاعل</w:t>
            </w:r>
          </w:p>
        </w:tc>
        <w:tc>
          <w:tcPr>
            <w:tcW w:type="dxa" w:w="6973"/>
            <w:shd w:fill="16324F"/>
            <w:tcMar>
              <w:top w:w="90" w:type="dxa"/>
              <w:start w:w="90" w:type="dxa"/>
              <w:bottom w:w="90" w:type="dxa"/>
              <w:end w:w="90" w:type="dxa"/>
            </w:tcMar>
            <w:vAlign w:val="center"/>
          </w:tcPr>
          <w:p>
            <w:pPr>
              <w:jc w:val="center"/>
              <w:bidi w:val="1"/>
            </w:pPr>
            <w:r>
              <w:rPr>
                <w:rFonts w:ascii="Noto Sans Arabic" w:hAnsi="Noto Sans Arabic" w:cs="Noto Sans Arabic"/>
                <w:b/>
                <w:color w:val="FFFFFF"/>
                <w:sz w:val="18"/>
              </w:rPr>
              <w:t>النطاق</w:t>
            </w:r>
          </w:p>
        </w:tc>
      </w:tr>
      <w:tr>
        <w:tc>
          <w:tcPr>
            <w:tcW w:type="dxa" w:w="2551"/>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Visitor</w:t>
            </w:r>
          </w:p>
        </w:tc>
        <w:tc>
          <w:tcPr>
            <w:tcW w:type="dxa" w:w="6973"/>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تصفح وبحث وفتح صفحات السيارات والمعارض.</w:t>
            </w:r>
          </w:p>
        </w:tc>
      </w:tr>
      <w:tr>
        <w:tc>
          <w:tcPr>
            <w:tcW w:type="dxa" w:w="2551"/>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Customer</w:t>
            </w:r>
          </w:p>
        </w:tc>
        <w:tc>
          <w:tcPr>
            <w:tcW w:type="dxa" w:w="6973"/>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Visitor + مفضلة + طلب عرض سعر بعد OTP.</w:t>
            </w:r>
          </w:p>
        </w:tc>
      </w:tr>
      <w:tr>
        <w:tc>
          <w:tcPr>
            <w:tcW w:type="dxa" w:w="2551"/>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Tenant Owner</w:t>
            </w:r>
          </w:p>
        </w:tc>
        <w:tc>
          <w:tcPr>
            <w:tcW w:type="dxa" w:w="6973"/>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إدارة المعرض والفرع والموظفين والمخزون والـLeads.</w:t>
            </w:r>
          </w:p>
        </w:tc>
      </w:tr>
      <w:tr>
        <w:tc>
          <w:tcPr>
            <w:tcW w:type="dxa" w:w="2551"/>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Tenant Manager</w:t>
            </w:r>
          </w:p>
        </w:tc>
        <w:tc>
          <w:tcPr>
            <w:tcW w:type="dxa" w:w="6973"/>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إدارة المخزون والـLeads ضمن الصلاحيات.</w:t>
            </w:r>
          </w:p>
        </w:tc>
      </w:tr>
      <w:tr>
        <w:tc>
          <w:tcPr>
            <w:tcW w:type="dxa" w:w="2551"/>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Sales Representative</w:t>
            </w:r>
          </w:p>
        </w:tc>
        <w:tc>
          <w:tcPr>
            <w:tcW w:type="dxa" w:w="6973"/>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متابعة Leads وتحديث الحالات.</w:t>
            </w:r>
          </w:p>
        </w:tc>
      </w:tr>
      <w:tr>
        <w:tc>
          <w:tcPr>
            <w:tcW w:type="dxa" w:w="2551"/>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Platform Admin</w:t>
            </w:r>
          </w:p>
        </w:tc>
        <w:tc>
          <w:tcPr>
            <w:tcW w:type="dxa" w:w="6973"/>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اعتماد/تعليق المعارض وإدارة Catalog/مدن وسيارات مخالفة.</w:t>
            </w:r>
          </w:p>
        </w:tc>
      </w:tr>
    </w:tbl>
    <w:p/>
    <w:p>
      <w:pPr>
        <w:spacing w:before="180" w:after="80"/>
        <w:jc w:val="right"/>
        <w:keepNext/>
        <w:bidi w:val="1"/>
        <w:pBdr>
          <w:bottom w:val="single" w:sz="8" w:space="4" w:color="1D7A73"/>
        </w:pBdr>
      </w:pPr>
      <w:r>
        <w:rPr>
          <w:rFonts w:ascii="Noto Kufi Arabic" w:hAnsi="Noto Kufi Arabic" w:cs="Noto Kufi Arabic"/>
          <w:b/>
          <w:color w:val="16324F"/>
          <w:sz w:val="32"/>
        </w:rPr>
        <w:t>5. المتطلبات الوظيفية — الهوية والتسجيل</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FR-AUTH-001 — يجب أن يسمح النظام للزائر بالتصفح والبحث دون تسجيل.</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FR-AUTH-002 — يجب أن يسمح النظام للعميل بالتحقق من رقم الجوال باستخدام OTP.</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FR-AUTH-003 — يجب تطبيع أرقام الجوال السعودية إلى صيغة موحدة قبل إنشاء المستخدم.</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FR-AUTH-004 — يجب ألا يخزن OTP كنص صريح، ويجب أن يكون له انتهاء وحد محاولات.</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FR-AUTH-005 — يجب أن يدعم موظفو المعرض تسجيل دخول آمن عبر بيانات اعتماد مخصصة.</w:t>
      </w:r>
    </w:p>
    <w:p>
      <w:pPr>
        <w:spacing w:before="180" w:after="80"/>
        <w:jc w:val="right"/>
        <w:keepNext/>
        <w:bidi w:val="1"/>
        <w:pBdr>
          <w:bottom w:val="single" w:sz="8" w:space="4" w:color="1D7A73"/>
        </w:pBdr>
      </w:pPr>
      <w:r>
        <w:rPr>
          <w:rFonts w:ascii="Noto Kufi Arabic" w:hAnsi="Noto Kufi Arabic" w:cs="Noto Kufi Arabic"/>
          <w:b/>
          <w:color w:val="16324F"/>
          <w:sz w:val="32"/>
        </w:rPr>
        <w:t>6. المتطلبات الوظيفية — Tenancy والفروع</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FR-TEN-001 — يجب أن يمثل كل معرض أو مجموعة معارض Tenant مستقلًا.</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FR-TEN-002 — يجب عزل البيانات التشغيلية بين Tenants.</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FR-TEN-003 — يجب أن يكون لكل Tenant فرع رئيسي واحد على الأقل.</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FR-TEN-004 — يجب أن يكون Branch كيانًا مستقلًا حتى لو كان الـMVP يسمح بفرع رئيسي واحد فقط.</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FR-TEN-005 — يجب أن يرتبط كل Vehicle بـBranch تابع لنفس Tenant.</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FR-TEN-006 — يجب أن يرتبط كل Branch بـCity.</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FR-TEN-007 — يجب ألا يثق النظام بـTenantId القادم من Body أو Query كمصدر وحيد للسياق.</w:t>
      </w:r>
    </w:p>
    <w:p>
      <w:pPr>
        <w:spacing w:before="180" w:after="80"/>
        <w:jc w:val="right"/>
        <w:keepNext/>
        <w:bidi w:val="1"/>
        <w:pBdr>
          <w:bottom w:val="single" w:sz="8" w:space="4" w:color="1D7A73"/>
        </w:pBdr>
      </w:pPr>
      <w:r>
        <w:rPr>
          <w:rFonts w:ascii="Noto Kufi Arabic" w:hAnsi="Noto Kufi Arabic" w:cs="Noto Kufi Arabic"/>
          <w:b/>
          <w:color w:val="16324F"/>
          <w:sz w:val="32"/>
        </w:rPr>
        <w:t>7. المتطلبات الوظيفية — اعتماد المعرض</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FR-VER-001 — يجب أن يسمح النظام بإنشاء طلب تسجيل معرض.</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FR-VER-002 — يجب أن يستطيع Platform Admin اعتماد أو رفض أو طلب معلومات إضافية.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FR-VER-003 — يجب ألا يستطيع Tenant غير معتمد نشر سيارات عامة.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FR-VER-004 — يجب أن يستطيع Platform Admin تعليق Tenant نشط.</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FR-VER-005 — يجب أن يؤدي تعليق Tenant إلى منع عمليات النشر الجديدة وإخفاء سياراته العامة حسب سياسة النظام.</w:t>
      </w:r>
    </w:p>
    <w:p>
      <w:pPr>
        <w:spacing w:before="180" w:after="80"/>
        <w:jc w:val="right"/>
        <w:keepNext/>
        <w:bidi w:val="1"/>
        <w:pBdr>
          <w:bottom w:val="single" w:sz="8" w:space="4" w:color="1D7A73"/>
        </w:pBdr>
      </w:pPr>
      <w:r>
        <w:rPr>
          <w:rFonts w:ascii="Noto Kufi Arabic" w:hAnsi="Noto Kufi Arabic" w:cs="Noto Kufi Arabic"/>
          <w:b/>
          <w:color w:val="16324F"/>
          <w:sz w:val="32"/>
        </w:rPr>
        <w:t>8. المتطلبات الوظيفية — Catalog</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FR-CAT-001 — يجب أن يدعم النظام Brands كبيانات عالمية.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FR-CAT-002 — يجب أن يدعم Models مرتبطة بالـBrand.</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FR-CAT-003 — يجب أن يدعم Cities كبيانات عالمية.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FR-CAT-004 — يجب أن يدير Platform Admin الـBrands والـModels والـCities في MVP.</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FR-CAT-005 — يجب أن يدعم النظام خصائص أساسية مثل نوع الهيكل والوقود وناقل الحركة.</w:t>
      </w:r>
    </w:p>
    <w:p>
      <w:pPr>
        <w:spacing w:before="180" w:after="80"/>
        <w:jc w:val="right"/>
        <w:keepNext/>
        <w:bidi w:val="1"/>
        <w:pBdr>
          <w:bottom w:val="single" w:sz="8" w:space="4" w:color="1D7A73"/>
        </w:pBdr>
      </w:pPr>
      <w:r>
        <w:rPr>
          <w:rFonts w:ascii="Noto Kufi Arabic" w:hAnsi="Noto Kufi Arabic" w:cs="Noto Kufi Arabic"/>
          <w:b/>
          <w:color w:val="16324F"/>
          <w:sz w:val="32"/>
        </w:rPr>
        <w:t>9. المتطلبات الوظيفية — المخزون</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FR-VEH-001 — يجب أن يستطيع Tenant إنشاء سيارة جديدة.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FR-VEH-002 — يجب أن يستطيع Tenant تعديل السيارة التابعة له.</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FR-VEH-003 — يجب أن يدعم Vehicle الحقول الأساسية: Brand, Model, Year, Condition, Price, Mileage, Transmission, Fuel, Body Type, Branch, Description.</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FR-VEH-004 — يجب أن يدعم رفع عدة صور وتحديد صورة رئيسية.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FR-VEH-005 — يجب أن يكون StockNumber فريدًا داخل Tenant.</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FR-VEH-006 — يجب أن يدعم النظام استيراد Excel/CSV مع تقرير أخطاء.</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FR-VEH-007 — يجب أن يدعم تحديث السعر وحفظ تاريخ آخر تحديث.</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FR-VEH-008 — يجب أن يدعم الحالات: Draft, Published/Available, Reserved, Sold, Unavailable, Archived.</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FR-VEH-009 — يجب ألا تظهر Draft أو Sold أو Unavailable أو Archived في نتائج البحث العامة.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FR-VEH-010 — يجب أن يرفض النظام تعديل سيارة لا تتبع Tenant الحالي.</w:t>
      </w:r>
    </w:p>
    <w:p>
      <w:pPr>
        <w:spacing w:before="180" w:after="80"/>
        <w:jc w:val="right"/>
        <w:keepNext/>
        <w:bidi w:val="1"/>
        <w:pBdr>
          <w:bottom w:val="single" w:sz="8" w:space="4" w:color="1D7A73"/>
        </w:pBdr>
      </w:pPr>
      <w:r>
        <w:rPr>
          <w:rFonts w:ascii="Noto Kufi Arabic" w:hAnsi="Noto Kufi Arabic" w:cs="Noto Kufi Arabic"/>
          <w:b/>
          <w:color w:val="16324F"/>
          <w:sz w:val="32"/>
        </w:rPr>
        <w:t>10. المتطلبات الوظيفية — توفر السيارة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FR-AVL-001 — يجب أن تحتوي السيارة المنشورة على AvailabilityStatus.</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FR-AVL-002 — يجب حفظ LastAvailabilityConfirmedAt.</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FR-AVL-003 — يجب أن يستطيع Tenant تأكيد توفر سيارة واحدة.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FR-AVL-004 — يجب أن يستطيع Tenant تأكيد توفر مجموعة سيارات دفعة واحدة.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FR-AVL-005 — يجب أن تتحول السيارة إلى AvailabilityUnconfirmed بعد تجاوز المدة المحددة.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FR-AVL-006 — يجب أن يمكن إخفاء السيارة تلقائيًا بعد انتهاء مهلة إضافية دون تأكيد.</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FR-AVL-007 — عند Mark Sold يجب إزالة السيارة من النتائج العامة فورًا.</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FR-AVL-008 — يجب أن تكون Reservation حالة مستقلة عن Sold.</w:t>
      </w:r>
    </w:p>
    <w:p>
      <w:pPr>
        <w:spacing w:before="180" w:after="80"/>
        <w:jc w:val="right"/>
        <w:keepNext/>
        <w:bidi w:val="1"/>
        <w:pBdr>
          <w:bottom w:val="single" w:sz="8" w:space="4" w:color="1D7A73"/>
        </w:pBdr>
      </w:pPr>
      <w:r>
        <w:rPr>
          <w:rFonts w:ascii="Noto Kufi Arabic" w:hAnsi="Noto Kufi Arabic" w:cs="Noto Kufi Arabic"/>
          <w:b/>
          <w:color w:val="16324F"/>
          <w:sz w:val="32"/>
        </w:rPr>
        <w:t>11. المتطلبات الوظيفية — السوق العام والبحث</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FR-SRCH-001 — يجب أن تعرض المنصة سيارات جميع Tenants النشطين والمعتمدين.</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FR-SRCH-002 — يجب أن يسمح البحث باختيار City أو كل السعودية.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FR-SRCH-003 — يجب دعم الفلترة حسب New/Used.</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FR-SRCH-004 — يجب دعم الفلترة حسب Brand وModel.</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FR-SRCH-005 — يجب دعم نطاق السعر.</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FR-SRCH-006 — يجب دعم نطاق السنة.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FR-SRCH-007 — يجب دعم نطاق الممشى للمستعمل.</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FR-SRCH-008 — يجب دعم Transmission وFuel وBodyType.</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FR-SRCH-009 — يجب دعم الفرز حسب الأحدث والسعر والممشى وحداثة تأكيد التوفر.</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FR-SRCH-010 — يجب ألا تعرض نتائج البحث بيانات داخلية خاصة بالـTenant.</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FR-SRCH-011 — يجب أن تستمد مدينة السيارة من Branch.City وليس من Tenant فقط.</w:t>
      </w:r>
    </w:p>
    <w:p>
      <w:pPr>
        <w:spacing w:before="180" w:after="80"/>
        <w:jc w:val="right"/>
        <w:keepNext/>
        <w:bidi w:val="1"/>
        <w:pBdr>
          <w:bottom w:val="single" w:sz="8" w:space="4" w:color="1D7A73"/>
        </w:pBdr>
      </w:pPr>
      <w:r>
        <w:rPr>
          <w:rFonts w:ascii="Noto Kufi Arabic" w:hAnsi="Noto Kufi Arabic" w:cs="Noto Kufi Arabic"/>
          <w:b/>
          <w:color w:val="16324F"/>
          <w:sz w:val="32"/>
        </w:rPr>
        <w:t>12. المتطلبات الوظيفية — صفحة السيارة والمعرض</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FR-PUB-001 — يجب أن تعرض صفحة السيارة الصور والاسم والسنة والسعر والحالة والممشى والمواصفات الأساسية.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FR-PUB-002 — يجب أن تعرض صفحة السيارة اسم المعرض والفرع والمدينة.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FR-PUB-003 — يجب أن تعرض AvailabilityStatus وLastAvailabilityConfirmedAt.</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FR-PUB-004 — يجب توفير زر اتصال.</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FR-PUB-005 — يجب توفير زر WhatsApp مرتبط بالسيارة.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FR-PUB-006 — يجب توفير طلب عرض سعر.</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FR-PUB-007 — يجب أن تعرض صفحة المعرض معلوماته العامة وقائمة سياراته المنشورة.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FR-PUB-008 — يجب ألا تعرض Public DTOs الملاحظات الداخلية أو بيانات الموظفين أو أرقامًا حساسة غير مطلوبة.</w:t>
      </w:r>
    </w:p>
    <w:p>
      <w:pPr>
        <w:spacing w:before="180" w:after="80"/>
        <w:jc w:val="right"/>
        <w:keepNext/>
        <w:bidi w:val="1"/>
        <w:pBdr>
          <w:bottom w:val="single" w:sz="8" w:space="4" w:color="1D7A73"/>
        </w:pBdr>
      </w:pPr>
      <w:r>
        <w:rPr>
          <w:rFonts w:ascii="Noto Kufi Arabic" w:hAnsi="Noto Kufi Arabic" w:cs="Noto Kufi Arabic"/>
          <w:b/>
          <w:color w:val="16324F"/>
          <w:sz w:val="32"/>
        </w:rPr>
        <w:t>13. المتطلبات الوظيفية — Leads</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FR-LEAD-001 — يجب أن ينشئ طلب عرض السعر Lead مرتبطًا بالـTenant والـVehicle والـBranch.</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FR-LEAD-002 — يجب التحقق من رقم جوال العميل قبل إنشاء Lead عبر المسار المحدد.</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FR-LEAD-003 — يجب أن يحتوي Lead على Name, Phone, Vehicle, Branch, Source, Status, AssignedUser اختياريًا.</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FR-LEAD-004 — يجب دعم الحالات: New, Contacted, Interested, Appointment, Won, Lost.</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FR-LEAD-005 — يجب أن يستطيع المدير أو المالك إسناد Lead لمندوب ضمن Tenant نفسه.</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FR-LEAD-006 — يجب ألا يستطيع موظف Tenant الوصول إلى Lead يتبع Tenant آخر.</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FR-LEAD-007 — يجب تسجيل تاريخ آخر تحديث للحالة.</w:t>
      </w:r>
    </w:p>
    <w:p>
      <w:pPr>
        <w:spacing w:before="180" w:after="80"/>
        <w:jc w:val="right"/>
        <w:keepNext/>
        <w:bidi w:val="1"/>
        <w:pBdr>
          <w:bottom w:val="single" w:sz="8" w:space="4" w:color="1D7A73"/>
        </w:pBdr>
      </w:pPr>
      <w:r>
        <w:rPr>
          <w:rFonts w:ascii="Noto Kufi Arabic" w:hAnsi="Noto Kufi Arabic" w:cs="Noto Kufi Arabic"/>
          <w:b/>
          <w:color w:val="16324F"/>
          <w:sz w:val="32"/>
        </w:rPr>
        <w:t>14. المتطلبات الوظيفية — لوحة المعرض</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FR-DASH-001 — يجب أن تعرض اللوحة عدد السيارات النشطة.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FR-DASH-002 — يجب أن تعرض السيارات التي تحتاج تأكيد توفر.</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FR-DASH-003 — يجب أن تعرض السيارات المحجوزة والمباعة.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FR-DASH-004 — يجب أن تعرض Leads الجديدة والتي لم تتم متابعتها.</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FR-DASH-005 — يجب توفير صفحات للمخزون والـLeads والفرع والموظفين.</w:t>
      </w:r>
    </w:p>
    <w:p>
      <w:pPr>
        <w:spacing w:before="180" w:after="80"/>
        <w:jc w:val="right"/>
        <w:keepNext/>
        <w:bidi w:val="1"/>
        <w:pBdr>
          <w:bottom w:val="single" w:sz="8" w:space="4" w:color="1D7A73"/>
        </w:pBdr>
      </w:pPr>
      <w:r>
        <w:rPr>
          <w:rFonts w:ascii="Noto Kufi Arabic" w:hAnsi="Noto Kufi Arabic" w:cs="Noto Kufi Arabic"/>
          <w:b/>
          <w:color w:val="16324F"/>
          <w:sz w:val="32"/>
        </w:rPr>
        <w:t>15. المتطلبات الوظيفية — الإدارة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FR-ADM-001 — يجب أن يستطيع Platform Admin عرض Tenants.</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FR-ADM-002 — يجب أن يستطيع اعتماد/رفض/تعليق Tenant.</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FR-ADM-003 — يجب أن يستطيع إدارة Brands وModels وCities.</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FR-ADM-004 — يجب أن يستطيع إيقاف Vehicle عند وجود مخالفة.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FR-ADM-005 — يجب أن يستطيع مشاهدة إحصاءات عامة للمخزون والـLeads.</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FR-ADM-006 — يجب أن يستطيع تفعيل Plan أو حدود Pilot يدويًا.</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FR-ADM-007 — يجب تسجيل العمليات الإدارية الحساسة في Audit Log.</w:t>
      </w:r>
    </w:p>
    <w:p>
      <w:pPr>
        <w:spacing w:before="180" w:after="80"/>
        <w:jc w:val="right"/>
        <w:keepNext/>
        <w:bidi w:val="1"/>
        <w:pBdr>
          <w:bottom w:val="single" w:sz="8" w:space="4" w:color="1D7A73"/>
        </w:pBdr>
      </w:pPr>
      <w:r>
        <w:rPr>
          <w:rFonts w:ascii="Noto Kufi Arabic" w:hAnsi="Noto Kufi Arabic" w:cs="Noto Kufi Arabic"/>
          <w:b/>
          <w:color w:val="16324F"/>
          <w:sz w:val="32"/>
        </w:rPr>
        <w:t>16. البيانات والمتطلبات الرئيسية</w:t>
      </w:r>
    </w:p>
    <w:tbl>
      <w:tblPr>
        <w:tblStyle w:val="TableGrid"/>
        <w:tblW w:type="auto" w:w="0"/>
        <w:jc w:val="center"/>
        <w:tblLayout w:type="fixed"/>
        <w:tblLook w:firstColumn="1" w:firstRow="1" w:lastColumn="0" w:lastRow="0" w:noHBand="0" w:noVBand="1" w:val="04A0"/>
      </w:tblPr>
      <w:tblGrid>
        <w:gridCol w:w="5100"/>
        <w:gridCol w:w="5100"/>
      </w:tblGrid>
      <w:tr>
        <w:tc>
          <w:tcPr>
            <w:tcW w:type="dxa" w:w="2268"/>
            <w:shd w:fill="16324F"/>
            <w:tcMar>
              <w:top w:w="90" w:type="dxa"/>
              <w:start w:w="90" w:type="dxa"/>
              <w:bottom w:w="90" w:type="dxa"/>
              <w:end w:w="90" w:type="dxa"/>
            </w:tcMar>
            <w:vAlign w:val="center"/>
          </w:tcPr>
          <w:p>
            <w:pPr>
              <w:jc w:val="center"/>
              <w:bidi w:val="1"/>
            </w:pPr>
            <w:r>
              <w:rPr>
                <w:rFonts w:ascii="Noto Sans Arabic" w:hAnsi="Noto Sans Arabic" w:cs="Noto Sans Arabic"/>
                <w:b/>
                <w:color w:val="FFFFFF"/>
                <w:sz w:val="18"/>
              </w:rPr>
              <w:t>الكيان</w:t>
            </w:r>
          </w:p>
        </w:tc>
        <w:tc>
          <w:tcPr>
            <w:tcW w:type="dxa" w:w="7257"/>
            <w:shd w:fill="16324F"/>
            <w:tcMar>
              <w:top w:w="90" w:type="dxa"/>
              <w:start w:w="90" w:type="dxa"/>
              <w:bottom w:w="90" w:type="dxa"/>
              <w:end w:w="90" w:type="dxa"/>
            </w:tcMar>
            <w:vAlign w:val="center"/>
          </w:tcPr>
          <w:p>
            <w:pPr>
              <w:jc w:val="center"/>
              <w:bidi w:val="1"/>
            </w:pPr>
            <w:r>
              <w:rPr>
                <w:rFonts w:ascii="Noto Sans Arabic" w:hAnsi="Noto Sans Arabic" w:cs="Noto Sans Arabic"/>
                <w:b/>
                <w:color w:val="FFFFFF"/>
                <w:sz w:val="18"/>
              </w:rPr>
              <w:t>أهم الحقول في MVP</w:t>
            </w:r>
          </w:p>
        </w:tc>
      </w:tr>
      <w:tr>
        <w:tc>
          <w:tcPr>
            <w:tcW w:type="dxa" w:w="2268"/>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Tenant</w:t>
            </w:r>
          </w:p>
        </w:tc>
        <w:tc>
          <w:tcPr>
            <w:tcW w:type="dxa" w:w="7257"/>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Id, Name, Status, VerificationStatus, Plan/Limit refs</w:t>
            </w:r>
          </w:p>
        </w:tc>
      </w:tr>
      <w:tr>
        <w:tc>
          <w:tcPr>
            <w:tcW w:type="dxa" w:w="2268"/>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Branch</w:t>
            </w:r>
          </w:p>
        </w:tc>
        <w:tc>
          <w:tcPr>
            <w:tcW w:type="dxa" w:w="7257"/>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Id, TenantId, Name, CityId, Address, Phone, WhatsApp, IsPrimary</w:t>
            </w:r>
          </w:p>
        </w:tc>
      </w:tr>
      <w:tr>
        <w:tc>
          <w:tcPr>
            <w:tcW w:type="dxa" w:w="2268"/>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Vehicle</w:t>
            </w:r>
          </w:p>
        </w:tc>
        <w:tc>
          <w:tcPr>
            <w:tcW w:type="dxa" w:w="7257"/>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Id, TenantId, BranchId, StockNumber, BrandId, ModelId, Year, Condition, Price, Mileage, Status, AvailabilityStatus</w:t>
            </w:r>
          </w:p>
        </w:tc>
      </w:tr>
      <w:tr>
        <w:tc>
          <w:tcPr>
            <w:tcW w:type="dxa" w:w="2268"/>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VehicleImage</w:t>
            </w:r>
          </w:p>
        </w:tc>
        <w:tc>
          <w:tcPr>
            <w:tcW w:type="dxa" w:w="7257"/>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VehicleId, StorageKey/URL, SortOrder, IsPrimary</w:t>
            </w:r>
          </w:p>
        </w:tc>
      </w:tr>
      <w:tr>
        <w:tc>
          <w:tcPr>
            <w:tcW w:type="dxa" w:w="2268"/>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Lead</w:t>
            </w:r>
          </w:p>
        </w:tc>
        <w:tc>
          <w:tcPr>
            <w:tcW w:type="dxa" w:w="7257"/>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TenantId, BranchId, VehicleId, CustomerId/Phone, Status, AssignedMembershipId</w:t>
            </w:r>
          </w:p>
        </w:tc>
      </w:tr>
      <w:tr>
        <w:tc>
          <w:tcPr>
            <w:tcW w:type="dxa" w:w="2268"/>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TenantMembership</w:t>
            </w:r>
          </w:p>
        </w:tc>
        <w:tc>
          <w:tcPr>
            <w:tcW w:type="dxa" w:w="7257"/>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TenantId, UserId, Role, Status</w:t>
            </w:r>
          </w:p>
        </w:tc>
      </w:tr>
      <w:tr>
        <w:tc>
          <w:tcPr>
            <w:tcW w:type="dxa" w:w="2268"/>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City</w:t>
            </w:r>
          </w:p>
        </w:tc>
        <w:tc>
          <w:tcPr>
            <w:tcW w:type="dxa" w:w="7257"/>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Id, ArabicName, EnglishName/Slug</w:t>
            </w:r>
          </w:p>
        </w:tc>
      </w:tr>
      <w:tr>
        <w:tc>
          <w:tcPr>
            <w:tcW w:type="dxa" w:w="2268"/>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Brand/Model</w:t>
            </w:r>
          </w:p>
        </w:tc>
        <w:tc>
          <w:tcPr>
            <w:tcW w:type="dxa" w:w="7257"/>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Global catalog fields</w:t>
            </w:r>
          </w:p>
        </w:tc>
      </w:tr>
      <w:tr>
        <w:tc>
          <w:tcPr>
            <w:tcW w:type="dxa" w:w="2268"/>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AuditLog</w:t>
            </w:r>
          </w:p>
        </w:tc>
        <w:tc>
          <w:tcPr>
            <w:tcW w:type="dxa" w:w="7257"/>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TenantId nullable, Actor, Action, Resource, Timestamp</w:t>
            </w:r>
          </w:p>
        </w:tc>
      </w:tr>
    </w:tbl>
    <w:p/>
    <w:p>
      <w:pPr>
        <w:spacing w:before="180" w:after="80"/>
        <w:jc w:val="right"/>
        <w:keepNext/>
        <w:bidi w:val="1"/>
        <w:pBdr>
          <w:bottom w:val="single" w:sz="8" w:space="4" w:color="1D7A73"/>
        </w:pBdr>
      </w:pPr>
      <w:r>
        <w:rPr>
          <w:rFonts w:ascii="Noto Kufi Arabic" w:hAnsi="Noto Kufi Arabic" w:cs="Noto Kufi Arabic"/>
          <w:b/>
          <w:color w:val="16324F"/>
          <w:sz w:val="32"/>
        </w:rPr>
        <w:t>17. قيود قاعدة البيانات الأساسية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UNIQUE(TenantId, StockNumber).</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لا يسمح لVehicle.branchId بالإشارة إلى Branch من Tenant آخر.</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كل استعلام داخلي على موارد Tenant يجب أن يكون مقيدًا بالـTenantContext.</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المعرفات العامة يجب ألا تعتمد على أرقام متسلسلة سهلة التخمين.</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استخدام Decimal للأسعار والقيم المالية.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حفظ timestamps بصيغة موحدة وعرضها بتوقيت Asia/Riyadh.</w:t>
      </w:r>
    </w:p>
    <w:p>
      <w:pPr>
        <w:spacing w:before="180" w:after="80"/>
        <w:jc w:val="right"/>
        <w:keepNext/>
        <w:bidi w:val="1"/>
        <w:pBdr>
          <w:bottom w:val="single" w:sz="8" w:space="4" w:color="1D7A73"/>
        </w:pBdr>
      </w:pPr>
      <w:r>
        <w:rPr>
          <w:rFonts w:ascii="Noto Kufi Arabic" w:hAnsi="Noto Kufi Arabic" w:cs="Noto Kufi Arabic"/>
          <w:b/>
          <w:color w:val="16324F"/>
          <w:sz w:val="32"/>
        </w:rPr>
        <w:t>18. متطلبات SaaS والحدود في الـPilot</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FR-SUB-001 — يجب أن يكون لكل Tenant خطة أو حد استخدام فعال.</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FR-SUB-002 — يجب دعم حد لعدد السيارات النشطة والموظفين والفروع.</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FR-SUB-003 — يجب أن يكون حد الفروع في الـPilot فرعًا رئيسيًا واحدًا افتراضيًا.</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FR-SUB-004 — يجب أن يستطيع Platform Admin تعديل/تفعيل الخطة يدويًا.</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FR-SUB-005 — لا يتطلب MVP بوابة دفع أو فوترة إلكترونية كاملة داخل النظام.</w:t>
      </w:r>
    </w:p>
    <w:p>
      <w:pPr>
        <w:spacing w:before="180" w:after="80"/>
        <w:jc w:val="right"/>
        <w:keepNext/>
        <w:bidi w:val="1"/>
        <w:pBdr>
          <w:bottom w:val="single" w:sz="8" w:space="4" w:color="1D7A73"/>
        </w:pBdr>
      </w:pPr>
      <w:r>
        <w:rPr>
          <w:rFonts w:ascii="Noto Kufi Arabic" w:hAnsi="Noto Kufi Arabic" w:cs="Noto Kufi Arabic"/>
          <w:b/>
          <w:color w:val="16324F"/>
          <w:sz w:val="32"/>
        </w:rPr>
        <w:t>19. المتطلبات غير الوظيفية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NFR-SEC-001 — يجب منع الوصول Cross-Tenant على مستوى API والخدمة والبيانات.</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NFR-SEC-002 — يجب تطبيق Rate Limiting على OTP وLogin والواجهات العامة الحساسة.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NFR-SEC-003 — يجب تطبيق Validation لجميع مدخلات API.</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NFR-SEC-004 — يجب عدم تسجيل Secrets أو OTP أو Tokens أو بيانات حساسة في Logs.</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NFR-SEC-005 — يجب فحص نوع وحجم ملفات الصور والاستيراد.</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NFR-PERF-001 — يجب أن تكون صفحات البحث والسيارة مناسبة للاستخدام على شبكات الجوال.</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NFR-PERF-002 — يجب استخدام Pagination وعدم إرجاع كامل المخزون/الـLeads دفعة واحدة.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NFR-UX-001 — العربية هي اللغة الأساسية والواجهات تدعم RTL.</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NFR-UX-002 — التصميم Mobile First.</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NFR-REL-001 — يجب وجود Health Checks للخدمات الأساسية.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NFR-OBS-001 — يجب توفير Structured Logging وCorrelation ID.</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NFR-TEST-001 — يجب وجود اختبارات Unit/Integration للمنطق الحرج واختبارات E2E للمسارات الرئيسية.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NFR-TEST-002 — كل Resource تابع لـTenant يجب أن يملك اختبارًا يمنع Tenant A من قراءة/تعديل Tenant B.</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NFR-MAINT-001 — يجب تنظيم الباك إند كـModular Monolith مع حدود Modules واضحة.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NFR-SCALE-001 — يجب ألا يعتمد Business Logic على أن كل Tenant في قاعدة مستقلة أو قاعدة مشتركة بصورة مباشرة، بما يسمح بإضافة Data Source routing لاحقًا.</w:t>
      </w:r>
    </w:p>
    <w:p>
      <w:pPr>
        <w:spacing w:before="180" w:after="80"/>
        <w:jc w:val="right"/>
        <w:keepNext/>
        <w:bidi w:val="1"/>
        <w:pBdr>
          <w:bottom w:val="single" w:sz="8" w:space="4" w:color="1D7A73"/>
        </w:pBdr>
      </w:pPr>
      <w:r>
        <w:rPr>
          <w:rFonts w:ascii="Noto Kufi Arabic" w:hAnsi="Noto Kufi Arabic" w:cs="Noto Kufi Arabic"/>
          <w:b/>
          <w:color w:val="16324F"/>
          <w:sz w:val="32"/>
        </w:rPr>
        <w:t>20. متطلبات API الأولية</w:t>
      </w:r>
    </w:p>
    <w:tbl>
      <w:tblPr>
        <w:tblStyle w:val="TableGrid"/>
        <w:tblW w:type="auto" w:w="0"/>
        <w:jc w:val="center"/>
        <w:tblLayout w:type="fixed"/>
        <w:tblLook w:firstColumn="1" w:firstRow="1" w:lastColumn="0" w:lastRow="0" w:noHBand="0" w:noVBand="1" w:val="04A0"/>
      </w:tblPr>
      <w:tblGrid>
        <w:gridCol w:w="5100"/>
        <w:gridCol w:w="5100"/>
      </w:tblGrid>
      <w:tr>
        <w:tc>
          <w:tcPr>
            <w:tcW w:type="dxa" w:w="1701"/>
            <w:shd w:fill="16324F"/>
            <w:tcMar>
              <w:top w:w="90" w:type="dxa"/>
              <w:start w:w="90" w:type="dxa"/>
              <w:bottom w:w="90" w:type="dxa"/>
              <w:end w:w="90" w:type="dxa"/>
            </w:tcMar>
            <w:vAlign w:val="center"/>
          </w:tcPr>
          <w:p>
            <w:pPr>
              <w:jc w:val="center"/>
              <w:bidi w:val="1"/>
            </w:pPr>
            <w:r>
              <w:rPr>
                <w:rFonts w:ascii="Noto Sans Arabic" w:hAnsi="Noto Sans Arabic" w:cs="Noto Sans Arabic"/>
                <w:b/>
                <w:color w:val="FFFFFF"/>
                <w:sz w:val="18"/>
              </w:rPr>
              <w:t>النطاق</w:t>
            </w:r>
          </w:p>
        </w:tc>
        <w:tc>
          <w:tcPr>
            <w:tcW w:type="dxa" w:w="7824"/>
            <w:shd w:fill="16324F"/>
            <w:tcMar>
              <w:top w:w="90" w:type="dxa"/>
              <w:start w:w="90" w:type="dxa"/>
              <w:bottom w:w="90" w:type="dxa"/>
              <w:end w:w="90" w:type="dxa"/>
            </w:tcMar>
            <w:vAlign w:val="center"/>
          </w:tcPr>
          <w:p>
            <w:pPr>
              <w:jc w:val="center"/>
              <w:bidi w:val="1"/>
            </w:pPr>
            <w:r>
              <w:rPr>
                <w:rFonts w:ascii="Noto Sans Arabic" w:hAnsi="Noto Sans Arabic" w:cs="Noto Sans Arabic"/>
                <w:b/>
                <w:color w:val="FFFFFF"/>
                <w:sz w:val="18"/>
              </w:rPr>
              <w:t>Endpoints نموذجية</w:t>
            </w:r>
          </w:p>
        </w:tc>
      </w:tr>
      <w:tr>
        <w:tc>
          <w:tcPr>
            <w:tcW w:type="dxa" w:w="1701"/>
            <w:tcMar>
              <w:top w:w="90" w:type="dxa"/>
              <w:start w:w="90" w:type="dxa"/>
              <w:bottom w:w="90" w:type="dxa"/>
              <w:end w:w="90" w:type="dxa"/>
            </w:tcMar>
            <w:vAlign w:val="center"/>
          </w:tcPr>
          <w:p>
            <w:pPr>
              <w:jc w:val="right"/>
              <w:bidi w:val="1"/>
            </w:pPr>
            <w:r>
              <w:rPr>
                <w:rFonts w:ascii="Noto Sans Arabic" w:hAnsi="Noto Sans Arabic" w:cs="Noto Sans Arabic"/>
                <w:b w:val="0"/>
                <w:color w:val="202428"/>
                <w:sz w:val="17"/>
              </w:rPr>
              <w:t>Public</w:t>
            </w:r>
          </w:p>
        </w:tc>
        <w:tc>
          <w:tcPr>
            <w:tcW w:type="dxa" w:w="7824"/>
            <w:tcMar>
              <w:top w:w="90" w:type="dxa"/>
              <w:start w:w="90" w:type="dxa"/>
              <w:bottom w:w="90" w:type="dxa"/>
              <w:end w:w="90" w:type="dxa"/>
            </w:tcMar>
            <w:vAlign w:val="center"/>
          </w:tcPr>
          <w:p>
            <w:pPr>
              <w:jc w:val="right"/>
              <w:bidi w:val="1"/>
            </w:pPr>
            <w:r>
              <w:rPr>
                <w:rFonts w:ascii="Noto Sans Arabic" w:hAnsi="Noto Sans Arabic" w:cs="Noto Sans Arabic"/>
                <w:b w:val="0"/>
                <w:color w:val="202428"/>
                <w:sz w:val="17"/>
              </w:rPr>
              <w:t>GET /public/vehicles, GET /public/vehicles/:id, GET /public/dealerships/:slug, GET /public/brands, GET /public/cities</w:t>
            </w:r>
          </w:p>
        </w:tc>
      </w:tr>
      <w:tr>
        <w:tc>
          <w:tcPr>
            <w:tcW w:type="dxa" w:w="1701"/>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7"/>
              </w:rPr>
              <w:t>Auth</w:t>
            </w:r>
          </w:p>
        </w:tc>
        <w:tc>
          <w:tcPr>
            <w:tcW w:type="dxa" w:w="7824"/>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7"/>
              </w:rPr>
              <w:t>POST /auth/request-otp, POST /auth/verify-otp, POST /auth/staff/login, POST /auth/refresh, POST /auth/logout</w:t>
            </w:r>
          </w:p>
        </w:tc>
      </w:tr>
      <w:tr>
        <w:tc>
          <w:tcPr>
            <w:tcW w:type="dxa" w:w="1701"/>
            <w:tcMar>
              <w:top w:w="90" w:type="dxa"/>
              <w:start w:w="90" w:type="dxa"/>
              <w:bottom w:w="90" w:type="dxa"/>
              <w:end w:w="90" w:type="dxa"/>
            </w:tcMar>
            <w:vAlign w:val="center"/>
          </w:tcPr>
          <w:p>
            <w:pPr>
              <w:jc w:val="right"/>
              <w:bidi w:val="1"/>
            </w:pPr>
            <w:r>
              <w:rPr>
                <w:rFonts w:ascii="Noto Sans Arabic" w:hAnsi="Noto Sans Arabic" w:cs="Noto Sans Arabic"/>
                <w:b w:val="0"/>
                <w:color w:val="202428"/>
                <w:sz w:val="17"/>
              </w:rPr>
              <w:t>Tenant</w:t>
            </w:r>
          </w:p>
        </w:tc>
        <w:tc>
          <w:tcPr>
            <w:tcW w:type="dxa" w:w="7824"/>
            <w:tcMar>
              <w:top w:w="90" w:type="dxa"/>
              <w:start w:w="90" w:type="dxa"/>
              <w:bottom w:w="90" w:type="dxa"/>
              <w:end w:w="90" w:type="dxa"/>
            </w:tcMar>
            <w:vAlign w:val="center"/>
          </w:tcPr>
          <w:p>
            <w:pPr>
              <w:jc w:val="right"/>
              <w:bidi w:val="1"/>
            </w:pPr>
            <w:r>
              <w:rPr>
                <w:rFonts w:ascii="Noto Sans Arabic" w:hAnsi="Noto Sans Arabic" w:cs="Noto Sans Arabic"/>
                <w:b w:val="0"/>
                <w:color w:val="202428"/>
                <w:sz w:val="17"/>
              </w:rPr>
              <w:t>GET /tenant/vehicles, POST /tenant/vehicles, PATCH /tenant/vehicles/:id, POST /tenant/vehicles/:id/confirm-availability, POST /tenant/vehicles/:id/mark-sold</w:t>
            </w:r>
          </w:p>
        </w:tc>
      </w:tr>
      <w:tr>
        <w:tc>
          <w:tcPr>
            <w:tcW w:type="dxa" w:w="1701"/>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7"/>
              </w:rPr>
              <w:t>Import</w:t>
            </w:r>
          </w:p>
        </w:tc>
        <w:tc>
          <w:tcPr>
            <w:tcW w:type="dxa" w:w="7824"/>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7"/>
              </w:rPr>
              <w:t>POST /tenant/vehicles/import, GET /tenant/vehicle-imports/:id</w:t>
            </w:r>
          </w:p>
        </w:tc>
      </w:tr>
      <w:tr>
        <w:tc>
          <w:tcPr>
            <w:tcW w:type="dxa" w:w="1701"/>
            <w:tcMar>
              <w:top w:w="90" w:type="dxa"/>
              <w:start w:w="90" w:type="dxa"/>
              <w:bottom w:w="90" w:type="dxa"/>
              <w:end w:w="90" w:type="dxa"/>
            </w:tcMar>
            <w:vAlign w:val="center"/>
          </w:tcPr>
          <w:p>
            <w:pPr>
              <w:jc w:val="right"/>
              <w:bidi w:val="1"/>
            </w:pPr>
            <w:r>
              <w:rPr>
                <w:rFonts w:ascii="Noto Sans Arabic" w:hAnsi="Noto Sans Arabic" w:cs="Noto Sans Arabic"/>
                <w:b w:val="0"/>
                <w:color w:val="202428"/>
                <w:sz w:val="17"/>
              </w:rPr>
              <w:t>Leads</w:t>
            </w:r>
          </w:p>
        </w:tc>
        <w:tc>
          <w:tcPr>
            <w:tcW w:type="dxa" w:w="7824"/>
            <w:tcMar>
              <w:top w:w="90" w:type="dxa"/>
              <w:start w:w="90" w:type="dxa"/>
              <w:bottom w:w="90" w:type="dxa"/>
              <w:end w:w="90" w:type="dxa"/>
            </w:tcMar>
            <w:vAlign w:val="center"/>
          </w:tcPr>
          <w:p>
            <w:pPr>
              <w:jc w:val="right"/>
              <w:bidi w:val="1"/>
            </w:pPr>
            <w:r>
              <w:rPr>
                <w:rFonts w:ascii="Noto Sans Arabic" w:hAnsi="Noto Sans Arabic" w:cs="Noto Sans Arabic"/>
                <w:b w:val="0"/>
                <w:color w:val="202428"/>
                <w:sz w:val="17"/>
              </w:rPr>
              <w:t>GET /tenant/leads, GET /tenant/leads/:id, PATCH /tenant/leads/:id, POST /public/vehicles/:id/quote-request</w:t>
            </w:r>
          </w:p>
        </w:tc>
      </w:tr>
      <w:tr>
        <w:tc>
          <w:tcPr>
            <w:tcW w:type="dxa" w:w="1701"/>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7"/>
              </w:rPr>
              <w:t>Admin</w:t>
            </w:r>
          </w:p>
        </w:tc>
        <w:tc>
          <w:tcPr>
            <w:tcW w:type="dxa" w:w="7824"/>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7"/>
              </w:rPr>
              <w:t>GET /admin/tenants, POST /admin/tenants/:id/approve, POST /admin/tenants/:id/suspend, CRUD /admin/catalog/*</w:t>
            </w:r>
          </w:p>
        </w:tc>
      </w:tr>
    </w:tbl>
    <w:p/>
    <w:p>
      <w:pPr>
        <w:spacing w:before="180" w:after="80"/>
        <w:jc w:val="right"/>
        <w:keepNext/>
        <w:bidi w:val="1"/>
        <w:pBdr>
          <w:bottom w:val="single" w:sz="8" w:space="4" w:color="1D7A73"/>
        </w:pBdr>
      </w:pPr>
      <w:r>
        <w:rPr>
          <w:rFonts w:ascii="Noto Kufi Arabic" w:hAnsi="Noto Kufi Arabic" w:cs="Noto Kufi Arabic"/>
          <w:b/>
          <w:color w:val="16324F"/>
          <w:sz w:val="32"/>
        </w:rPr>
        <w:t>21. متطلبات الأمان والعزل</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TenantId لا يُقبل كمصدر ثقة وحيد من الواجهة.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TenantContext يشتق من جلسة الموظف/العضوية النشطة.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كل ملفات Tenant يجب أن تكون بمسار يتضمن TenantId أو Scope مكافئ.</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Cache Keys للبيانات الداخلية يجب أن تتضمن TenantId.</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Jobs المتعلقة بمعرض يجب أن تحمل TenantId وتتحقق منه.</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Public Marketplace يستخدم DTOs منفصلة عن DTOs الداخلية.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يجب منع IDOR عبر استخدام Scoped lookup بدل find-by-id فقط.</w:t>
      </w:r>
    </w:p>
    <w:p>
      <w:pPr>
        <w:spacing w:before="180" w:after="80"/>
        <w:jc w:val="right"/>
        <w:keepNext/>
        <w:bidi w:val="1"/>
        <w:pBdr>
          <w:bottom w:val="single" w:sz="8" w:space="4" w:color="1D7A73"/>
        </w:pBdr>
      </w:pPr>
      <w:r>
        <w:rPr>
          <w:rFonts w:ascii="Noto Kufi Arabic" w:hAnsi="Noto Kufi Arabic" w:cs="Noto Kufi Arabic"/>
          <w:b/>
          <w:color w:val="16324F"/>
          <w:sz w:val="32"/>
        </w:rPr>
        <w:t>22. حالات الاختبار الإلزامية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TC-TEN-001 — Tenant A cannot read Vehicle of Tenant B.</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TC-TEN-002 — Tenant A cannot update Vehicle of Tenant B.</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TC-TEN-003 — Tenant A cannot read Lead of Tenant B.</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TC-TEN-004 — Changing tenantId in request does not bypass isolation.</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TC-BR-001 — Vehicle cannot be assigned to Branch belonging to another Tenant.</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TC-AVL-001 — Sold Vehicle disappears from public search.</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TC-AVL-002 — Expired availability confirmation transitions to unconfirmed/hidden according to policy.</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TC-LEAD-001 — Quote Request creates Lead under correct Tenant and Vehicle.</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TC-SEARCH-001 — City filter returns vehicles located in branches from selected city only.</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TC-IMPORT-001 — Invalid import rows are reported and do not corrupt valid inventory.</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TC-AUTH-001 — Expired/consumed OTP cannot be reused.</w:t>
      </w:r>
    </w:p>
    <w:p>
      <w:pPr>
        <w:spacing w:before="180" w:after="80"/>
        <w:jc w:val="right"/>
        <w:keepNext/>
        <w:bidi w:val="1"/>
        <w:pBdr>
          <w:bottom w:val="single" w:sz="8" w:space="4" w:color="1D7A73"/>
        </w:pBdr>
      </w:pPr>
      <w:r>
        <w:rPr>
          <w:rFonts w:ascii="Noto Kufi Arabic" w:hAnsi="Noto Kufi Arabic" w:cs="Noto Kufi Arabic"/>
          <w:b/>
          <w:color w:val="16324F"/>
          <w:sz w:val="32"/>
        </w:rPr>
        <w:t>23. معايير قبول النظام</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SYS-AC-01 — Marketplace يجمع سيارات أكثر من Tenant في قائمة واحدة.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SYS-AC-02 — فلتر المدينة يعتمد موقع الفرع.</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SYS-AC-03 — صفحة السيارة تعرض حالة التوفر وآخر تأكيد.</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SYS-AC-04 — المعرض يستطيع إضافة/استيراد وتحديث مخزونه.</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SYS-AC-05 — المعرض يستطيع تعليم السيارة محجوزة أو مباعة.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SYS-AC-06 — Lead ينشأ تحت Tenant الصحيح.</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SYS-AC-07 — Tenant A لا يستطيع الوصول إلى Tenant B.</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SYS-AC-08 — Admin يستطيع اعتماد/تعليق Tenant.</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SYS-AC-09 — الواجهة عربية وRTL وتعمل على الجوال.</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SYS-AC-10 — لا توجد ميزات Post-MVP مضمّنة دون اعتماد.</w:t>
      </w:r>
    </w:p>
    <w:p>
      <w:pPr>
        <w:spacing w:before="180" w:after="80"/>
        <w:jc w:val="right"/>
        <w:keepNext/>
        <w:bidi w:val="1"/>
        <w:pBdr>
          <w:bottom w:val="single" w:sz="8" w:space="4" w:color="1D7A73"/>
        </w:pBdr>
      </w:pPr>
      <w:r>
        <w:rPr>
          <w:rFonts w:ascii="Noto Kufi Arabic" w:hAnsi="Noto Kufi Arabic" w:cs="Noto Kufi Arabic"/>
          <w:b/>
          <w:color w:val="16324F"/>
          <w:sz w:val="32"/>
        </w:rPr>
        <w:t>24. خارج نطاق هذه المواصفات</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Payment Gateway للـSaaS.</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شراء السيارة داخل المنصة.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نقل الملكية.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Financing decision engine.</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Native apps.</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AI features.</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Internal chat.</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Auctions.</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Advanced reviews.</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White Label.</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Microservices.</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Dedicated DB per Tenant كإعداد افتراضي.</w:t>
      </w:r>
    </w:p>
    <w:p>
      <w:pPr>
        <w:spacing w:before="180" w:after="80"/>
        <w:jc w:val="right"/>
        <w:keepNext/>
        <w:bidi w:val="1"/>
        <w:pBdr>
          <w:bottom w:val="single" w:sz="8" w:space="4" w:color="1D7A73"/>
        </w:pBdr>
      </w:pPr>
      <w:r>
        <w:rPr>
          <w:rFonts w:ascii="Noto Kufi Arabic" w:hAnsi="Noto Kufi Arabic" w:cs="Noto Kufi Arabic"/>
          <w:b/>
          <w:color w:val="16324F"/>
          <w:sz w:val="32"/>
        </w:rPr>
        <w:t>25. ملاحظات الامتثال والمراجعة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يجب مراجعة سياسة الخصوصية وجمع بيانات الجوال قبل الإطلاق الإنتاجي.</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أي بيانات تمويل مستقبلية تحتاج مراجعة منفصلة وسياسة موافقة واضحة.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هذه الوثيقة تقنية ولا تشكل استشارة قانونية.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يجب توثيق أي تغيير في المتطلبات وربطه برقم FR/NFR/AC مناسب.</w:t>
      </w:r>
    </w:p>
    <w:sectPr w:rsidR="00FC693F" w:rsidRPr="0006063C" w:rsidSect="00034616">
      <w:headerReference w:type="default" r:id="rId9"/>
      <w:footerReference w:type="default" r:id="rId10"/>
      <w:pgSz w:w="12240" w:h="158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Arabic" w:hAnsi="Noto Sans Arabic" w:cs="Noto Sans Arabic"/>
        <w:b w:val="0"/>
        <w:color w:val="66717A"/>
        <w:sz w:val="16"/>
      </w:rPr>
      <w:t>Baseline v1.0 | أغسطس 2026 | وثيقة داخلية قابلة للتحديث</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Noto Sans Arabic" w:hAnsi="Noto Sans Arabic" w:cs="Noto Sans Arabic"/>
        <w:b/>
        <w:color w:val="66717A"/>
        <w:sz w:val="16"/>
      </w:rPr>
      <w:t>SRS MVP | Automotive Marketplace SaaS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