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 By using Deep Learning, this paper is all about testing a vehicle with the help of a machine. Commercial or not, every single vehicle must periodically endure fitness tests in accordance with the Road Transport Act, 2018 section 124(1)(th), based on the age of the vehicle. All vehicles must be presented   to fitness facilities for inspection and certification. Additionally, there are very few centers in each district, so it is obvious to face a huge queue  and hassles to get the service. In regional offices, there is only one mechanic to supervise whereas the 54 central offices run under BRTA  provide at most 4-5 mechanics.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