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left"/>
      </w:pPr>
      <w:r>
        <w:rPr>
          <w:rFonts w:ascii="Arial" w:cs="Arial" w:eastAsia="Arial" w:hAnsi="Arial"/>
          <w:b/>
          <w:bCs/>
          <w:color w:val="1F3864"/>
          <w:sz w:val="52"/>
          <w:szCs w:val="52"/>
        </w:rPr>
        <w:t xml:space="preserve">WORK HAT CRM</w:t>
      </w:r>
    </w:p>
    <w:p>
      <w:pPr>
        <w:jc w:val="left"/>
      </w:pPr>
      <w:r>
        <w:rPr>
          <w:rFonts w:ascii="Arial" w:cs="Arial" w:eastAsia="Arial" w:hAnsi="Arial"/>
          <w:b w:val="false"/>
          <w:bCs w:val="false"/>
          <w:color w:val="2E75B6"/>
          <w:sz w:val="40"/>
          <w:szCs w:val="40"/>
        </w:rPr>
        <w:t xml:space="preserve">SOC 2 Readiness Gap Analysis</w:t>
      </w:r>
    </w:p>
    <w:p>
      <w:pPr>
        <w:spacing w:after="80"/>
      </w:pPr>
      <w:r>
        <w:t xml:space="preserve"/>
      </w:r>
    </w:p>
    <w:p>
      <w:pPr>
        <w:pBdr>
          <w:bottom w:val="single" w:color="2E75B6" w:sz="8" w:space="1"/>
        </w:pBdr>
        <w:jc w:val="left"/>
      </w:pPr>
      <w:r>
        <w:t xml:space="preserve"/>
      </w:r>
    </w:p>
    <w:p>
      <w:pPr>
        <w:spacing w:after="80"/>
      </w:pPr>
      <w:r>
        <w:t xml:space="preserve"/>
      </w:r>
    </w:p>
    <w:p>
      <w:pPr>
        <w:jc w:val="left"/>
      </w:pPr>
      <w:r>
        <w:rPr>
          <w:rFonts w:ascii="Arial" w:cs="Arial" w:eastAsia="Arial" w:hAnsi="Arial"/>
          <w:color w:val="1F3864"/>
          <w:sz w:val="22"/>
          <w:szCs w:val="22"/>
        </w:rPr>
        <w:t xml:space="preserve">Trust Service Criteria: Security (CC) · Availability (A) · Confidentiality (C) · Privacy (P)</w:t>
      </w:r>
    </w:p>
    <w:p>
      <w:pPr>
        <w:spacing w:after="80"/>
      </w:pPr>
      <w:r>
        <w:t xml:space="preserve"/>
      </w:r>
    </w:p>
    <w:p>
      <w:pPr>
        <w:jc w:val="left"/>
      </w:pPr>
      <w:r>
        <w:rPr>
          <w:rFonts w:ascii="Arial" w:cs="Arial" w:eastAsia="Arial" w:hAnsi="Arial"/>
          <w:b/>
          <w:bCs/>
          <w:color w:val="1F3864"/>
          <w:sz w:val="20"/>
          <w:szCs w:val="20"/>
        </w:rPr>
        <w:t xml:space="preserve">Prepared for:</w:t>
      </w:r>
    </w:p>
    <w:p>
      <w:pPr>
        <w:jc w:val="left"/>
      </w:pPr>
      <w:r>
        <w:rPr>
          <w:rFonts w:ascii="Arial" w:cs="Arial" w:eastAsia="Arial" w:hAnsi="Arial"/>
          <w:color w:val="444444"/>
          <w:sz w:val="20"/>
          <w:szCs w:val="20"/>
        </w:rPr>
        <w:t xml:space="preserve">Work Hat / XtendOps — Internal Use</w:t>
      </w:r>
    </w:p>
    <w:p>
      <w:pPr>
        <w:spacing w:after="80"/>
      </w:pPr>
      <w:r>
        <w:t xml:space="preserve"/>
      </w:r>
    </w:p>
    <w:p>
      <w:pPr>
        <w:jc w:val="left"/>
      </w:pPr>
      <w:r>
        <w:rPr>
          <w:rFonts w:ascii="Arial" w:cs="Arial" w:eastAsia="Arial" w:hAnsi="Arial"/>
          <w:b/>
          <w:bCs/>
          <w:color w:val="1F3864"/>
          <w:sz w:val="20"/>
          <w:szCs w:val="20"/>
        </w:rPr>
        <w:t xml:space="preserve">Assessment Date:</w:t>
      </w:r>
    </w:p>
    <w:p>
      <w:pPr>
        <w:jc w:val="left"/>
      </w:pPr>
      <w:r>
        <w:rPr>
          <w:rFonts w:ascii="Arial" w:cs="Arial" w:eastAsia="Arial" w:hAnsi="Arial"/>
          <w:color w:val="444444"/>
          <w:sz w:val="20"/>
          <w:szCs w:val="20"/>
        </w:rPr>
        <w:t xml:space="preserve">April 21, 2026</w:t>
      </w:r>
    </w:p>
    <w:p>
      <w:pPr>
        <w:spacing w:after="80"/>
      </w:pPr>
      <w:r>
        <w:t xml:space="preserve"/>
      </w:r>
    </w:p>
    <w:p>
      <w:pPr>
        <w:jc w:val="left"/>
      </w:pPr>
      <w:r>
        <w:rPr>
          <w:rFonts w:ascii="Arial" w:cs="Arial" w:eastAsia="Arial" w:hAnsi="Arial"/>
          <w:b/>
          <w:bCs/>
          <w:color w:val="9C0006"/>
          <w:sz w:val="20"/>
          <w:szCs w:val="20"/>
        </w:rPr>
        <w:t xml:space="preserve">Classification:</w:t>
      </w:r>
    </w:p>
    <w:p>
      <w:pPr>
        <w:jc w:val="left"/>
      </w:pPr>
      <w:r>
        <w:rPr>
          <w:rFonts w:ascii="Arial" w:cs="Arial" w:eastAsia="Arial" w:hAnsi="Arial"/>
          <w:color w:val="9C0006"/>
          <w:sz w:val="20"/>
          <w:szCs w:val="20"/>
        </w:rPr>
        <w:t xml:space="preserve">CONFIDENTIAL — Internal Only</w:t>
      </w:r>
    </w:p>
    <w:p>
      <w:pPr>
        <w:spacing w:after="80"/>
      </w:pPr>
      <w:r>
        <w:t xml:space="preserve"/>
      </w:r>
    </w:p>
    <w:p>
      <w:pPr>
        <w:spacing w:after="80"/>
      </w:pPr>
      <w:r>
        <w:t xml:space="preserve"/>
      </w:r>
    </w:p>
    <w:p>
      <w:pPr>
        <w:jc w:val="left"/>
      </w:pPr>
      <w:r>
        <w:rPr>
          <w:rFonts w:ascii="Arial" w:cs="Arial" w:eastAsia="Arial" w:hAnsi="Arial"/>
          <w:i/>
          <w:iCs/>
          <w:color w:val="444444"/>
          <w:sz w:val="20"/>
          <w:szCs w:val="20"/>
        </w:rPr>
        <w:t xml:space="preserve">This document maps each AICPA Trust Service Criterion to the current state of the Work Hat CRM platform and identifies gaps requiring remediation before a Type 1 or Type 2 audit engagement.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2"/>
          <w:szCs w:val="32"/>
        </w:rPr>
        <w:t xml:space="preserve">1. Executive Summary</w:t>
      </w:r>
    </w:p>
    <w:p>
      <w:pPr>
        <w:spacing w:after="80"/>
      </w:pPr>
      <w:r>
        <w:t xml:space="preserve"/>
      </w:r>
    </w:p>
    <w:p>
      <w:pPr>
        <w:spacing w:after="100"/>
      </w:pPr>
      <w:r>
        <w:rPr>
          <w:rFonts w:ascii="Arial" w:cs="Arial" w:eastAsia="Arial" w:hAnsi="Arial"/>
          <w:sz w:val="20"/>
          <w:szCs w:val="20"/>
        </w:rPr>
        <w:t xml:space="preserve">Work Hat CRM is a multi-tenant AI-assisted customer relationship management platform built on Next.js and Supabase. This gap analysis assesses the platform against the AICPA Trust Services Criteria for Security (CC), Availability (A), Confidentiality (C), and Privacy (P) — all four categories — as a prerequisite to pursuing a SOC 2 Type 1 and subsequently a Type 2 attestation.</w:t>
      </w:r>
    </w:p>
    <w:p>
      <w:pPr>
        <w:spacing w:after="80"/>
      </w:pPr>
      <w:r>
        <w:t xml:space="preserve"/>
      </w:r>
    </w:p>
    <w:p>
      <w:pPr>
        <w:spacing w:after="100"/>
      </w:pPr>
      <w:r>
        <w:rPr>
          <w:rFonts w:ascii="Arial" w:cs="Arial" w:eastAsia="Arial" w:hAnsi="Arial"/>
          <w:sz w:val="20"/>
          <w:szCs w:val="20"/>
        </w:rPr>
        <w:t xml:space="preserve">The assessment identifies 44 discrete control points across the four TSC categories. Of these, </w:t>
      </w:r>
      <w:r>
        <w:rPr>
          <w:rFonts w:ascii="Arial" w:cs="Arial" w:eastAsia="Arial" w:hAnsi="Arial"/>
          <w:b/>
          <w:bCs/>
          <w:sz w:val="20"/>
          <w:szCs w:val="20"/>
        </w:rPr>
        <w:t xml:space="preserve">11 are currently met</w:t>
      </w:r>
      <w:r>
        <w:rPr>
          <w:rFonts w:ascii="Arial" w:cs="Arial" w:eastAsia="Arial" w:hAnsi="Arial"/>
          <w:sz w:val="20"/>
          <w:szCs w:val="20"/>
        </w:rPr>
        <w:t xml:space="preserve">, </w:t>
      </w:r>
      <w:r>
        <w:rPr>
          <w:rFonts w:ascii="Arial" w:cs="Arial" w:eastAsia="Arial" w:hAnsi="Arial"/>
          <w:b/>
          <w:bCs/>
          <w:sz w:val="20"/>
          <w:szCs w:val="20"/>
        </w:rPr>
        <w:t xml:space="preserve">9 are partially met</w:t>
      </w:r>
      <w:r>
        <w:rPr>
          <w:rFonts w:ascii="Arial" w:cs="Arial" w:eastAsia="Arial" w:hAnsi="Arial"/>
          <w:sz w:val="20"/>
          <w:szCs w:val="20"/>
        </w:rPr>
        <w:t xml:space="preserve">, and </w:t>
      </w:r>
      <w:r>
        <w:rPr>
          <w:rFonts w:ascii="Arial" w:cs="Arial" w:eastAsia="Arial" w:hAnsi="Arial"/>
          <w:b/>
          <w:bCs/>
          <w:sz w:val="20"/>
          <w:szCs w:val="20"/>
        </w:rPr>
        <w:t xml:space="preserve">24 have active gaps</w:t>
      </w:r>
      <w:r>
        <w:rPr>
          <w:rFonts w:ascii="Arial" w:cs="Arial" w:eastAsia="Arial" w:hAnsi="Arial"/>
          <w:sz w:val="20"/>
          <w:szCs w:val="20"/>
        </w:rPr>
        <w:t xml:space="preserve"> that require remediation before a Type 1 audit can proceed.</w:t>
      </w:r>
    </w:p>
    <w:p>
      <w:pPr>
        <w:spacing w:after="80"/>
      </w:pPr>
      <w:r>
        <w:t xml:space="preserve"/>
      </w:r>
    </w:p>
    <w:p>
      <w:pPr>
        <w:spacing w:after="100"/>
      </w:pPr>
      <w:r>
        <w:rPr>
          <w:rFonts w:ascii="Arial" w:cs="Arial" w:eastAsia="Arial" w:hAnsi="Arial"/>
          <w:sz w:val="20"/>
          <w:szCs w:val="20"/>
        </w:rPr>
        <w:t xml:space="preserve">The platform has a strong technical foundation: row-level security is enforced on every table, role-based access control is implemented at both the database and application layers, all external API calls use circuit breakers, OAuth tokens are encrypted at rest with AES-256-GCM, and input validation with length caps is applied throughout. The primary gaps are in </w:t>
      </w:r>
      <w:r>
        <w:rPr>
          <w:rFonts w:ascii="Arial" w:cs="Arial" w:eastAsia="Arial" w:hAnsi="Arial"/>
          <w:b/>
          <w:bCs/>
          <w:sz w:val="20"/>
          <w:szCs w:val="20"/>
        </w:rPr>
        <w:t xml:space="preserve">audit and event logging</w:t>
      </w:r>
      <w:r>
        <w:rPr>
          <w:rFonts w:ascii="Arial" w:cs="Arial" w:eastAsia="Arial" w:hAnsi="Arial"/>
          <w:sz w:val="20"/>
          <w:szCs w:val="20"/>
        </w:rPr>
        <w:t xml:space="preserve">, </w:t>
      </w:r>
      <w:r>
        <w:rPr>
          <w:rFonts w:ascii="Arial" w:cs="Arial" w:eastAsia="Arial" w:hAnsi="Arial"/>
          <w:b/>
          <w:bCs/>
          <w:sz w:val="20"/>
          <w:szCs w:val="20"/>
        </w:rPr>
        <w:t xml:space="preserve">policy documentation</w:t>
      </w:r>
      <w:r>
        <w:rPr>
          <w:rFonts w:ascii="Arial" w:cs="Arial" w:eastAsia="Arial" w:hAnsi="Arial"/>
          <w:sz w:val="20"/>
          <w:szCs w:val="20"/>
        </w:rPr>
        <w:t xml:space="preserve">, </w:t>
      </w:r>
      <w:r>
        <w:rPr>
          <w:rFonts w:ascii="Arial" w:cs="Arial" w:eastAsia="Arial" w:hAnsi="Arial"/>
          <w:b/>
          <w:bCs/>
          <w:sz w:val="20"/>
          <w:szCs w:val="20"/>
        </w:rPr>
        <w:t xml:space="preserve">session controls</w:t>
      </w:r>
      <w:r>
        <w:rPr>
          <w:rFonts w:ascii="Arial" w:cs="Arial" w:eastAsia="Arial" w:hAnsi="Arial"/>
          <w:sz w:val="20"/>
          <w:szCs w:val="20"/>
        </w:rPr>
        <w:t xml:space="preserve">, </w:t>
      </w:r>
      <w:r>
        <w:rPr>
          <w:rFonts w:ascii="Arial" w:cs="Arial" w:eastAsia="Arial" w:hAnsi="Arial"/>
          <w:b/>
          <w:bCs/>
          <w:sz w:val="20"/>
          <w:szCs w:val="20"/>
        </w:rPr>
        <w:t xml:space="preserve">data retention automation</w:t>
      </w:r>
      <w:r>
        <w:rPr>
          <w:rFonts w:ascii="Arial" w:cs="Arial" w:eastAsia="Arial" w:hAnsi="Arial"/>
          <w:sz w:val="20"/>
          <w:szCs w:val="20"/>
        </w:rPr>
        <w:t xml:space="preserve">, and </w:t>
      </w:r>
      <w:r>
        <w:rPr>
          <w:rFonts w:ascii="Arial" w:cs="Arial" w:eastAsia="Arial" w:hAnsi="Arial"/>
          <w:b/>
          <w:bCs/>
          <w:sz w:val="20"/>
          <w:szCs w:val="20"/>
        </w:rPr>
        <w:t xml:space="preserve">vendor risk documentation</w:t>
      </w:r>
      <w:r>
        <w:rPr>
          <w:rFonts w:ascii="Arial" w:cs="Arial" w:eastAsia="Arial" w:hAnsi="Arial"/>
          <w:sz w:val="20"/>
          <w:szCs w:val="20"/>
        </w:rPr>
        <w:t xml:space="preserve">.</w:t>
      </w:r>
    </w:p>
    <w:p>
      <w:pPr>
        <w:spacing w:after="80"/>
      </w:pPr>
      <w:r>
        <w:t xml:space="preserve"/>
      </w:r>
    </w:p>
    <w:p>
      <w:pPr>
        <w:pStyle w:val="Heading2"/>
        <w:spacing w:after="120" w:before="200"/>
      </w:pPr>
      <w:r>
        <w:rPr>
          <w:rFonts w:ascii="Arial" w:cs="Arial" w:eastAsia="Arial" w:hAnsi="Arial"/>
          <w:b/>
          <w:bCs/>
          <w:color w:val="2E75B6"/>
          <w:sz w:val="26"/>
          <w:szCs w:val="26"/>
        </w:rPr>
        <w:t xml:space="preserve">Summary Scorecard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TSC Category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Controls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Partial</w:t>
            </w:r>
          </w:p>
        </w:tc>
        <w:tc>
          <w:tcPr>
            <w:tcW w:type="dxa" w:w="14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Gap</w:t>
            </w:r>
          </w:p>
        </w:tc>
        <w:tc>
          <w:tcPr>
            <w:tcW w:type="dxa" w:w="1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Ready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Security (CC)</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136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7"/>
                <w:szCs w:val="17"/>
              </w:rPr>
              <w:t xml:space="preserve">45%</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Availability (A)</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3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7"/>
                <w:szCs w:val="17"/>
              </w:rPr>
              <w:t xml:space="preserve">33%</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Confidentiality (C)</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3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7"/>
                <w:szCs w:val="17"/>
              </w:rPr>
              <w:t xml:space="preserve">30%</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Privacy (P)</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3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7"/>
                <w:szCs w:val="17"/>
              </w:rPr>
              <w:t xml:space="preserve">10%</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TOTAL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44</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22</w:t>
            </w:r>
          </w:p>
        </w:tc>
        <w:tc>
          <w:tcPr>
            <w:tcW w:type="dxa" w:w="13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7"/>
                <w:szCs w:val="17"/>
              </w:rPr>
              <w:t xml:space="preserve">38%</w:t>
            </w:r>
          </w:p>
        </w:tc>
      </w:tr>
    </w:tbl>
    <w:p>
      <w:pPr>
        <w:spacing w:after="80"/>
      </w:pPr>
      <w:r>
        <w:t xml:space="preserve"/>
      </w:r>
    </w:p>
    <w:p>
      <w:pPr>
        <w:spacing w:after="100"/>
      </w:pPr>
      <w:r>
        <w:rPr>
          <w:rFonts w:ascii="Arial" w:cs="Arial" w:eastAsia="Arial" w:hAnsi="Arial"/>
          <w:sz w:val="20"/>
          <w:szCs w:val="20"/>
        </w:rPr>
        <w:t xml:space="preserve">A score of 100% on Type 1 requires all gaps to be closed. Partial controls must be fully implemented. The remediation roadmap in Section 6 provides a phased plan to achieve Type 1 readiness within 60–90 days and Type 2 readiness (with evidence of operating effectiveness) within 12 months of audit period start.</w:t>
      </w:r>
    </w:p>
    <w:p>
      <w:r>
        <w:br w:type="page"/>
      </w:r>
    </w:p>
    <w:p>
      <w:pPr>
        <w:pStyle w:val="Heading1"/>
      </w:pPr>
      <w:r>
        <w:rPr>
          <w:rFonts w:ascii="Arial" w:cs="Arial" w:eastAsia="Arial" w:hAnsi="Arial"/>
          <w:b/>
          <w:bCs/>
          <w:color w:val="1F3864"/>
          <w:sz w:val="32"/>
          <w:szCs w:val="32"/>
        </w:rPr>
        <w:t xml:space="preserve">2. Assessment Scope</w:t>
      </w:r>
    </w:p>
    <w:p>
      <w:pPr>
        <w:spacing w:after="80"/>
      </w:pPr>
      <w:r>
        <w:t xml:space="preserve"/>
      </w:r>
    </w:p>
    <w:p>
      <w:pPr>
        <w:spacing w:after="100"/>
      </w:pPr>
      <w:r>
        <w:rPr>
          <w:rFonts w:ascii="Arial" w:cs="Arial" w:eastAsia="Arial" w:hAnsi="Arial"/>
          <w:b/>
          <w:bCs/>
          <w:sz w:val="20"/>
          <w:szCs w:val="20"/>
        </w:rPr>
        <w:t xml:space="preserve">System in Scope: </w:t>
      </w:r>
      <w:r>
        <w:rPr>
          <w:rFonts w:ascii="Arial" w:cs="Arial" w:eastAsia="Arial" w:hAnsi="Arial"/>
          <w:sz w:val="20"/>
          <w:szCs w:val="20"/>
        </w:rPr>
        <w:t xml:space="preserve">Work Hat CRM — all application components, database, and infrastructure.</w:t>
      </w:r>
    </w:p>
    <w:p>
      <w:pPr>
        <w:spacing w:after="100"/>
      </w:pPr>
      <w:r>
        <w:rPr>
          <w:rFonts w:ascii="Arial" w:cs="Arial" w:eastAsia="Arial" w:hAnsi="Arial"/>
          <w:b/>
          <w:bCs/>
          <w:sz w:val="20"/>
          <w:szCs w:val="20"/>
        </w:rPr>
        <w:t xml:space="preserve">Assessment Date: </w:t>
      </w:r>
      <w:r>
        <w:rPr>
          <w:rFonts w:ascii="Arial" w:cs="Arial" w:eastAsia="Arial" w:hAnsi="Arial"/>
          <w:sz w:val="20"/>
          <w:szCs w:val="20"/>
        </w:rPr>
        <w:t xml:space="preserve">April 21, 2026</w:t>
      </w:r>
    </w:p>
    <w:p>
      <w:pPr>
        <w:spacing w:after="100"/>
      </w:pPr>
      <w:r>
        <w:rPr>
          <w:rFonts w:ascii="Arial" w:cs="Arial" w:eastAsia="Arial" w:hAnsi="Arial"/>
          <w:b/>
          <w:bCs/>
          <w:sz w:val="20"/>
          <w:szCs w:val="20"/>
        </w:rPr>
        <w:t xml:space="preserve">Standard: </w:t>
      </w:r>
      <w:r>
        <w:rPr>
          <w:rFonts w:ascii="Arial" w:cs="Arial" w:eastAsia="Arial" w:hAnsi="Arial"/>
          <w:sz w:val="20"/>
          <w:szCs w:val="20"/>
        </w:rPr>
        <w:t xml:space="preserve">AICPA Trust Services Criteria 2017 (SOC 2)</w:t>
      </w:r>
    </w:p>
    <w:p>
      <w:pPr>
        <w:spacing w:after="100"/>
      </w:pPr>
      <w:r>
        <w:rPr>
          <w:rFonts w:ascii="Arial" w:cs="Arial" w:eastAsia="Arial" w:hAnsi="Arial"/>
          <w:b/>
          <w:bCs/>
          <w:sz w:val="20"/>
          <w:szCs w:val="20"/>
        </w:rPr>
        <w:t xml:space="preserve">TSC Categories: </w:t>
      </w:r>
      <w:r>
        <w:rPr>
          <w:rFonts w:ascii="Arial" w:cs="Arial" w:eastAsia="Arial" w:hAnsi="Arial"/>
          <w:sz w:val="20"/>
          <w:szCs w:val="20"/>
        </w:rPr>
        <w:t xml:space="preserve">Security (CC), Availability (A), Confidentiality (C), Privacy (P)</w:t>
      </w:r>
    </w:p>
    <w:p>
      <w:pPr>
        <w:spacing w:after="80"/>
      </w:pPr>
      <w:r>
        <w:t xml:space="preserve"/>
      </w:r>
    </w:p>
    <w:p>
      <w:pPr>
        <w:pStyle w:val="Heading2"/>
        <w:spacing w:after="120" w:before="200"/>
      </w:pPr>
      <w:r>
        <w:rPr>
          <w:rFonts w:ascii="Arial" w:cs="Arial" w:eastAsia="Arial" w:hAnsi="Arial"/>
          <w:b/>
          <w:bCs/>
          <w:color w:val="2E75B6"/>
          <w:sz w:val="26"/>
          <w:szCs w:val="26"/>
        </w:rPr>
        <w:t xml:space="preserve">Technology Stack</w:t>
      </w:r>
    </w:p>
    <w:p>
      <w:pPr>
        <w:spacing w:after="100"/>
      </w:pPr>
      <w:r>
        <w:rPr>
          <w:rFonts w:ascii="Arial" w:cs="Arial" w:eastAsia="Arial" w:hAnsi="Arial"/>
          <w:sz w:val="20"/>
          <w:szCs w:val="20"/>
        </w:rPr>
        <w:t xml:space="preserve">Frontend/API: Next.js 15 (App Router), TypeScript, deployed on Vercel</w:t>
      </w:r>
    </w:p>
    <w:p>
      <w:pPr>
        <w:spacing w:after="100"/>
      </w:pPr>
      <w:r>
        <w:rPr>
          <w:rFonts w:ascii="Arial" w:cs="Arial" w:eastAsia="Arial" w:hAnsi="Arial"/>
          <w:sz w:val="20"/>
          <w:szCs w:val="20"/>
        </w:rPr>
        <w:t xml:space="preserve">Database: Supabase (PostgreSQL 15), row-level security enabled on all tables</w:t>
      </w:r>
    </w:p>
    <w:p>
      <w:pPr>
        <w:spacing w:after="100"/>
      </w:pPr>
      <w:r>
        <w:rPr>
          <w:rFonts w:ascii="Arial" w:cs="Arial" w:eastAsia="Arial" w:hAnsi="Arial"/>
          <w:sz w:val="20"/>
          <w:szCs w:val="20"/>
        </w:rPr>
        <w:t xml:space="preserve">Authentication: Supabase Auth (magic link + OAuth), JWT session cookies, middleware validation via auth.getUser()</w:t>
      </w:r>
    </w:p>
    <w:p>
      <w:pPr>
        <w:spacing w:after="100"/>
      </w:pPr>
      <w:r>
        <w:rPr>
          <w:rFonts w:ascii="Arial" w:cs="Arial" w:eastAsia="Arial" w:hAnsi="Arial"/>
          <w:sz w:val="20"/>
          <w:szCs w:val="20"/>
        </w:rPr>
        <w:t xml:space="preserve">AI Layer: OpenAI GPT-4o (draft generation, intent classification, knowledge extraction)</w:t>
      </w:r>
    </w:p>
    <w:p>
      <w:pPr>
        <w:spacing w:after="100"/>
      </w:pPr>
      <w:r>
        <w:rPr>
          <w:rFonts w:ascii="Arial" w:cs="Arial" w:eastAsia="Arial" w:hAnsi="Arial"/>
          <w:sz w:val="20"/>
          <w:szCs w:val="20"/>
        </w:rPr>
        <w:t xml:space="preserve">Email: Postmark (outbound), Gmail OAuth connector (inbound/outbound), Google Pub/Sub (push notifications)</w:t>
      </w:r>
    </w:p>
    <w:p>
      <w:pPr>
        <w:spacing w:after="100"/>
      </w:pPr>
      <w:r>
        <w:rPr>
          <w:rFonts w:ascii="Arial" w:cs="Arial" w:eastAsia="Arial" w:hAnsi="Arial"/>
          <w:sz w:val="20"/>
          <w:szCs w:val="20"/>
        </w:rPr>
        <w:t xml:space="preserve">Payments: Stripe (subscription management, webhook processing)</w:t>
      </w:r>
    </w:p>
    <w:p>
      <w:pPr>
        <w:spacing w:after="100"/>
      </w:pPr>
      <w:r>
        <w:rPr>
          <w:rFonts w:ascii="Arial" w:cs="Arial" w:eastAsia="Arial" w:hAnsi="Arial"/>
          <w:sz w:val="20"/>
          <w:szCs w:val="20"/>
        </w:rPr>
        <w:t xml:space="preserve">Embeddings: OpenAI text-embedding-3-small, pgvector for semantic search</w:t>
      </w:r>
    </w:p>
    <w:p>
      <w:pPr>
        <w:spacing w:after="80"/>
      </w:pPr>
      <w:r>
        <w:t xml:space="preserve"/>
      </w:r>
    </w:p>
    <w:p>
      <w:pPr>
        <w:pStyle w:val="Heading2"/>
        <w:spacing w:after="120" w:before="200"/>
      </w:pPr>
      <w:r>
        <w:rPr>
          <w:rFonts w:ascii="Arial" w:cs="Arial" w:eastAsia="Arial" w:hAnsi="Arial"/>
          <w:b/>
          <w:bCs/>
          <w:color w:val="2E75B6"/>
          <w:sz w:val="26"/>
          <w:szCs w:val="26"/>
        </w:rPr>
        <w:t xml:space="preserve">Assessment Methodology</w:t>
      </w:r>
    </w:p>
    <w:p>
      <w:pPr>
        <w:spacing w:after="100"/>
      </w:pPr>
      <w:r>
        <w:rPr>
          <w:rFonts w:ascii="Arial" w:cs="Arial" w:eastAsia="Arial" w:hAnsi="Arial"/>
          <w:sz w:val="20"/>
          <w:szCs w:val="20"/>
        </w:rPr>
        <w:t xml:space="preserve">This gap analysis was conducted through direct code review of all API routes, middleware, database migrations, security utilities, and library files. Each control point was assessed against the current codebase state. Controls were rated: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 Met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00"/>
            </w:pPr>
            <w:r>
              <w:rPr>
                <w:rFonts w:ascii="Arial" w:cs="Arial" w:eastAsia="Arial" w:hAnsi="Arial"/>
                <w:sz w:val="18"/>
                <w:szCs w:val="18"/>
              </w:rPr>
              <w:t xml:space="preserve">Fully implemented</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00"/>
            </w:pPr>
            <w:r>
              <w:rPr>
                <w:rFonts w:ascii="Arial" w:cs="Arial" w:eastAsia="Arial" w:hAnsi="Arial"/>
                <w:sz w:val="18"/>
                <w:szCs w:val="18"/>
              </w:rPr>
              <w:t xml:space="preserve">The control is implemented, enforced, and verifiable in the current codebase or documented process.</w:t>
            </w:r>
          </w:p>
        </w:tc>
      </w:tr>
      <w:tr>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 Partial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00"/>
            </w:pPr>
            <w:r>
              <w:rPr>
                <w:rFonts w:ascii="Arial" w:cs="Arial" w:eastAsia="Arial" w:hAnsi="Arial"/>
                <w:sz w:val="18"/>
                <w:szCs w:val="18"/>
              </w:rPr>
              <w:t xml:space="preserve">Partially implemented</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00"/>
            </w:pPr>
            <w:r>
              <w:rPr>
                <w:rFonts w:ascii="Arial" w:cs="Arial" w:eastAsia="Arial" w:hAnsi="Arial"/>
                <w:sz w:val="18"/>
                <w:szCs w:val="18"/>
              </w:rPr>
              <w:t xml:space="preserve">The control exists in some form but has documented weaknesses, missing coverage areas, or lacks formal documentation.</w:t>
            </w:r>
          </w:p>
        </w:tc>
      </w:tr>
      <w:tr>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 Gap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00"/>
            </w:pPr>
            <w:r>
              <w:rPr>
                <w:rFonts w:ascii="Arial" w:cs="Arial" w:eastAsia="Arial" w:hAnsi="Arial"/>
                <w:sz w:val="18"/>
                <w:szCs w:val="18"/>
              </w:rPr>
              <w:t xml:space="preserve">Not implemented</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00"/>
            </w:pPr>
            <w:r>
              <w:rPr>
                <w:rFonts w:ascii="Arial" w:cs="Arial" w:eastAsia="Arial" w:hAnsi="Arial"/>
                <w:sz w:val="18"/>
                <w:szCs w:val="18"/>
              </w:rPr>
              <w:t xml:space="preserve">The control is absent. A finding will be raised by an auditor. Remediation is required before Type 1 can proceed.</w:t>
            </w:r>
          </w:p>
        </w:tc>
      </w:tr>
    </w:tbl>
    <w:p>
      <w:r>
        <w:br w:type="page"/>
      </w:r>
    </w:p>
    <w:p>
      <w:pPr>
        <w:pStyle w:val="Heading1"/>
      </w:pPr>
      <w:r>
        <w:rPr>
          <w:rFonts w:ascii="Arial" w:cs="Arial" w:eastAsia="Arial" w:hAnsi="Arial"/>
          <w:b/>
          <w:bCs/>
          <w:color w:val="1F3864"/>
          <w:sz w:val="32"/>
          <w:szCs w:val="32"/>
        </w:rPr>
        <w:t xml:space="preserve">3. Technical Controls Already In Place</w:t>
      </w:r>
    </w:p>
    <w:p>
      <w:pPr>
        <w:spacing w:after="80"/>
      </w:pPr>
      <w:r>
        <w:t xml:space="preserve"/>
      </w:r>
    </w:p>
    <w:p>
      <w:pPr>
        <w:spacing w:after="100"/>
      </w:pPr>
      <w:r>
        <w:rPr>
          <w:rFonts w:ascii="Arial" w:cs="Arial" w:eastAsia="Arial" w:hAnsi="Arial"/>
          <w:sz w:val="20"/>
          <w:szCs w:val="20"/>
        </w:rPr>
        <w:t xml:space="preserve">The following controls are implemented and verifiable in the current codebase. They represent a solid security baseline that will satisfy many CC and C criteria.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Control Area</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Implementation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TSC Coverage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Multi-Tenant Data Isolation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PostgreSQL Row-Level Security (RLS) on all 20+ tables; org_id enforced on every query; SECURITY DEFINER functions hardened against search_path injection</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CC6.3, CC6.6, C1.1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Role-Based Access Control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Four roles: admin, manager, agent, qa_reviewer. Enforced at both DB (RLS) and API layers. Role checks on all admin-only endpoints.</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CC6.3, CC6.7</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Session Authentication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Supabase JWT sessions; middleware validates via auth.getUser() (server-side, spoofing-resistant); safe open-redirect guard on login/callback flows.</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CC6.1, CC6.6</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API Gateway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Rate limiting (per-IP), request body-size caps, IP blacklisting, security response headers applied to all routes.</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CC6.5, CC7.2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Input Validation &amp; Length Caps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All user-controlled fields validated and capped before DB writes and LLM calls. Covers names (100), emails (254), subjects (500), bodies (50k), tags, org names (200).</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CC5.2, C1.1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Prompt Injection Prevention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XML delimiter isolation wraps all user-controlled content in LLM prompts. System prompt instructs model to ignore embedded instructions.</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CC5.2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OAuth Token Encryption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Gmail OAuth access/refresh tokens encrypted at rest with AES-256-GCM. Encryption key stored in environment variable, not in DB.</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CC6.7, C1.1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External API Resilience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All outbound API calls (OpenAI, Stripe, Google, Postmark) use fetchWithCircuitBreaker with configurable timeout and failure thresholds.</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A1.1, CC7.1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Webhook Authentication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Both Postmark (POSTMARK_INBOUND_TOKEN) and Google Pub/Sub (GMAIL_PUSH_TOKEN) webhooks require token authentication; fail-closed if env var missing.</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CC6.1, CC6.5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Email Header Injection Prevention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stripHeaderInjectables() removes CR/LF/NUL from all outbound email headers. From name additionally sanitized in settings API.</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CC5.2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Stripe Signature Verification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HMAC-SHA256 webhook verification with 5-minute clock skew tolerance implemented natively (no Stripe SDK dependency).</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CC6.1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Database Migrations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27 sequential migration files with NOT VALID CHECK constraints; all SECURITY DEFINER functions set search_path = ''.</w:t>
            </w:r>
          </w:p>
        </w:tc>
        <w:tc>
          <w:tcPr>
            <w:tcW w:type="dxa" w:w="288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sz w:val="18"/>
                <w:szCs w:val="18"/>
              </w:rPr>
              <w:t xml:space="preserve">CC8.1</w:t>
            </w:r>
          </w:p>
        </w:tc>
      </w:tr>
    </w:tbl>
    <w:p>
      <w:r>
        <w:br w:type="page"/>
      </w:r>
    </w:p>
    <w:p>
      <w:pPr>
        <w:pStyle w:val="Heading1"/>
      </w:pPr>
      <w:r>
        <w:rPr>
          <w:rFonts w:ascii="Arial" w:cs="Arial" w:eastAsia="Arial" w:hAnsi="Arial"/>
          <w:b/>
          <w:bCs/>
          <w:color w:val="1F3864"/>
          <w:sz w:val="32"/>
          <w:szCs w:val="32"/>
        </w:rPr>
        <w:t xml:space="preserve">4. Gap Analysis by Trust Service Category</w:t>
      </w:r>
    </w:p>
    <w:p>
      <w:pPr>
        <w:spacing w:after="80"/>
      </w:pPr>
      <w:r>
        <w:t xml:space="preserve"/>
      </w:r>
    </w:p>
    <w:p>
      <w:pPr>
        <w:pStyle w:val="Heading2"/>
        <w:spacing w:after="120" w:before="200"/>
      </w:pPr>
      <w:r>
        <w:rPr>
          <w:rFonts w:ascii="Arial" w:cs="Arial" w:eastAsia="Arial" w:hAnsi="Arial"/>
          <w:b/>
          <w:bCs/>
          <w:color w:val="2E75B6"/>
          <w:sz w:val="26"/>
          <w:szCs w:val="26"/>
        </w:rPr>
        <w:t xml:space="preserve">4.1  Security — Common Criteria (CC)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900"/>
        <w:gridCol w:w="8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Control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Current State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Status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Remediation Required</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CC1 — Control Environment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Commitment to competence and security integrity is demonstrated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RBAC enforced in code (admin/manager/agent). No formal security roles matrix, org chart, or job descriptions documented.</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security roles and responsibilities. Create a Security Roles Matrix. Define RACI for security operations.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Board or management oversight of security objectives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Founder-operated startup with informal oversight. No documented management review cadence for security.</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Establish a quarterly security review meeting. Document meeting agenda and decisions. Retain minutes as audit evidence.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Organizational structure with clear lines of authority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Application roles defined (admin/manager). No written org chart or authority matrix for non-technical staff.</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org chart and decision authority matrix. Specify who has authority to grant/revoke access, approve changes, and declare incidents.</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CC2 — Communication and Information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Information and communication to support internal controls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security awareness training program. No documented internal security communication process.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Establish annual security awareness training. Document and retain completion records. Create an internal security bulletin process.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External communication of security commitments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public security page, vulnerability disclosure policy, or security contact. No DPA or sub-processor list.</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Publish a security page at /security. Create a responsible disclosure / vulnerability reporting policy. Draft DPA template for customers.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Communication of reporting obligations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incident escalation matrix or notification thresholds.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Define who must be notified (internal), when (SLA thresholds), and under what conditions (data breach = 72-hour rule). Document in Incident Response Policy.</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CC3 — Risk Assessment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CC3.1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Formal risk identification process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risk register maintained. Technical risks addressed reactively through code hardening.</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Create and maintain a Risk Register. Conduct initial formal risk assessment covering all system components. Update at least annually.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Risk analysis and likelihood/impact assessment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methodology for scoring risks by likelihood and impact.</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Define a risk scoring framework (e.g., 3x3 or 5x5 matrix). Apply to all identified risks. Assign owners and treatment decisions.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CC3.3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Risk mitigation strategy documented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Technical mitigations exist (RLS, RBAC, validation, encryption) but are not formally mapped to specific risks.</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Map existing controls to risks in the Risk Register. Document residual risk acceptance decisions. Assign control owners.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Risk assessment updated for significant changes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formal change impact assessment process. Migrations are tracked but not formally reviewed for risk.</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Define what constitutes a significant change. Require risk assessment update before major feature deployments or infrastructure changes.</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CC4 — Monitoring Activities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CC4.1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Ongoing monitoring of control effectiveness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centralized logging or monitoring system. Application errors logged to console only (serverless; logs may not be retained).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Implement structured audit logging (migration 0027 + audit-logger utility). Configure log retention. Set up Vercel log drains or equivalent for persistent log storage.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CC4.2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Evaluation and communication of control deficiencies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formal process for identifying, documenting, and remediating control deficiencies.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Define a deficiency management process. Log deficiencies in a tracking system. Require remediation sign-off and evidence.</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CC5 — Control Activities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CC5.1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Controls selected and developed to mitigate risks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Technical controls exist. Not formally mapped to the risk register as risk treatments.</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Link controls to risks in the Risk Register. Document residual risk for each risk after controls are applied.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CC5.2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Technology controls over access and processing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RLS, RBAC, field validation, circuit breakers, prompt injection prevention, webhook auth all implemented. No formal control testing cadence.</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 Met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immediate remediation. Schedule quarterly control testing. Retain test evidence for Type 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CC5.3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Deployment of controls through policies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Technical controls implemented in code. No formal policy documents for employees or customers.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Write and adopt: Information Security Policy, Access Control Policy, Change Management Policy, Data Retention Policy, Acceptable Use Policy. Require employee acknowledgment.</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CC6 — Logical and Physical Access Controls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Authentication and access credentials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Supabase magic link + OAuth. Session validated server-side via auth.getUser(). No MFA enforcement, no failed-login tracking or account lockout.</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Enforce MFA for admin/manager roles. Track and alert on failed login attempts. Implement account lockout after N failures. Configure session idle timeout.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Provisioning and deprovisioning of access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Invite-based user creation with role assignment. Deprovisioning requires manual admin action. No formal offboarding checklist.</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user provisioning/deprovisioning process. Create an offboarding checklist. Set up automated deactivation on HR event (future). Log all access changes to audit log.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Access restrictions (least privilege)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Four roles enforced at DB + API layers. No documented access review/recertification cadence.</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Schedule quarterly access reviews. Document review evidence. Implement principle of least privilege for service accounts. Log all role changes to audit log.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Physical and environmental access controls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Fully cloud-hosted (Supabase/Vercel). Physical controls inherited from providers.</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 Met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Obtain and retain Supabase and Vercel SOC 2 / ISO 27001 reports annually as sub-processor evidence.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Network and infrastructure access controls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API gateway enforces rate limits, body-size caps, IP blacklisting. HTTPS enforced. No formal network policy document.</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network access controls in the Information Security Policy. Define and enforce permitted protocols and ports.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Authentication event monitoring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audit log of authentication events. Login, logout, and failed attempts are not recorded.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Implement auth event logging via Supabase auth hooks (handle_new_user, on_auth_sign_in). Log to audit_logs table. Alert on anomalous patterns (e.g., &gt;5 failed logins in 5 min).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CC6.7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Unauthorized disclosure prevention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AES-256-GCM encryption for OAuth tokens. TLS in transit. Supabase encryption at rest. No DLP controls or confidential data inventory.</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Create a data classification policy. Document all sensitive data types and their handling requirements. Implement data disposal procedures.</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CC7 — System Operations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CC7.1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Vulnerability and configuration management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vulnerability scanning or automated dependency auditing. No patch management SLA documented.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Implement npm audit in CI/CD. Run Dependabot or Snyk. Define patch SLAs (critical = 24h, high = 7 days). Document patch management policy.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CC7.2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Monitoring for anomalous activity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API gateway provides basic rate limiting. No SIEM, no alerting on unusual access patterns, no anomaly detection.</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Configure Vercel log drains to a SIEM or log aggregator. Set up alerts for: excessive failed logins, unusual data volume, off-hours admin actions, new admin user creation.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CC7.3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Incident evaluation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incident response plan. No defined severity levels or escalation paths.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Write and adopt an Incident Response Policy. Define severity levels (P1-P4). Define escalation contacts and notification thresholds.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CC7.4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Incident response procedures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IR runbook, communication templates, or evidence-preservation process.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Create IR runbook with step-by-step procedures for: data breach, service outage, unauthorized access, third-party compromise. Include communication templates.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CC7.5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Post-incident review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post-incident review process. No incident log maintained.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Define post-incident review process (blameless postmortem within 5 business days of P1/P2). Maintain an incident log.</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CC8 — Change Management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CC8.1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Change management and deployment controls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27 sequential database migrations tracked in git. No formal code review policy, required approvals, or deployment authorization matrix.</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change management policy. Require PR code review (at least 1 approver) for all changes. Define pre-deployment checklist. Require migration review before production apply.</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CC9 — Risk Mitigation (Business Partners)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CC9.1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Vendor risk management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Six critical sub-processors (Supabase, Vercel, OpenAI, Postmark, Stripe, Google) all have access to system or customer data. No vendor risk assessments documented.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Conduct and document vendor risk assessments for all sub-processors. Obtain their SOC 2 / security certifications. Execute DPAs where required (Supabase, OpenAI, Postmark, Google).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CC9.2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Third-party monitoring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process for monitoring sub-processor security status, incident notifications, or compliance posture changes.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Subscribe to security advisories and status pages for all critical vendors. Define how vendor security incidents trigger internal review. Document monitoring cadence.</w:t>
            </w:r>
          </w:p>
        </w:tc>
      </w:tr>
    </w:tbl>
    <w:p>
      <w:r>
        <w:br w:type="page"/>
      </w:r>
    </w:p>
    <w:p>
      <w:pPr>
        <w:pStyle w:val="Heading2"/>
        <w:spacing w:after="120" w:before="200"/>
      </w:pPr>
      <w:r>
        <w:rPr>
          <w:rFonts w:ascii="Arial" w:cs="Arial" w:eastAsia="Arial" w:hAnsi="Arial"/>
          <w:b/>
          <w:bCs/>
          <w:color w:val="2E75B6"/>
          <w:sz w:val="26"/>
          <w:szCs w:val="26"/>
        </w:rPr>
        <w:t xml:space="preserve">4.2  Availability (A)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900"/>
        <w:gridCol w:w="8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Control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Current State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Status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Remediation Required</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A1 — Availability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A1.1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Capacity planning and performance monitoring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Circuit breakers protect against cascading failures. No formal capacity planning, no uptime monitoring configured, no SLA commitments documented.</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Configure uptime monitoring (Vercel Analytics or external tool such as Better Uptime). Define and document RTO and RPO targets. Document SLA commitments in customer agreements.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A1.1b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Environmental controls (redundancy)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Supabase and Vercel provide multi-zone redundancy. No explicit redundancy validation or architecture diagram.</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infrastructure topology and redundancy configuration. Obtain Supabase and Vercel availability SLAs. Include in BCP.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A1.2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Business continuity planning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business continuity or disaster recovery plan. Supabase provides daily backups (PITR on paid plans) but no restoration has been tested.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Write a Business Continuity and Disaster Recovery Plan. Define RTO (e.g., 4 hours) and RPO (e.g., 1 hour). Document recovery procedures. Verify PITR is enabled on Supabase production instance.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A1.3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Recovery plan testing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backup restoration tests. PITR capability exists but untested.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Perform and document at least one annual backup restoration test. Record results and any issues. Include in BCP as scheduled exercise.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A1.3b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Incident communication for availability 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outage communication process or status page.</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Create a public status page (e.g., Statuspage.io). Define customer communication SLAs for outages (notify within 30 min for P1). Include communication templates in IR runbook.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A1.3c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Capacity and performance testing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load testing or capacity baseline established.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Establish performance baselines. Conduct load testing before major launches. Document acceptable response time thresholds.</w:t>
            </w:r>
          </w:p>
        </w:tc>
      </w:tr>
    </w:tbl>
    <w:p>
      <w:pPr>
        <w:spacing w:after="80"/>
      </w:pPr>
      <w:r>
        <w:t xml:space="preserve"/>
      </w:r>
    </w:p>
    <w:p>
      <w:pPr>
        <w:pStyle w:val="Heading2"/>
        <w:spacing w:after="120" w:before="200"/>
      </w:pPr>
      <w:r>
        <w:rPr>
          <w:rFonts w:ascii="Arial" w:cs="Arial" w:eastAsia="Arial" w:hAnsi="Arial"/>
          <w:b/>
          <w:bCs/>
          <w:color w:val="2E75B6"/>
          <w:sz w:val="26"/>
          <w:szCs w:val="26"/>
        </w:rPr>
        <w:t xml:space="preserve">4.3  Confidentiality (C)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900"/>
        <w:gridCol w:w="8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Control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Current State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Status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Remediation Required</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C1 — Confidentiality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Identification and classification of confidential information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data classification policy. No inventory of confidential data fields. Encryption applied to OAuth tokens but not formally documented as a confidentiality control.</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Create a Data Classification Policy defining tiers (Public, Internal, Confidential, Restricted). Map all database fields to tiers. Document confidential data inventory.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C1.1b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Confidential information handling procedures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procedures for how agents should handle confidential customer data (e.g., no clear desk policy, screen lock requirements).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data handling procedures in the Access Control Policy. Define clear screen/desk requirements. Include in security awareness training.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Disposal of confidential information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data retention policy. No automated purging of old records. No documented data disposal process for off-boarding customers.</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Write a Data Retention and Disposal Policy. Implement automated purging of records past retention period. Build a customer data deletion endpoint. Document media disposal procedures.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C1.2b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Confidentiality obligations with third parties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data processing agreements (DPAs) executed with sub-processors who handle customer data.</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Execute DPAs with: Supabase, OpenAI, Postmark, Google. Include confidentiality and sub-processor obligations. Retain signed copies.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C1.2c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Encryption of confidential data in transit and at rest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TLS enforced in transit. Supabase encrypts data at rest (AES-256). OAuth tokens encrypted with AES-256-GCM. Not formally documented.</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 Met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7"/>
                <w:szCs w:val="17"/>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encryption approach in Information Security Policy. Retain Supabase encryption attestation as evidence.</w:t>
            </w:r>
          </w:p>
        </w:tc>
      </w:tr>
    </w:tbl>
    <w:p>
      <w:pPr>
        <w:spacing w:after="80"/>
      </w:pPr>
      <w:r>
        <w:t xml:space="preserve"/>
      </w:r>
    </w:p>
    <w:p>
      <w:pPr>
        <w:pStyle w:val="Heading2"/>
        <w:spacing w:after="120" w:before="200"/>
      </w:pPr>
      <w:r>
        <w:rPr>
          <w:rFonts w:ascii="Arial" w:cs="Arial" w:eastAsia="Arial" w:hAnsi="Arial"/>
          <w:b/>
          <w:bCs/>
          <w:color w:val="2E75B6"/>
          <w:sz w:val="26"/>
          <w:szCs w:val="26"/>
        </w:rPr>
        <w:t xml:space="preserve">4.4  Privacy (P)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900"/>
        <w:gridCol w:w="8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Control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Current State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Status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Remediation Required</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r>
              <w:rPr>
                <w:rFonts w:ascii="Arial" w:cs="Arial" w:eastAsia="Arial" w:hAnsi="Arial"/>
                <w:b/>
                <w:bCs/>
                <w:color w:val="1F3864"/>
                <w:sz w:val="18"/>
                <w:szCs w:val="18"/>
              </w:rPr>
              <w:t xml:space="preserve">P1–P8 — Privacy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P1.1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Privacy notice provided to data subjects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Privacy Policy published. No notice provided to end users about what personal data is collected or how it is used.</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Draft and publish a Privacy Policy covering: data collected, purpose, legal basis, retention, data subject rights, third-party sharing, contact information.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P2.1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Choice and consent mechanisms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consent mechanism for data collection. No opt-out for non-essential data processing.</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Implement consent capture for data collection at sign-up. Provide opt-out mechanism for non-essential processing. Log consent with timestamp.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P3.1 / P4.1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Collection, use, retention, and disposal of personal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Only data necessary for CRM function collected. No formal documentation of purpose limitation. No retention schedule.</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 Partial</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Document data collection purposes and legal basis. Define retention periods per data category. Implement automated deletion at end of retention period.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P5.1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Access to personal data (data subject rights)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data subject access request (DSAR) process. No mechanism for individuals to request their data, correction, or deletion.</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Build a DSAR process. Create a /api/account/data-export endpoint. Create a /api/account/delete endpoint. Define 30-day response SLA.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bCs/>
                <w:color w:val="1F3864"/>
                <w:sz w:val="17"/>
                <w:szCs w:val="17"/>
              </w:rPr>
              <w:t xml:space="preserve">P6.1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Disclosure to third parties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No documented sub-processor list. No customer-facing information about third-party data sharing.</w:t>
            </w:r>
          </w:p>
        </w:tc>
        <w:tc>
          <w:tcPr>
            <w:tcW w:type="dxa" w:w="9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rFonts w:ascii="Arial" w:cs="Arial" w:eastAsia="Arial" w:hAnsi="Arial"/>
                <w:b/>
                <w:bCs/>
                <w:color w:val="9C0006"/>
                <w:sz w:val="17"/>
                <w:szCs w:val="17"/>
              </w:rPr>
              <w:t xml:space="preserve">✗ Gap</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rFonts w:ascii="Arial" w:cs="Arial" w:eastAsia="Arial" w:hAnsi="Arial"/>
                <w:b/>
                <w:bCs/>
                <w:color w:val="7D4E00"/>
                <w:sz w:val="17"/>
                <w:szCs w:val="17"/>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r>
              <w:rPr>
                <w:rFonts w:ascii="Arial" w:cs="Arial" w:eastAsia="Arial" w:hAnsi="Arial"/>
                <w:b w:val="false"/>
                <w:bCs w:val="false"/>
                <w:color w:val="000000"/>
                <w:sz w:val="17"/>
                <w:szCs w:val="17"/>
              </w:rPr>
              <w:t xml:space="preserve">Publish a sub-processor list. Include third-party disclosure in Privacy Policy. Execute DPAs with all sub-processors.</w:t>
            </w:r>
          </w:p>
        </w:tc>
      </w:tr>
    </w:tbl>
    <w:p>
      <w:r>
        <w:br w:type="page"/>
      </w:r>
    </w:p>
    <w:p>
      <w:pPr>
        <w:pStyle w:val="Heading1"/>
      </w:pPr>
      <w:r>
        <w:rPr>
          <w:rFonts w:ascii="Arial" w:cs="Arial" w:eastAsia="Arial" w:hAnsi="Arial"/>
          <w:b/>
          <w:bCs/>
          <w:color w:val="1F3864"/>
          <w:sz w:val="32"/>
          <w:szCs w:val="32"/>
        </w:rPr>
        <w:t xml:space="preserve">5. Third-Party Sub-Processors</w:t>
      </w:r>
    </w:p>
    <w:p>
      <w:pPr>
        <w:spacing w:after="80"/>
      </w:pPr>
      <w:r>
        <w:t xml:space="preserve"/>
      </w:r>
    </w:p>
    <w:p>
      <w:pPr>
        <w:spacing w:after="100"/>
      </w:pPr>
      <w:r>
        <w:rPr>
          <w:rFonts w:ascii="Arial" w:cs="Arial" w:eastAsia="Arial" w:hAnsi="Arial"/>
          <w:sz w:val="20"/>
          <w:szCs w:val="20"/>
        </w:rPr>
        <w:t xml:space="preserve">The following vendors have access to Work Hat CRM data or infrastructure. All require formal vendor risk assessments and data processing agreements (DPAs) before a SOC 2 audit.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480"/>
        <w:gridCol w:w="14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Vendor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Data Accessed</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DPA Needed</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Risk Level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Supabase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Database, Auth, Storage, Edge Functions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All customer data, auth credentials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Yes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Vercel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Application hosting, CDN, serverless functions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Application code, environment secrets, request logs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Yes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OpenAI</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AI draft generation, intent classification, embeddings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Email content, conversation history, knowledge base entries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Yes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Google (Gmail)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Email connector — OAuth, read/send email, Pub/Sub push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Customer email content, OAuth tokens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Yes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Postmark</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Inbound and outbound email relay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Email content, sender/recipient addresses</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Yes</w:t>
            </w:r>
          </w:p>
        </w:tc>
        <w:tc>
          <w:tcPr>
            <w:tcW w:type="dxa" w:w="148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00"/>
            </w:tcMar>
          </w:tcPr>
          <w:p>
            <w:pPr>
              <w:jc w:val="center"/>
            </w:pPr>
            <w:r>
              <w:rPr>
                <w:rFonts w:ascii="Arial" w:cs="Arial" w:eastAsia="Arial" w:hAnsi="Arial"/>
                <w:b/>
                <w:bCs/>
                <w:color w:val="7D4E00"/>
                <w:sz w:val="17"/>
                <w:szCs w:val="17"/>
              </w:rPr>
              <w:t xml:space="preserve">Medium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b/>
                <w:bCs/>
                <w:color w:val="1F3864"/>
                <w:sz w:val="18"/>
                <w:szCs w:val="18"/>
              </w:rPr>
              <w:t xml:space="preserve">Stripe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Payment processing, subscription management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Billing data, org metadata (no cardholder data stored in app)</w:t>
            </w:r>
          </w:p>
        </w:tc>
        <w:tc>
          <w:tcPr>
            <w:tcW w:type="dxa" w:w="148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jc w:val="center"/>
            </w:pPr>
            <w:r>
              <w:rPr>
                <w:rFonts w:ascii="Arial" w:cs="Arial" w:eastAsia="Arial" w:hAnsi="Arial"/>
                <w:b/>
                <w:bCs/>
                <w:color w:val="9C0006"/>
                <w:sz w:val="17"/>
                <w:szCs w:val="17"/>
              </w:rPr>
              <w:t xml:space="preserve">Yes</w:t>
            </w:r>
          </w:p>
        </w:tc>
        <w:tc>
          <w:tcPr>
            <w:tcW w:type="dxa" w:w="148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00"/>
            </w:tcMar>
          </w:tcPr>
          <w:p>
            <w:pPr>
              <w:jc w:val="center"/>
            </w:pPr>
            <w:r>
              <w:rPr>
                <w:rFonts w:ascii="Arial" w:cs="Arial" w:eastAsia="Arial" w:hAnsi="Arial"/>
                <w:b/>
                <w:bCs/>
                <w:color w:val="7D4E00"/>
                <w:sz w:val="17"/>
                <w:szCs w:val="17"/>
              </w:rPr>
              <w:t xml:space="preserve">Medium</w:t>
            </w:r>
          </w:p>
        </w:tc>
      </w:tr>
    </w:tbl>
    <w:p>
      <w:r>
        <w:br w:type="page"/>
      </w:r>
    </w:p>
    <w:p>
      <w:pPr>
        <w:pStyle w:val="Heading1"/>
      </w:pPr>
      <w:r>
        <w:rPr>
          <w:rFonts w:ascii="Arial" w:cs="Arial" w:eastAsia="Arial" w:hAnsi="Arial"/>
          <w:b/>
          <w:bCs/>
          <w:color w:val="1F3864"/>
          <w:sz w:val="32"/>
          <w:szCs w:val="32"/>
        </w:rPr>
        <w:t xml:space="preserve">6. Remediation Roadmap</w:t>
      </w:r>
    </w:p>
    <w:p>
      <w:pPr>
        <w:spacing w:after="80"/>
      </w:pPr>
      <w:r>
        <w:t xml:space="preserve"/>
      </w:r>
    </w:p>
    <w:p>
      <w:pPr>
        <w:spacing w:after="100"/>
      </w:pPr>
      <w:r>
        <w:rPr>
          <w:rFonts w:ascii="Arial" w:cs="Arial" w:eastAsia="Arial" w:hAnsi="Arial"/>
          <w:sz w:val="20"/>
          <w:szCs w:val="20"/>
        </w:rPr>
        <w:t xml:space="preserve">Remediation is organized into two phases. Phase 1 achieves Type 1 readiness (controls designed and implemented as of a point in time). Phase 2 builds the operating evidence required for Type 2 (controls operating effectively over a 6–12 month period).</w:t>
      </w:r>
    </w:p>
    <w:p>
      <w:pPr>
        <w:spacing w:after="80"/>
      </w:pPr>
      <w:r>
        <w:t xml:space="preserve"/>
      </w:r>
    </w:p>
    <w:p>
      <w:pPr>
        <w:pStyle w:val="Heading2"/>
        <w:spacing w:after="120" w:before="200"/>
      </w:pPr>
      <w:r>
        <w:rPr>
          <w:rFonts w:ascii="Arial" w:cs="Arial" w:eastAsia="Arial" w:hAnsi="Arial"/>
          <w:b/>
          <w:bCs/>
          <w:color w:val="2E75B6"/>
          <w:sz w:val="26"/>
          <w:szCs w:val="26"/>
        </w:rPr>
        <w:t xml:space="preserve">Phase 1 — Type 1 Readiness (Weeks 1–12)</w:t>
      </w:r>
    </w:p>
    <w:p>
      <w:pPr>
        <w:spacing w:after="80"/>
      </w:pPr>
      <w:r>
        <w:t xml:space="preserve"/>
      </w:r>
    </w:p>
    <w:p>
      <w:pPr>
        <w:pStyle w:val="Heading3"/>
        <w:spacing w:after="80" w:before="160"/>
      </w:pPr>
      <w:r>
        <w:rPr>
          <w:rFonts w:ascii="Arial" w:cs="Arial" w:eastAsia="Arial" w:hAnsi="Arial"/>
          <w:b/>
          <w:bCs/>
          <w:color w:val="1F3864"/>
          <w:sz w:val="22"/>
          <w:szCs w:val="22"/>
        </w:rPr>
        <w:t xml:space="preserve">P1-T1: Technical Controls (Weeks 1–4)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60"/>
        <w:gridCol w:w="800"/>
        <w:gridCol w:w="1200"/>
        <w:gridCol w:w="9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TSC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Audit log table (migration 0027)</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Build audit_logs table with org_id, actor_id, action enum, resource_type, resource_id, old/new values (JSONB), IP address, user agent, timestamp. RLS locked to service role only.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CC4.1, CC6.6, CC7.2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Audit logger utility + route instrumentation</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Create lib/security/audit-logger.ts. Instrument all sensitive routes: auth events, user CRUD, role changes, settings, knowledge mutations, contact/company deletes, billing events.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CC4.1, CC6.6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Data retention + deletion (migration 0028)</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Add data_retention_policies table. Build automated purge for records past retention period. Build /api/account/delete endpoint for DSAR erasure.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C1.2, P4.1, P5.1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Session idle timeout</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Configure Supabase JWT expiry (default 1h). Add middleware idle-timeout check. Force re-auth after N minutes of inactivity.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3 days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CC6.1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MFA enrollment tracking</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Add mfa_enabled flag to users table. Build /api/settings/mfa endpoints. Enforce MFA challenge for admin/manager roles on sensitive operations.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CC6.1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Failed login monitoring</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Subscribe to Supabase auth.sign_in_failed webhook or query auth.audit_log_entries. Log to audit_logs. Alert if &gt;5 failures in 5 minutes for same email.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3 days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CC6.1, CC6.6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npm audit in CI + Dependabot</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Add npm audit --audit-level=high to CI pipeline. Enable GitHub Dependabot for automatic dependency PRs. Define patch SLAs.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CC7.1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P1-T1-08</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Data export endpoint</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Build /api/account/data-export returning all org data as structured JSON. Require admin role. Log to audit_logs.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3 days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P5.1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High</w:t>
            </w:r>
          </w:p>
        </w:tc>
      </w:tr>
    </w:tbl>
    <w:p>
      <w:pPr>
        <w:spacing w:after="80"/>
      </w:pPr>
      <w:r>
        <w:t xml:space="preserve"/>
      </w:r>
    </w:p>
    <w:p>
      <w:pPr>
        <w:pStyle w:val="Heading3"/>
        <w:spacing w:after="80" w:before="160"/>
      </w:pPr>
      <w:r>
        <w:rPr>
          <w:rFonts w:ascii="Arial" w:cs="Arial" w:eastAsia="Arial" w:hAnsi="Arial"/>
          <w:b/>
          <w:bCs/>
          <w:color w:val="1F3864"/>
          <w:sz w:val="22"/>
          <w:szCs w:val="22"/>
        </w:rPr>
        <w:t xml:space="preserve">P1-D1: Documentation (Weeks 2–6)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960"/>
        <w:gridCol w:w="900"/>
        <w:gridCol w:w="17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ID</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Document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Description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Effort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TSC</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P1-D1-01</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Information Security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Top-level policy covering: scope, roles, physical/logical security, encryption, incident response, change management, training, compliance. Require employee sign-off.</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3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CC1.1, CC5.3</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P1-D1-02</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Access Control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User provisioning/deprovisioning process, role definitions, access review cadence (quarterly), MFA requirements, session management, shared account prohibition.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CC6.1–CC6.7</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P1-D1-03</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Incident Response Policy + Runbook</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Severity levels (P1–P4), escalation paths, 72-hour breach notification obligation, communication templates, evidence-preservation steps, post-incident review process.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3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CC7.3–CC7.5</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P1-D1-04</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Change Management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PR review requirements, deployment authorization matrix, pre-deployment checklist, migration review process, rollback procedures, emergency change process.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CC8.1</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P1-D1-05</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Data Classification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Four tiers (Public/Internal/Confidential/Restricted), data inventory by tier, handling requirements per tier, labeling, transfer rules.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C1.1, CC6.7</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P1-D1-06</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Data Retention and Disposal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Retention periods by data category, automated purge schedule, media disposal procedures, customer off-boarding data deletion process.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C1.2, P4.1</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P1-D1-07</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Vendor Risk Management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Sub-processor inventory, risk assessment template, DPA requirements, annual reassessment process, vendor security incident notification requirements.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CC9.1–CC9.2</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P1-D1-08</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Business Continuity / DR Plan</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RTO/RPO targets, backup architecture, recovery procedures, communication plan for outages, annual test schedule.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3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A1.2–A1.3</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P1-D1-09</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Privacy Policy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Data collected, purpose/legal basis, retention periods, data subject rights (access/correction/deletion), third-party disclosure, contact information. Publish at /privacy.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days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P1.1, P6.1</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P1-D1-10</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Vendor Risk Assessments + DPA Execution</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Complete risk assessments for Supabase, Vercel, OpenAI, Postmark, Stripe, Google. Execute DPAs with each. Retain signed copies.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2 weeks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CC9.1, C1.2b</w:t>
            </w:r>
          </w:p>
        </w:tc>
      </w:tr>
    </w:tbl>
    <w:p>
      <w:pPr>
        <w:spacing w:after="80"/>
      </w:pPr>
      <w:r>
        <w:t xml:space="preserve"/>
      </w:r>
    </w:p>
    <w:p>
      <w:pPr>
        <w:pStyle w:val="Heading2"/>
        <w:spacing w:after="120" w:before="200"/>
      </w:pPr>
      <w:r>
        <w:rPr>
          <w:rFonts w:ascii="Arial" w:cs="Arial" w:eastAsia="Arial" w:hAnsi="Arial"/>
          <w:b/>
          <w:bCs/>
          <w:color w:val="2E75B6"/>
          <w:sz w:val="26"/>
          <w:szCs w:val="26"/>
        </w:rPr>
        <w:t xml:space="preserve">Phase 2 — Type 2 Operating Evidence (Months 3–15)</w:t>
      </w:r>
    </w:p>
    <w:p>
      <w:pPr>
        <w:spacing w:after="80"/>
      </w:pPr>
      <w:r>
        <w:t xml:space="preserve"/>
      </w:r>
    </w:p>
    <w:p>
      <w:pPr>
        <w:spacing w:after="100"/>
      </w:pPr>
      <w:r>
        <w:rPr>
          <w:rFonts w:ascii="Arial" w:cs="Arial" w:eastAsia="Arial" w:hAnsi="Arial"/>
          <w:sz w:val="20"/>
          <w:szCs w:val="20"/>
        </w:rPr>
        <w:t xml:space="preserve">Type 2 requires evidence that controls operated effectively over the entire audit period. The following activities must be performed and documented throughout the period.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060"/>
        <w:gridCol w:w="14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Activity</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Cadence</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Quarterly access reviews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Review all user accounts, roles, and access levels. Remove inactive users. Document reviewer, date, and findings. Retain for audit.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Quarterly</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Audit log review</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Monthly review of audit logs for anomalous events. Document review, findings, and any actions taken.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Monthly</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Vulnerability scanning</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Run npm audit and Snyk on every deploy. Produce monthly vulnerability report. Remediate per patch SLA.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Monthly</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Security awareness training</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All personnel complete annual security awareness training. Retain completion certificates.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Annual</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Risk register review</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Review and update risk register for new threats, changes in likelihood/impact, and new mitigations.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Quarterly</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Vendor reassessment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Review sub-processor SOC 2 reports and security certifications. Update DPAs if vendor terms change.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Annual</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P2-07</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BCP/DR test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Perform and document backup restoration test. Execute tabletop exercise for major outage scenario. Record results.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Annual</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Penetration test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Commission independent penetration test covering application and infrastructure layers. Remediate findings.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Annual</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P2-09</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Incident log maintenance</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Log all security incidents (including near-misses). Document root cause, impact, and resolution for each.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Ongoing</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P2-10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Change log review</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Monthly review of all production changes. Verify all changes followed the change management policy.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r>
              <w:rPr>
                <w:rFonts w:ascii="Arial" w:cs="Arial" w:eastAsia="Arial" w:hAnsi="Arial"/>
                <w:sz w:val="18"/>
                <w:szCs w:val="18"/>
              </w:rPr>
              <w:t xml:space="preserve">Monthly</w:t>
            </w:r>
          </w:p>
        </w:tc>
      </w:tr>
    </w:tbl>
    <w:p>
      <w:pPr>
        <w:spacing w:after="80"/>
      </w:pPr>
      <w:r>
        <w:t xml:space="preserve"/>
      </w:r>
    </w:p>
    <w:p>
      <w:pPr>
        <w:pStyle w:val="Heading2"/>
        <w:spacing w:after="120" w:before="200"/>
      </w:pPr>
      <w:r>
        <w:rPr>
          <w:rFonts w:ascii="Arial" w:cs="Arial" w:eastAsia="Arial" w:hAnsi="Arial"/>
          <w:b/>
          <w:bCs/>
          <w:color w:val="2E75B6"/>
          <w:sz w:val="26"/>
          <w:szCs w:val="26"/>
        </w:rPr>
        <w:t xml:space="preserve">Estimated Timeline to Audit Readiness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Milestone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Target</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Type 1 / Type 2</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Auditor Engagement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All critical gaps closed</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Week 4 (May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 prerequisite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Begin auditor selection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All high-priority gaps closed</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Week 8 (June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 prerequisite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Engage auditor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All policies documented + signed</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Week 10 (June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 prerequisite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DPAs executed with all vendors</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Week 12 (July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 prerequisite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SOC 2 Type 1 audit</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July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Auditor performs fieldwork</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 report issued</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August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1 complete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Distribute to prospects/customers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2 audit period start</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August 2026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2 period begins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Evidence collection begins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SOC 2 Type 2 audit</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August 2027</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2</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Auditor performs fieldwork</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2 report issued</w:t>
            </w:r>
          </w:p>
        </w:tc>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00"/>
            </w:pPr>
            <w:r>
              <w:rPr>
                <w:rFonts w:ascii="Arial" w:cs="Arial" w:eastAsia="Arial" w:hAnsi="Arial"/>
                <w:b/>
                <w:bCs/>
                <w:color w:val="1F3864"/>
                <w:sz w:val="18"/>
                <w:szCs w:val="18"/>
              </w:rPr>
              <w:t xml:space="preserve">October 2027</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Type 2 complete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Annual renewal cycle begins</w:t>
            </w:r>
          </w:p>
        </w:tc>
      </w:tr>
    </w:tbl>
    <w:p>
      <w:r>
        <w:br w:type="page"/>
      </w:r>
    </w:p>
    <w:p>
      <w:pPr>
        <w:pStyle w:val="Heading1"/>
      </w:pPr>
      <w:r>
        <w:rPr>
          <w:rFonts w:ascii="Arial" w:cs="Arial" w:eastAsia="Arial" w:hAnsi="Arial"/>
          <w:b/>
          <w:bCs/>
          <w:color w:val="1F3864"/>
          <w:sz w:val="32"/>
          <w:szCs w:val="32"/>
        </w:rPr>
        <w:t xml:space="preserve">7. Key Decisions and Open Questions</w:t>
      </w:r>
    </w:p>
    <w:p>
      <w:pPr>
        <w:spacing w:after="80"/>
      </w:pPr>
      <w:r>
        <w:t xml:space="preserve"/>
      </w:r>
    </w:p>
    <w:p>
      <w:pPr>
        <w:spacing w:after="100"/>
      </w:pPr>
      <w:r>
        <w:rPr>
          <w:rFonts w:ascii="Arial" w:cs="Arial" w:eastAsia="Arial" w:hAnsi="Arial"/>
          <w:b/>
          <w:bCs/>
          <w:sz w:val="20"/>
          <w:szCs w:val="20"/>
        </w:rPr>
        <w:t xml:space="preserve">OQ-1: Compliance tool? </w:t>
      </w:r>
      <w:r>
        <w:rPr>
          <w:rFonts w:ascii="Arial" w:cs="Arial" w:eastAsia="Arial" w:hAnsi="Arial"/>
          <w:sz w:val="20"/>
          <w:szCs w:val="20"/>
        </w:rPr>
        <w:t xml:space="preserve">Consider adopting Vanta, Drata, or Secureframe. These platforms automate evidence collection, control monitoring, and vendor management — significantly reducing Type 2 burden.</w:t>
      </w:r>
    </w:p>
    <w:p>
      <w:pPr>
        <w:spacing w:after="80"/>
      </w:pPr>
      <w:r>
        <w:t xml:space="preserve"/>
      </w:r>
    </w:p>
    <w:p>
      <w:pPr>
        <w:spacing w:after="100"/>
      </w:pPr>
      <w:r>
        <w:rPr>
          <w:rFonts w:ascii="Arial" w:cs="Arial" w:eastAsia="Arial" w:hAnsi="Arial"/>
          <w:b/>
          <w:bCs/>
          <w:sz w:val="20"/>
          <w:szCs w:val="20"/>
        </w:rPr>
        <w:t xml:space="preserve">OQ-2: MFA approach? </w:t>
      </w:r>
      <w:r>
        <w:rPr>
          <w:rFonts w:ascii="Arial" w:cs="Arial" w:eastAsia="Arial" w:hAnsi="Arial"/>
          <w:sz w:val="20"/>
          <w:szCs w:val="20"/>
        </w:rPr>
        <w:t xml:space="preserve">Supabase Auth supports TOTP (Google Authenticator) and phone MFA. Decide whether to enforce for all users or admin/manager roles only. Admin-only enforcement is the minimum for SOC 2.</w:t>
      </w:r>
    </w:p>
    <w:p>
      <w:pPr>
        <w:spacing w:after="80"/>
      </w:pPr>
      <w:r>
        <w:t xml:space="preserve"/>
      </w:r>
    </w:p>
    <w:p>
      <w:pPr>
        <w:spacing w:after="100"/>
      </w:pPr>
      <w:r>
        <w:rPr>
          <w:rFonts w:ascii="Arial" w:cs="Arial" w:eastAsia="Arial" w:hAnsi="Arial"/>
          <w:b/>
          <w:bCs/>
          <w:sz w:val="20"/>
          <w:szCs w:val="20"/>
        </w:rPr>
        <w:t xml:space="preserve">OQ-3: Log retention period? </w:t>
      </w:r>
      <w:r>
        <w:rPr>
          <w:rFonts w:ascii="Arial" w:cs="Arial" w:eastAsia="Arial" w:hAnsi="Arial"/>
          <w:sz w:val="20"/>
          <w:szCs w:val="20"/>
        </w:rPr>
        <w:t xml:space="preserve">SOC 2 Type 2 auditors typically want 12 months of logs. Define retention at minimum 12 months for audit_logs. Consider longer (24 months) for enterprise customers.</w:t>
      </w:r>
    </w:p>
    <w:p>
      <w:pPr>
        <w:spacing w:after="80"/>
      </w:pPr>
      <w:r>
        <w:t xml:space="preserve"/>
      </w:r>
    </w:p>
    <w:p>
      <w:pPr>
        <w:spacing w:after="100"/>
      </w:pPr>
      <w:r>
        <w:rPr>
          <w:rFonts w:ascii="Arial" w:cs="Arial" w:eastAsia="Arial" w:hAnsi="Arial"/>
          <w:b/>
          <w:bCs/>
          <w:sz w:val="20"/>
          <w:szCs w:val="20"/>
        </w:rPr>
        <w:t xml:space="preserve">OQ-4: Audit period start? </w:t>
      </w:r>
      <w:r>
        <w:rPr>
          <w:rFonts w:ascii="Arial" w:cs="Arial" w:eastAsia="Arial" w:hAnsi="Arial"/>
          <w:sz w:val="20"/>
          <w:szCs w:val="20"/>
        </w:rPr>
        <w:t xml:space="preserve">Type 2 requires a defined observation period (typically 6–12 months). The earlier the period starts, the sooner the Type 2 report can be issued. Recommend starting the observation period immediately after Type 1 is complete.</w:t>
      </w:r>
    </w:p>
    <w:p>
      <w:pPr>
        <w:spacing w:after="80"/>
      </w:pPr>
      <w:r>
        <w:t xml:space="preserve"/>
      </w:r>
    </w:p>
    <w:p>
      <w:pPr>
        <w:spacing w:after="100"/>
      </w:pPr>
      <w:r>
        <w:rPr>
          <w:rFonts w:ascii="Arial" w:cs="Arial" w:eastAsia="Arial" w:hAnsi="Arial"/>
          <w:b/>
          <w:bCs/>
          <w:sz w:val="20"/>
          <w:szCs w:val="20"/>
        </w:rPr>
        <w:t xml:space="preserve">OQ-5: Penetration test vendor? </w:t>
      </w:r>
      <w:r>
        <w:rPr>
          <w:rFonts w:ascii="Arial" w:cs="Arial" w:eastAsia="Arial" w:hAnsi="Arial"/>
          <w:sz w:val="20"/>
          <w:szCs w:val="20"/>
        </w:rPr>
        <w:t xml:space="preserve">Commission an independent penetration test before Type 1 if possible, or before Type 2. This demonstrates proactive security posture. Common vendors: Bishop Fox, Cobalt, Pentera.</w:t>
      </w:r>
    </w:p>
    <w:p>
      <w:pPr>
        <w:spacing w:after="80"/>
      </w:pPr>
      <w:r>
        <w:t xml:space="preserve"/>
      </w:r>
    </w:p>
    <w:p>
      <w:pPr>
        <w:spacing w:after="100"/>
      </w:pPr>
      <w:r>
        <w:rPr>
          <w:rFonts w:ascii="Arial" w:cs="Arial" w:eastAsia="Arial" w:hAnsi="Arial"/>
          <w:b/>
          <w:bCs/>
          <w:sz w:val="20"/>
          <w:szCs w:val="20"/>
        </w:rPr>
        <w:t xml:space="preserve">OQ-6: GDPR scope? </w:t>
      </w:r>
      <w:r>
        <w:rPr>
          <w:rFonts w:ascii="Arial" w:cs="Arial" w:eastAsia="Arial" w:hAnsi="Arial"/>
          <w:sz w:val="20"/>
          <w:szCs w:val="20"/>
        </w:rPr>
        <w:t xml:space="preserve">If Work Hat CRM processes personal data of EU residents, GDPR applies. This requires a lawful basis for processing, Data Protection Impact Assessment (DPIA) for high-risk processing, and appointment of a representative if no EU establishment.</w:t>
      </w:r>
    </w:p>
    <w:p>
      <w:pPr>
        <w:spacing w:after="80"/>
      </w:pPr>
      <w:r>
        <w:t xml:space="preserve"/>
      </w:r>
    </w:p>
    <w:p>
      <w:pPr>
        <w:pStyle w:val="Heading1"/>
      </w:pPr>
      <w:r>
        <w:rPr>
          <w:rFonts w:ascii="Arial" w:cs="Arial" w:eastAsia="Arial" w:hAnsi="Arial"/>
          <w:b/>
          <w:bCs/>
          <w:color w:val="1F3864"/>
          <w:sz w:val="32"/>
          <w:szCs w:val="32"/>
        </w:rPr>
        <w:t xml:space="preserve">Appendix A: Control Status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22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Category</w:t>
            </w:r>
          </w:p>
        </w:tc>
        <w:tc>
          <w:tcPr>
            <w:tcW w:type="dxa" w:w="14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Met</w:t>
            </w:r>
          </w:p>
        </w:tc>
        <w:tc>
          <w:tcPr>
            <w:tcW w:type="dxa" w:w="144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tcPr>
          <w:p>
            <w:pPr>
              <w:jc w:val="center"/>
            </w:pPr>
            <w:r>
              <w:rPr>
                <w:rFonts w:ascii="Arial" w:cs="Arial" w:eastAsia="Arial" w:hAnsi="Arial"/>
                <w:b/>
                <w:bCs/>
                <w:color w:val="7D4E00"/>
                <w:sz w:val="18"/>
                <w:szCs w:val="18"/>
              </w:rPr>
              <w:t xml:space="preserve">Partial</w:t>
            </w:r>
          </w:p>
        </w:tc>
        <w:tc>
          <w:tcPr>
            <w:tcW w:type="dxa" w:w="144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b/>
                <w:bCs/>
                <w:color w:val="9C0006"/>
                <w:sz w:val="18"/>
                <w:szCs w:val="18"/>
              </w:rPr>
              <w:t xml:space="preserve">Gap</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tcPr>
          <w:p>
            <w:pPr>
              <w:spacing w:after="100"/>
            </w:pPr>
            <w:r>
              <w:rPr>
                <w:rFonts w:ascii="Arial" w:cs="Arial" w:eastAsia="Arial" w:hAnsi="Arial"/>
                <w:b/>
                <w:bCs/>
                <w:color w:val="FFFFFF"/>
                <w:sz w:val="18"/>
                <w:szCs w:val="18"/>
              </w:rPr>
              <w:t xml:space="preserve">Top Critical Gap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CC1 — Control Environment</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1</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2</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0</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formal security training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CC2 — Communication</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0</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3</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security page / disclosure policy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CC3 — Risk Assessment</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2</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2</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risk register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CC4 — Monitoring</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0</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2</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centralized audit logging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CC5 — Control Activities</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1</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1</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1</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policy documentation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CC6 — Logical Access</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1</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4</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2</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auth event logging; no MFA</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CC7 — System Operations</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0</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5</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incident response plan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CC8 — Change Management</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1</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0</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formal review/approval policy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CC9 — Risk Mitigation</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0</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2</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vendor risk assessments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A — Availability</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1</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2</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3</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BCP/DR plan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C — Confidentiality</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1</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1</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3</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data retention/disposal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P — Privacy</w:t>
            </w:r>
          </w:p>
        </w:tc>
        <w:tc>
          <w:tcPr>
            <w:tcW w:type="dxa" w:w="14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0</w:t>
            </w:r>
          </w:p>
        </w:tc>
        <w:tc>
          <w:tcPr>
            <w:tcW w:type="dxa" w:w="144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1</w:t>
            </w:r>
          </w:p>
        </w:tc>
        <w:tc>
          <w:tcPr>
            <w:tcW w:type="dxa" w:w="144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4</w:t>
            </w:r>
          </w:p>
        </w:tc>
        <w:tc>
          <w:tcPr>
            <w:tcW w:type="dxa" w:w="224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00"/>
            </w:pPr>
            <w:r>
              <w:rPr>
                <w:rFonts w:ascii="Arial" w:cs="Arial" w:eastAsia="Arial" w:hAnsi="Arial"/>
                <w:sz w:val="18"/>
                <w:szCs w:val="18"/>
              </w:rPr>
              <w:t xml:space="preserve">No Privacy Policy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SOC 2 Gap Analysis</w:t>
    </w:r>
    <w:r>
      <w:rPr>
        <w:rFonts w:ascii="Arial" w:cs="Arial" w:eastAsia="Arial" w:hAnsi="Arial"/>
        <w:color w:val="9C000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2026-04-21T16:46:30.172Z</dcterms:created>
  <dcterms:modified xsi:type="dcterms:W3CDTF">2026-04-21T16:46:30.172Z</dcterms:modified>
</cp:coreProperties>
</file>

<file path=docProps/custom.xml><?xml version="1.0" encoding="utf-8"?>
<Properties xmlns="http://schemas.openxmlformats.org/officeDocument/2006/custom-properties" xmlns:vt="http://schemas.openxmlformats.org/officeDocument/2006/docPropsVTypes"/>
</file>