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Access Control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POL-002</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 + after any access-related incident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Classification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CONFIDENTIAL — Internal Use Only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Purpose</w:t>
      </w:r>
    </w:p>
    <w:p>
      <w:pPr>
        <w:spacing w:after="120"/>
      </w:pPr>
      <w:r>
        <w:rPr>
          <w:rFonts w:ascii="Arial" w:cs="Arial" w:eastAsia="Arial" w:hAnsi="Arial"/>
          <w:sz w:val="20"/>
          <w:szCs w:val="20"/>
        </w:rPr>
        <w:t xml:space="preserve">This policy governs how access to Work Hat systems and customer data is granted, maintained, reviewed, and revoked. It ensures that only authorised individuals can access information resources, and only to the extent required for their role.</w:t>
      </w:r>
    </w:p>
    <w:p>
      <w:pPr>
        <w:spacing w:after="80"/>
      </w:pPr>
      <w:r>
        <w:t xml:space="preserve"/>
      </w:r>
    </w:p>
    <w:p>
      <w:pPr>
        <w:pStyle w:val="Heading2"/>
        <w:spacing w:after="100" w:before="200"/>
      </w:pPr>
      <w:r>
        <w:rPr>
          <w:rFonts w:ascii="Arial" w:cs="Arial" w:eastAsia="Arial" w:hAnsi="Arial"/>
          <w:b/>
          <w:bCs/>
          <w:color w:val="2E75B6"/>
          <w:sz w:val="24"/>
          <w:szCs w:val="24"/>
        </w:rPr>
        <w:t xml:space="preserve">2. Role Definitions</w:t>
      </w:r>
    </w:p>
    <w:p>
      <w:pPr>
        <w:spacing w:after="120"/>
      </w:pPr>
      <w:r>
        <w:rPr>
          <w:rFonts w:ascii="Arial" w:cs="Arial" w:eastAsia="Arial" w:hAnsi="Arial"/>
          <w:sz w:val="20"/>
          <w:szCs w:val="20"/>
        </w:rPr>
        <w:t xml:space="preserve">Work Hat CRM defines four application roles. Access is enforced at both the database layer (Row-Level Security) and the application API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Role</w:t>
            </w:r>
          </w:p>
        </w:tc>
        <w:tc>
          <w:tcPr>
            <w:tcW w:type="dxa" w:w="45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Permissions</w:t>
            </w:r>
          </w:p>
        </w:tc>
        <w:tc>
          <w:tcPr>
            <w:tcW w:type="dxa" w:w="32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Intended For</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admin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Full access to all org data, settings, and user management. Can invite, modify roles, and remove team members. Required to have MFA enabled.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CEO, Founder, senior operations leads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manager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Access to all conversations, contacts, companies, and reports. Can invite agents and update agent skills. Cannot change admin roles.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Team leads, operations managers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agent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Access to their assigned conversations, contacts, and companies. Can reply, draft, and resolve conversations.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Support agents, customer-facing staff</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qa_reviewer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Read-only access to conversations and AI draft analysis for quality assurance. Cannot reply or modify data.</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QA analysts, trainers</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3. User Provisioning</w:t>
      </w:r>
    </w:p>
    <w:p>
      <w:pPr>
        <w:spacing w:after="120"/>
      </w:pPr>
      <w:r>
        <w:rPr>
          <w:rFonts w:ascii="Arial" w:cs="Arial" w:eastAsia="Arial" w:hAnsi="Arial"/>
          <w:sz w:val="20"/>
          <w:szCs w:val="20"/>
        </w:rPr>
        <w:t xml:space="preserve">New users are provisioned by an admin or manager via the Settings → Team page:</w:t>
      </w:r>
    </w:p>
    <w:p>
      <w:pPr>
        <w:pStyle w:val="ListParagraph"/>
        <w:numPr>
          <w:ilvl w:val="0"/>
          <w:numId w:val="2"/>
        </w:numPr>
        <w:spacing w:after="60"/>
      </w:pPr>
      <w:r>
        <w:rPr>
          <w:rFonts w:ascii="Arial" w:cs="Arial" w:eastAsia="Arial" w:hAnsi="Arial"/>
          <w:sz w:val="20"/>
          <w:szCs w:val="20"/>
        </w:rPr>
        <w:t xml:space="preserve">Admin or manager enters the invitee's email address and assigns a role.</w:t>
      </w:r>
    </w:p>
    <w:p>
      <w:pPr>
        <w:pStyle w:val="ListParagraph"/>
        <w:numPr>
          <w:ilvl w:val="0"/>
          <w:numId w:val="2"/>
        </w:numPr>
        <w:spacing w:after="60"/>
      </w:pPr>
      <w:r>
        <w:rPr>
          <w:rFonts w:ascii="Arial" w:cs="Arial" w:eastAsia="Arial" w:hAnsi="Arial"/>
          <w:sz w:val="20"/>
          <w:szCs w:val="20"/>
        </w:rPr>
        <w:t xml:space="preserve">The system creates a pending user record and sends a magic-link invitation email.</w:t>
      </w:r>
    </w:p>
    <w:p>
      <w:pPr>
        <w:pStyle w:val="ListParagraph"/>
        <w:numPr>
          <w:ilvl w:val="0"/>
          <w:numId w:val="2"/>
        </w:numPr>
        <w:spacing w:after="60"/>
      </w:pPr>
      <w:r>
        <w:rPr>
          <w:rFonts w:ascii="Arial" w:cs="Arial" w:eastAsia="Arial" w:hAnsi="Arial"/>
          <w:sz w:val="20"/>
          <w:szCs w:val="20"/>
        </w:rPr>
        <w:t xml:space="preserve">The invitee accepts the invitation and authenticates. The system activates their account and associates it with the org.</w:t>
      </w:r>
    </w:p>
    <w:p>
      <w:pPr>
        <w:pStyle w:val="ListParagraph"/>
        <w:numPr>
          <w:ilvl w:val="0"/>
          <w:numId w:val="2"/>
        </w:numPr>
        <w:spacing w:after="60"/>
      </w:pPr>
      <w:r>
        <w:rPr>
          <w:rFonts w:ascii="Arial" w:cs="Arial" w:eastAsia="Arial" w:hAnsi="Arial"/>
          <w:sz w:val="20"/>
          <w:szCs w:val="20"/>
        </w:rPr>
        <w:t xml:space="preserve">The provisioning event is logged to the audit log (action: user.invite_sent).</w:t>
      </w:r>
    </w:p>
    <w:p>
      <w:pPr>
        <w:spacing w:after="80"/>
      </w:pPr>
      <w:r>
        <w:t xml:space="preserve"/>
      </w:r>
    </w:p>
    <w:p>
      <w:pPr>
        <w:spacing w:after="120"/>
      </w:pPr>
      <w:r>
        <w:rPr>
          <w:rFonts w:ascii="Arial" w:cs="Arial" w:eastAsia="Arial" w:hAnsi="Arial"/>
          <w:b/>
          <w:bCs/>
          <w:sz w:val="20"/>
          <w:szCs w:val="20"/>
        </w:rPr>
        <w:t xml:space="preserve">Prohibited: </w:t>
      </w:r>
      <w:r>
        <w:rPr>
          <w:rFonts w:ascii="Arial" w:cs="Arial" w:eastAsia="Arial" w:hAnsi="Arial"/>
          <w:sz w:val="20"/>
          <w:szCs w:val="20"/>
        </w:rPr>
        <w:t xml:space="preserve">Shared accounts. Each individual must have their own account. Account sharing is grounds for immediate suspension.</w:t>
      </w:r>
    </w:p>
    <w:p>
      <w:pPr>
        <w:spacing w:after="80"/>
      </w:pPr>
      <w:r>
        <w:t xml:space="preserve"/>
      </w:r>
    </w:p>
    <w:p>
      <w:pPr>
        <w:pStyle w:val="Heading2"/>
        <w:spacing w:after="100" w:before="200"/>
      </w:pPr>
      <w:r>
        <w:rPr>
          <w:rFonts w:ascii="Arial" w:cs="Arial" w:eastAsia="Arial" w:hAnsi="Arial"/>
          <w:b/>
          <w:bCs/>
          <w:color w:val="2E75B6"/>
          <w:sz w:val="24"/>
          <w:szCs w:val="24"/>
        </w:rPr>
        <w:t xml:space="preserve">4. Multi-Factor Authentication (MFA)</w:t>
      </w:r>
    </w:p>
    <w:p>
      <w:pPr>
        <w:spacing w:after="120"/>
      </w:pPr>
      <w:r>
        <w:rPr>
          <w:rFonts w:ascii="Arial" w:cs="Arial" w:eastAsia="Arial" w:hAnsi="Arial"/>
          <w:sz w:val="20"/>
          <w:szCs w:val="20"/>
        </w:rPr>
        <w:t xml:space="preserve">MFA is required for all admin and manager roles. Agents are encouraged to enable MFA. MFA must be enrolled before an admin or manager can perform sensitive operations (user management, org settings, data export). MFA enrollment is tracked in the user record and logged to the audit trail.</w:t>
      </w:r>
    </w:p>
    <w:p>
      <w:pPr>
        <w:spacing w:after="80"/>
      </w:pPr>
      <w:r>
        <w:t xml:space="preserve"/>
      </w:r>
    </w:p>
    <w:p>
      <w:pPr>
        <w:pStyle w:val="Heading2"/>
        <w:spacing w:after="100" w:before="200"/>
      </w:pPr>
      <w:r>
        <w:rPr>
          <w:rFonts w:ascii="Arial" w:cs="Arial" w:eastAsia="Arial" w:hAnsi="Arial"/>
          <w:b/>
          <w:bCs/>
          <w:color w:val="2E75B6"/>
          <w:sz w:val="24"/>
          <w:szCs w:val="24"/>
        </w:rPr>
        <w:t xml:space="preserve">5. Session Management</w:t>
      </w:r>
    </w:p>
    <w:p>
      <w:pPr>
        <w:spacing w:after="120"/>
      </w:pPr>
      <w:r>
        <w:rPr>
          <w:rFonts w:ascii="Arial" w:cs="Arial" w:eastAsia="Arial" w:hAnsi="Arial"/>
          <w:sz w:val="20"/>
          <w:szCs w:val="20"/>
        </w:rPr>
        <w:t xml:space="preserve">Sessions are managed via Supabase JWT tokens. Session requirements:</w:t>
      </w:r>
    </w:p>
    <w:p>
      <w:pPr>
        <w:pStyle w:val="ListParagraph"/>
        <w:numPr>
          <w:ilvl w:val="0"/>
          <w:numId w:val="3"/>
        </w:numPr>
        <w:spacing w:after="60"/>
      </w:pPr>
      <w:r>
        <w:rPr>
          <w:rFonts w:ascii="Arial" w:cs="Arial" w:eastAsia="Arial" w:hAnsi="Arial"/>
          <w:sz w:val="20"/>
          <w:szCs w:val="20"/>
        </w:rPr>
        <w:t xml:space="preserve">Sessions expire after 1 hour of inactivity</w:t>
      </w:r>
    </w:p>
    <w:p>
      <w:pPr>
        <w:pStyle w:val="ListParagraph"/>
        <w:numPr>
          <w:ilvl w:val="0"/>
          <w:numId w:val="3"/>
        </w:numPr>
        <w:spacing w:after="60"/>
      </w:pPr>
      <w:r>
        <w:rPr>
          <w:rFonts w:ascii="Arial" w:cs="Arial" w:eastAsia="Arial" w:hAnsi="Arial"/>
          <w:sz w:val="20"/>
          <w:szCs w:val="20"/>
        </w:rPr>
        <w:t xml:space="preserve">Sessions are invalidated immediately on logout</w:t>
      </w:r>
    </w:p>
    <w:p>
      <w:pPr>
        <w:pStyle w:val="ListParagraph"/>
        <w:numPr>
          <w:ilvl w:val="0"/>
          <w:numId w:val="3"/>
        </w:numPr>
        <w:spacing w:after="60"/>
      </w:pPr>
      <w:r>
        <w:rPr>
          <w:rFonts w:ascii="Arial" w:cs="Arial" w:eastAsia="Arial" w:hAnsi="Arial"/>
          <w:sz w:val="20"/>
          <w:szCs w:val="20"/>
        </w:rPr>
        <w:t xml:space="preserve">Sessions are invalidated on role change or account deactivation</w:t>
      </w:r>
    </w:p>
    <w:p>
      <w:pPr>
        <w:pStyle w:val="ListParagraph"/>
        <w:numPr>
          <w:ilvl w:val="0"/>
          <w:numId w:val="3"/>
        </w:numPr>
        <w:spacing w:after="60"/>
      </w:pPr>
      <w:r>
        <w:rPr>
          <w:rFonts w:ascii="Arial" w:cs="Arial" w:eastAsia="Arial" w:hAnsi="Arial"/>
          <w:sz w:val="20"/>
          <w:szCs w:val="20"/>
        </w:rPr>
        <w:t xml:space="preserve">Concurrent sessions from different IP addresses trigger a security alert</w:t>
      </w:r>
    </w:p>
    <w:p>
      <w:pPr>
        <w:spacing w:after="80"/>
      </w:pPr>
      <w:r>
        <w:t xml:space="preserve"/>
      </w:r>
    </w:p>
    <w:p>
      <w:pPr>
        <w:pStyle w:val="Heading2"/>
        <w:spacing w:after="100" w:before="200"/>
      </w:pPr>
      <w:r>
        <w:rPr>
          <w:rFonts w:ascii="Arial" w:cs="Arial" w:eastAsia="Arial" w:hAnsi="Arial"/>
          <w:b/>
          <w:bCs/>
          <w:color w:val="2E75B6"/>
          <w:sz w:val="24"/>
          <w:szCs w:val="24"/>
        </w:rPr>
        <w:t xml:space="preserve">6. Least Privilege</w:t>
      </w:r>
    </w:p>
    <w:p>
      <w:pPr>
        <w:spacing w:after="120"/>
      </w:pPr>
      <w:r>
        <w:rPr>
          <w:rFonts w:ascii="Arial" w:cs="Arial" w:eastAsia="Arial" w:hAnsi="Arial"/>
          <w:sz w:val="20"/>
          <w:szCs w:val="20"/>
        </w:rPr>
        <w:t xml:space="preserve">Every user and service account must be granted only the permissions required for their defined function. Role upgrades require explicit admin approval. Service account credentials are scoped to the minimum required API permissions and rotated annually.</w:t>
      </w:r>
    </w:p>
    <w:p>
      <w:pPr>
        <w:spacing w:after="80"/>
      </w:pPr>
      <w:r>
        <w:t xml:space="preserve"/>
      </w:r>
    </w:p>
    <w:p>
      <w:pPr>
        <w:pStyle w:val="Heading2"/>
        <w:spacing w:after="100" w:before="200"/>
      </w:pPr>
      <w:r>
        <w:rPr>
          <w:rFonts w:ascii="Arial" w:cs="Arial" w:eastAsia="Arial" w:hAnsi="Arial"/>
          <w:b/>
          <w:bCs/>
          <w:color w:val="2E75B6"/>
          <w:sz w:val="24"/>
          <w:szCs w:val="24"/>
        </w:rPr>
        <w:t xml:space="preserve">7. Access Reviews</w:t>
      </w:r>
    </w:p>
    <w:p>
      <w:pPr>
        <w:spacing w:after="120"/>
      </w:pPr>
      <w:r>
        <w:rPr>
          <w:rFonts w:ascii="Arial" w:cs="Arial" w:eastAsia="Arial" w:hAnsi="Arial"/>
          <w:sz w:val="20"/>
          <w:szCs w:val="20"/>
        </w:rPr>
        <w:t xml:space="preserve">Access reviews are conducted quarterly by an admin. The review covers:</w:t>
      </w:r>
    </w:p>
    <w:p>
      <w:pPr>
        <w:pStyle w:val="ListParagraph"/>
        <w:numPr>
          <w:ilvl w:val="0"/>
          <w:numId w:val="3"/>
        </w:numPr>
        <w:spacing w:after="60"/>
      </w:pPr>
      <w:r>
        <w:rPr>
          <w:rFonts w:ascii="Arial" w:cs="Arial" w:eastAsia="Arial" w:hAnsi="Arial"/>
          <w:sz w:val="20"/>
          <w:szCs w:val="20"/>
        </w:rPr>
        <w:t xml:space="preserve">All active users and their current roles — verify each role is still appropriate</w:t>
      </w:r>
    </w:p>
    <w:p>
      <w:pPr>
        <w:pStyle w:val="ListParagraph"/>
        <w:numPr>
          <w:ilvl w:val="0"/>
          <w:numId w:val="3"/>
        </w:numPr>
        <w:spacing w:after="60"/>
      </w:pPr>
      <w:r>
        <w:rPr>
          <w:rFonts w:ascii="Arial" w:cs="Arial" w:eastAsia="Arial" w:hAnsi="Arial"/>
          <w:sz w:val="20"/>
          <w:szCs w:val="20"/>
        </w:rPr>
        <w:t xml:space="preserve">Pending invitations older than 14 days — revoke if no longer needed</w:t>
      </w:r>
    </w:p>
    <w:p>
      <w:pPr>
        <w:pStyle w:val="ListParagraph"/>
        <w:numPr>
          <w:ilvl w:val="0"/>
          <w:numId w:val="3"/>
        </w:numPr>
        <w:spacing w:after="60"/>
      </w:pPr>
      <w:r>
        <w:rPr>
          <w:rFonts w:ascii="Arial" w:cs="Arial" w:eastAsia="Arial" w:hAnsi="Arial"/>
          <w:sz w:val="20"/>
          <w:szCs w:val="20"/>
        </w:rPr>
        <w:t xml:space="preserve">Service accounts and API keys — verify each is still in use</w:t>
      </w:r>
    </w:p>
    <w:p>
      <w:pPr>
        <w:pStyle w:val="ListParagraph"/>
        <w:numPr>
          <w:ilvl w:val="0"/>
          <w:numId w:val="3"/>
        </w:numPr>
        <w:spacing w:after="60"/>
      </w:pPr>
      <w:r>
        <w:rPr>
          <w:rFonts w:ascii="Arial" w:cs="Arial" w:eastAsia="Arial" w:hAnsi="Arial"/>
          <w:sz w:val="20"/>
          <w:szCs w:val="20"/>
        </w:rPr>
        <w:t xml:space="preserve">Audit log review for anomalous access patterns</w:t>
      </w:r>
    </w:p>
    <w:p>
      <w:pPr>
        <w:spacing w:after="80"/>
      </w:pPr>
      <w:r>
        <w:t xml:space="preserve"/>
      </w:r>
    </w:p>
    <w:p>
      <w:pPr>
        <w:spacing w:after="120"/>
      </w:pPr>
      <w:r>
        <w:rPr>
          <w:rFonts w:ascii="Arial" w:cs="Arial" w:eastAsia="Arial" w:hAnsi="Arial"/>
          <w:sz w:val="20"/>
          <w:szCs w:val="20"/>
        </w:rPr>
        <w:t xml:space="preserve">Review findings and any remediation actions must be documented and retained as audit evidence.</w:t>
      </w:r>
    </w:p>
    <w:p>
      <w:pPr>
        <w:spacing w:after="80"/>
      </w:pPr>
      <w:r>
        <w:t xml:space="preserve"/>
      </w:r>
    </w:p>
    <w:p>
      <w:pPr>
        <w:pStyle w:val="Heading2"/>
        <w:spacing w:after="100" w:before="200"/>
      </w:pPr>
      <w:r>
        <w:rPr>
          <w:rFonts w:ascii="Arial" w:cs="Arial" w:eastAsia="Arial" w:hAnsi="Arial"/>
          <w:b/>
          <w:bCs/>
          <w:color w:val="2E75B6"/>
          <w:sz w:val="24"/>
          <w:szCs w:val="24"/>
        </w:rPr>
        <w:t xml:space="preserve">8. Deprovisioning</w:t>
      </w:r>
    </w:p>
    <w:p>
      <w:pPr>
        <w:spacing w:after="120"/>
      </w:pPr>
      <w:r>
        <w:rPr>
          <w:rFonts w:ascii="Arial" w:cs="Arial" w:eastAsia="Arial" w:hAnsi="Arial"/>
          <w:sz w:val="20"/>
          <w:szCs w:val="20"/>
        </w:rPr>
        <w:t xml:space="preserve">Access must be revoked within 24 hours of a team member's departure or role change that reduces access. The offboarding checklist:</w:t>
      </w:r>
    </w:p>
    <w:p>
      <w:pPr>
        <w:pStyle w:val="ListParagraph"/>
        <w:numPr>
          <w:ilvl w:val="0"/>
          <w:numId w:val="2"/>
        </w:numPr>
        <w:spacing w:after="60"/>
      </w:pPr>
      <w:r>
        <w:rPr>
          <w:rFonts w:ascii="Arial" w:cs="Arial" w:eastAsia="Arial" w:hAnsi="Arial"/>
          <w:sz w:val="20"/>
          <w:szCs w:val="20"/>
        </w:rPr>
        <w:t xml:space="preserve">Admin removes the user from the org via Settings → Team.</w:t>
      </w:r>
    </w:p>
    <w:p>
      <w:pPr>
        <w:pStyle w:val="ListParagraph"/>
        <w:numPr>
          <w:ilvl w:val="0"/>
          <w:numId w:val="2"/>
        </w:numPr>
        <w:spacing w:after="60"/>
      </w:pPr>
      <w:r>
        <w:rPr>
          <w:rFonts w:ascii="Arial" w:cs="Arial" w:eastAsia="Arial" w:hAnsi="Arial"/>
          <w:sz w:val="20"/>
          <w:szCs w:val="20"/>
        </w:rPr>
        <w:t xml:space="preserve">Verify all active sessions are invalidated (Supabase Auth → Users → Sign out all).</w:t>
      </w:r>
    </w:p>
    <w:p>
      <w:pPr>
        <w:pStyle w:val="ListParagraph"/>
        <w:numPr>
          <w:ilvl w:val="0"/>
          <w:numId w:val="2"/>
        </w:numPr>
        <w:spacing w:after="60"/>
      </w:pPr>
      <w:r>
        <w:rPr>
          <w:rFonts w:ascii="Arial" w:cs="Arial" w:eastAsia="Arial" w:hAnsi="Arial"/>
          <w:sz w:val="20"/>
          <w:szCs w:val="20"/>
        </w:rPr>
        <w:t xml:space="preserve">Rotate any API keys or shared credentials the user had access to.</w:t>
      </w:r>
    </w:p>
    <w:p>
      <w:pPr>
        <w:pStyle w:val="ListParagraph"/>
        <w:numPr>
          <w:ilvl w:val="0"/>
          <w:numId w:val="2"/>
        </w:numPr>
        <w:spacing w:after="60"/>
      </w:pPr>
      <w:r>
        <w:rPr>
          <w:rFonts w:ascii="Arial" w:cs="Arial" w:eastAsia="Arial" w:hAnsi="Arial"/>
          <w:sz w:val="20"/>
          <w:szCs w:val="20"/>
        </w:rPr>
        <w:t xml:space="preserve">Log the deprovisioning action (audit log: user.deleted or user.deactivated).</w:t>
      </w:r>
    </w:p>
    <w:p>
      <w:pPr>
        <w:pStyle w:val="ListParagraph"/>
        <w:numPr>
          <w:ilvl w:val="0"/>
          <w:numId w:val="2"/>
        </w:numPr>
        <w:spacing w:after="60"/>
      </w:pPr>
      <w:r>
        <w:rPr>
          <w:rFonts w:ascii="Arial" w:cs="Arial" w:eastAsia="Arial" w:hAnsi="Arial"/>
          <w:sz w:val="20"/>
          <w:szCs w:val="20"/>
        </w:rPr>
        <w:t xml:space="preserve">Confirm the user no longer appears in the active team list.</w:t>
      </w:r>
    </w:p>
    <w:p>
      <w:pPr>
        <w:spacing w:after="80"/>
      </w:pPr>
      <w:r>
        <w:t xml:space="preserve"/>
      </w:r>
    </w:p>
    <w:p>
      <w:pPr>
        <w:pStyle w:val="Heading2"/>
        <w:spacing w:after="100" w:before="200"/>
      </w:pPr>
      <w:r>
        <w:rPr>
          <w:rFonts w:ascii="Arial" w:cs="Arial" w:eastAsia="Arial" w:hAnsi="Arial"/>
          <w:b/>
          <w:bCs/>
          <w:color w:val="2E75B6"/>
          <w:sz w:val="24"/>
          <w:szCs w:val="24"/>
        </w:rPr>
        <w:t xml:space="preserve">9. Physical Access</w:t>
      </w:r>
    </w:p>
    <w:p>
      <w:pPr>
        <w:spacing w:after="120"/>
      </w:pPr>
      <w:r>
        <w:rPr>
          <w:rFonts w:ascii="Arial" w:cs="Arial" w:eastAsia="Arial" w:hAnsi="Arial"/>
          <w:sz w:val="20"/>
          <w:szCs w:val="20"/>
        </w:rPr>
        <w:t xml:space="preserve">Work Hat is fully cloud-hosted. Physical access controls are inherited from Supabase (database, auth) and Vercel (application hosting). Both providers maintain SOC 2 Type 2 certifications covering physical access. Copies of these certifications are retained in the vendor risk register.</w:t>
      </w:r>
    </w:p>
    <w:p>
      <w:pPr>
        <w:spacing w:after="80"/>
      </w:pPr>
      <w:r>
        <w:t xml:space="preserve"/>
      </w:r>
    </w:p>
    <w:p>
      <w:pPr>
        <w:pStyle w:val="Heading2"/>
        <w:spacing w:after="100" w:before="200"/>
      </w:pPr>
      <w:r>
        <w:rPr>
          <w:rFonts w:ascii="Arial" w:cs="Arial" w:eastAsia="Arial" w:hAnsi="Arial"/>
          <w:b/>
          <w:bCs/>
          <w:color w:val="2E75B6"/>
          <w:sz w:val="24"/>
          <w:szCs w:val="24"/>
        </w:rPr>
        <w:t xml:space="preserve">10. Violations</w:t>
      </w:r>
    </w:p>
    <w:p>
      <w:pPr>
        <w:spacing w:after="120"/>
      </w:pPr>
      <w:r>
        <w:rPr>
          <w:rFonts w:ascii="Arial" w:cs="Arial" w:eastAsia="Arial" w:hAnsi="Arial"/>
          <w:sz w:val="20"/>
          <w:szCs w:val="20"/>
        </w:rPr>
        <w:t xml:space="preserve">Unauthorised access attempts are logged and trigger an alert. Repeated failed authentication attempts result in temporary account lockout. Confirmed unauthorised access is treated as a security incident under POL-003.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Access Control Policy</w:t>
    </w:r>
    <w:r>
      <w:rPr>
        <w:rFonts w:ascii="Arial" w:cs="Arial" w:eastAsia="Arial" w:hAnsi="Arial"/>
        <w:color w:val="9C0006"/>
        <w:sz w:val="18"/>
        <w:szCs w:val="18"/>
      </w:rPr>
      <w:t xml:space="preserve">	POL-002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2026-04-21T20:05:02.946Z</dcterms:created>
  <dcterms:modified xsi:type="dcterms:W3CDTF">2026-04-21T20:05:02.946Z</dcterms:modified>
</cp:coreProperties>
</file>

<file path=docProps/custom.xml><?xml version="1.0" encoding="utf-8"?>
<Properties xmlns="http://schemas.openxmlformats.org/officeDocument/2006/custom-properties" xmlns:vt="http://schemas.openxmlformats.org/officeDocument/2006/docPropsVTypes"/>
</file>