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Vendor Risk Management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POL-007</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CEO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CONFIDENTIAL — Internal Use Only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Purpose</w:t>
      </w:r>
    </w:p>
    <w:p>
      <w:pPr>
        <w:spacing w:after="120"/>
      </w:pPr>
      <w:r>
        <w:rPr>
          <w:rFonts w:ascii="Arial" w:cs="Arial" w:eastAsia="Arial" w:hAnsi="Arial"/>
          <w:sz w:val="20"/>
          <w:szCs w:val="20"/>
        </w:rPr>
        <w:t xml:space="preserve">Work Hat relies on third-party vendors (sub-processors) for critical platform capabilities. This policy ensures that all vendors who access, process, or store Work Hat or customer data are assessed for security risk and governed by appropriate contractual protections.</w:t>
      </w:r>
    </w:p>
    <w:p>
      <w:pPr>
        <w:spacing w:after="80"/>
      </w:pPr>
      <w:r>
        <w:t xml:space="preserve"/>
      </w:r>
    </w:p>
    <w:p>
      <w:pPr>
        <w:pStyle w:val="Heading2"/>
        <w:spacing w:after="100" w:before="200"/>
      </w:pPr>
      <w:r>
        <w:rPr>
          <w:rFonts w:ascii="Arial" w:cs="Arial" w:eastAsia="Arial" w:hAnsi="Arial"/>
          <w:b/>
          <w:bCs/>
          <w:color w:val="2E75B6"/>
          <w:sz w:val="24"/>
          <w:szCs w:val="24"/>
        </w:rPr>
        <w:t xml:space="preserve">2. Sub-Processor Inventory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Vendor</w:t>
            </w:r>
          </w:p>
        </w:tc>
        <w:tc>
          <w:tcPr>
            <w:tcW w:type="dxa" w:w="2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Data Accessed</w:t>
            </w:r>
          </w:p>
        </w:tc>
        <w:tc>
          <w:tcPr>
            <w:tcW w:type="dxa" w:w="168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DPA Status</w:t>
            </w:r>
          </w:p>
        </w:tc>
        <w:tc>
          <w:tcPr>
            <w:tcW w:type="dxa" w:w="168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Risk Level</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b/>
                <w:bCs/>
                <w:sz w:val="18"/>
                <w:szCs w:val="18"/>
              </w:rPr>
              <w:t xml:space="preserve">Supabase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Database, Auth, Storage, Realtime, Edge Functions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All customer data, authentication credentials</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Required</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b/>
                <w:bCs/>
                <w:sz w:val="18"/>
                <w:szCs w:val="18"/>
              </w:rPr>
              <w:t xml:space="preserve">Vercel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Application hosting, serverless functions, CDN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Application code, request logs, env secrets</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Required</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b/>
                <w:bCs/>
                <w:sz w:val="18"/>
                <w:szCs w:val="18"/>
              </w:rPr>
              <w:t xml:space="preserve">OpenAI</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AI draft generation, intent classification, embeddings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Email content, conversation history, knowledge base</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Required</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b/>
                <w:bCs/>
                <w:sz w:val="18"/>
                <w:szCs w:val="18"/>
              </w:rPr>
              <w:t xml:space="preserve">Google (Gmail API)</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Email OAuth connector — read, send, Pub/Sub push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Customer email content, OAuth tokens</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Required</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b/>
                <w:bCs/>
                <w:sz w:val="18"/>
                <w:szCs w:val="18"/>
              </w:rPr>
              <w:t xml:space="preserve">Postmark</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Inbound and outbound transactional email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Email content, sender/recipient addresses</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Required</w:t>
            </w:r>
          </w:p>
        </w:tc>
        <w:tc>
          <w:tcPr>
            <w:tcW w:type="dxa" w:w="168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Medium</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b/>
                <w:bCs/>
                <w:sz w:val="18"/>
                <w:szCs w:val="18"/>
              </w:rPr>
              <w:t xml:space="preserve">Stripe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Subscription billing, payment processing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Org billing metadata (no payment card data stored in app)</w:t>
            </w:r>
          </w:p>
        </w:tc>
        <w:tc>
          <w:tcPr>
            <w:tcW w:type="dxa" w:w="168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color w:val="9C0006"/>
                <w:sz w:val="18"/>
                <w:szCs w:val="18"/>
              </w:rPr>
              <w:t xml:space="preserve">Required</w:t>
            </w:r>
          </w:p>
        </w:tc>
        <w:tc>
          <w:tcPr>
            <w:tcW w:type="dxa" w:w="168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color w:val="7D4E00"/>
                <w:sz w:val="18"/>
                <w:szCs w:val="18"/>
              </w:rPr>
              <w:t xml:space="preserve">Medium</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3. Vendor Risk Assessment Process</w:t>
      </w:r>
    </w:p>
    <w:p>
      <w:pPr>
        <w:spacing w:after="120"/>
      </w:pPr>
      <w:r>
        <w:rPr>
          <w:rFonts w:ascii="Arial" w:cs="Arial" w:eastAsia="Arial" w:hAnsi="Arial"/>
          <w:sz w:val="20"/>
          <w:szCs w:val="20"/>
        </w:rPr>
        <w:t xml:space="preserve">Before engaging any new vendor that will access customer data:</w:t>
      </w:r>
    </w:p>
    <w:p>
      <w:pPr>
        <w:pStyle w:val="ListParagraph"/>
        <w:numPr>
          <w:ilvl w:val="0"/>
          <w:numId w:val="2"/>
        </w:numPr>
        <w:spacing w:after="60"/>
      </w:pPr>
      <w:r>
        <w:rPr>
          <w:rFonts w:ascii="Arial" w:cs="Arial" w:eastAsia="Arial" w:hAnsi="Arial"/>
          <w:sz w:val="20"/>
          <w:szCs w:val="20"/>
        </w:rPr>
        <w:t xml:space="preserve">Identify the data the vendor will access and its classification tier (POL-005)</w:t>
      </w:r>
    </w:p>
    <w:p>
      <w:pPr>
        <w:pStyle w:val="ListParagraph"/>
        <w:numPr>
          <w:ilvl w:val="0"/>
          <w:numId w:val="2"/>
        </w:numPr>
        <w:spacing w:after="60"/>
      </w:pPr>
      <w:r>
        <w:rPr>
          <w:rFonts w:ascii="Arial" w:cs="Arial" w:eastAsia="Arial" w:hAnsi="Arial"/>
          <w:sz w:val="20"/>
          <w:szCs w:val="20"/>
        </w:rPr>
        <w:t xml:space="preserve">Review the vendor's security certifications (SOC 2 Type 2, ISO 27001, or equivalent)</w:t>
      </w:r>
    </w:p>
    <w:p>
      <w:pPr>
        <w:pStyle w:val="ListParagraph"/>
        <w:numPr>
          <w:ilvl w:val="0"/>
          <w:numId w:val="2"/>
        </w:numPr>
        <w:spacing w:after="60"/>
      </w:pPr>
      <w:r>
        <w:rPr>
          <w:rFonts w:ascii="Arial" w:cs="Arial" w:eastAsia="Arial" w:hAnsi="Arial"/>
          <w:sz w:val="20"/>
          <w:szCs w:val="20"/>
        </w:rPr>
        <w:t xml:space="preserve">Review the vendor's privacy policy and DPA template</w:t>
      </w:r>
    </w:p>
    <w:p>
      <w:pPr>
        <w:pStyle w:val="ListParagraph"/>
        <w:numPr>
          <w:ilvl w:val="0"/>
          <w:numId w:val="2"/>
        </w:numPr>
        <w:spacing w:after="60"/>
      </w:pPr>
      <w:r>
        <w:rPr>
          <w:rFonts w:ascii="Arial" w:cs="Arial" w:eastAsia="Arial" w:hAnsi="Arial"/>
          <w:sz w:val="20"/>
          <w:szCs w:val="20"/>
        </w:rPr>
        <w:t xml:space="preserve">Assess the vendor's incident notification obligations and track record</w:t>
      </w:r>
    </w:p>
    <w:p>
      <w:pPr>
        <w:pStyle w:val="ListParagraph"/>
        <w:numPr>
          <w:ilvl w:val="0"/>
          <w:numId w:val="2"/>
        </w:numPr>
        <w:spacing w:after="60"/>
      </w:pPr>
      <w:r>
        <w:rPr>
          <w:rFonts w:ascii="Arial" w:cs="Arial" w:eastAsia="Arial" w:hAnsi="Arial"/>
          <w:sz w:val="20"/>
          <w:szCs w:val="20"/>
        </w:rPr>
        <w:t xml:space="preserve">Document the assessment in the Vendor Risk Register</w:t>
      </w:r>
    </w:p>
    <w:p>
      <w:pPr>
        <w:pStyle w:val="ListParagraph"/>
        <w:numPr>
          <w:ilvl w:val="0"/>
          <w:numId w:val="2"/>
        </w:numPr>
        <w:spacing w:after="60"/>
      </w:pPr>
      <w:r>
        <w:rPr>
          <w:rFonts w:ascii="Arial" w:cs="Arial" w:eastAsia="Arial" w:hAnsi="Arial"/>
          <w:sz w:val="20"/>
          <w:szCs w:val="20"/>
        </w:rPr>
        <w:t xml:space="preserve">Obtain CEO approval before engaging the vendor</w:t>
      </w:r>
    </w:p>
    <w:p>
      <w:pPr>
        <w:spacing w:after="80"/>
      </w:pPr>
      <w:r>
        <w:t xml:space="preserve"/>
      </w:r>
    </w:p>
    <w:p>
      <w:pPr>
        <w:pStyle w:val="Heading2"/>
        <w:spacing w:after="100" w:before="200"/>
      </w:pPr>
      <w:r>
        <w:rPr>
          <w:rFonts w:ascii="Arial" w:cs="Arial" w:eastAsia="Arial" w:hAnsi="Arial"/>
          <w:b/>
          <w:bCs/>
          <w:color w:val="2E75B6"/>
          <w:sz w:val="24"/>
          <w:szCs w:val="24"/>
        </w:rPr>
        <w:t xml:space="preserve">4. Contractual Requirements</w:t>
      </w:r>
    </w:p>
    <w:p>
      <w:pPr>
        <w:spacing w:after="120"/>
      </w:pPr>
      <w:r>
        <w:rPr>
          <w:rFonts w:ascii="Arial" w:cs="Arial" w:eastAsia="Arial" w:hAnsi="Arial"/>
          <w:sz w:val="20"/>
          <w:szCs w:val="20"/>
        </w:rPr>
        <w:t xml:space="preserve">All vendors processing Confidential or Restricted data must execute a Data Processing Agreement (DPA) that includes:</w:t>
      </w:r>
    </w:p>
    <w:p>
      <w:pPr>
        <w:pStyle w:val="ListParagraph"/>
        <w:numPr>
          <w:ilvl w:val="0"/>
          <w:numId w:val="3"/>
        </w:numPr>
        <w:spacing w:after="60"/>
      </w:pPr>
      <w:r>
        <w:rPr>
          <w:rFonts w:ascii="Arial" w:cs="Arial" w:eastAsia="Arial" w:hAnsi="Arial"/>
          <w:sz w:val="20"/>
          <w:szCs w:val="20"/>
        </w:rPr>
        <w:t xml:space="preserve">Purpose limitation: data used only for the contracted service</w:t>
      </w:r>
    </w:p>
    <w:p>
      <w:pPr>
        <w:pStyle w:val="ListParagraph"/>
        <w:numPr>
          <w:ilvl w:val="0"/>
          <w:numId w:val="3"/>
        </w:numPr>
        <w:spacing w:after="60"/>
      </w:pPr>
      <w:r>
        <w:rPr>
          <w:rFonts w:ascii="Arial" w:cs="Arial" w:eastAsia="Arial" w:hAnsi="Arial"/>
          <w:sz w:val="20"/>
          <w:szCs w:val="20"/>
        </w:rPr>
        <w:t xml:space="preserve">Security requirements: encryption, access controls, and vulnerability management obligations</w:t>
      </w:r>
    </w:p>
    <w:p>
      <w:pPr>
        <w:pStyle w:val="ListParagraph"/>
        <w:numPr>
          <w:ilvl w:val="0"/>
          <w:numId w:val="3"/>
        </w:numPr>
        <w:spacing w:after="60"/>
      </w:pPr>
      <w:r>
        <w:rPr>
          <w:rFonts w:ascii="Arial" w:cs="Arial" w:eastAsia="Arial" w:hAnsi="Arial"/>
          <w:sz w:val="20"/>
          <w:szCs w:val="20"/>
        </w:rPr>
        <w:t xml:space="preserve">Sub-processor restrictions: vendor must notify Work Hat before engaging their own sub-processors</w:t>
      </w:r>
    </w:p>
    <w:p>
      <w:pPr>
        <w:pStyle w:val="ListParagraph"/>
        <w:numPr>
          <w:ilvl w:val="0"/>
          <w:numId w:val="3"/>
        </w:numPr>
        <w:spacing w:after="60"/>
      </w:pPr>
      <w:r>
        <w:rPr>
          <w:rFonts w:ascii="Arial" w:cs="Arial" w:eastAsia="Arial" w:hAnsi="Arial"/>
          <w:sz w:val="20"/>
          <w:szCs w:val="20"/>
        </w:rPr>
        <w:t xml:space="preserve">Incident notification: vendor must notify Work Hat within 24-48 hours of any security incident affecting Work Hat data</w:t>
      </w:r>
    </w:p>
    <w:p>
      <w:pPr>
        <w:pStyle w:val="ListParagraph"/>
        <w:numPr>
          <w:ilvl w:val="0"/>
          <w:numId w:val="3"/>
        </w:numPr>
        <w:spacing w:after="60"/>
      </w:pPr>
      <w:r>
        <w:rPr>
          <w:rFonts w:ascii="Arial" w:cs="Arial" w:eastAsia="Arial" w:hAnsi="Arial"/>
          <w:sz w:val="20"/>
          <w:szCs w:val="20"/>
        </w:rPr>
        <w:t xml:space="preserve">Audit rights: Work Hat reserves the right to request evidence of compliance (e.g., SOC 2 report)</w:t>
      </w:r>
    </w:p>
    <w:p>
      <w:pPr>
        <w:pStyle w:val="ListParagraph"/>
        <w:numPr>
          <w:ilvl w:val="0"/>
          <w:numId w:val="3"/>
        </w:numPr>
        <w:spacing w:after="60"/>
      </w:pPr>
      <w:r>
        <w:rPr>
          <w:rFonts w:ascii="Arial" w:cs="Arial" w:eastAsia="Arial" w:hAnsi="Arial"/>
          <w:sz w:val="20"/>
          <w:szCs w:val="20"/>
        </w:rPr>
        <w:t xml:space="preserve">Data deletion: vendor must delete or return all Work Hat data upon contract termination</w:t>
      </w:r>
    </w:p>
    <w:p>
      <w:pPr>
        <w:spacing w:after="80"/>
      </w:pPr>
      <w:r>
        <w:t xml:space="preserve"/>
      </w:r>
    </w:p>
    <w:p>
      <w:pPr>
        <w:pStyle w:val="Heading2"/>
        <w:spacing w:after="100" w:before="200"/>
      </w:pPr>
      <w:r>
        <w:rPr>
          <w:rFonts w:ascii="Arial" w:cs="Arial" w:eastAsia="Arial" w:hAnsi="Arial"/>
          <w:b/>
          <w:bCs/>
          <w:color w:val="2E75B6"/>
          <w:sz w:val="24"/>
          <w:szCs w:val="24"/>
        </w:rPr>
        <w:t xml:space="preserve">5. Annual Vendor Reassessment</w:t>
      </w:r>
    </w:p>
    <w:p>
      <w:pPr>
        <w:spacing w:after="120"/>
      </w:pPr>
      <w:r>
        <w:rPr>
          <w:rFonts w:ascii="Arial" w:cs="Arial" w:eastAsia="Arial" w:hAnsi="Arial"/>
          <w:sz w:val="20"/>
          <w:szCs w:val="20"/>
        </w:rPr>
        <w:t xml:space="preserve">All critical vendors (High risk) are reassessed annually. Reassessment includes:</w:t>
      </w:r>
    </w:p>
    <w:p>
      <w:pPr>
        <w:pStyle w:val="ListParagraph"/>
        <w:numPr>
          <w:ilvl w:val="0"/>
          <w:numId w:val="3"/>
        </w:numPr>
        <w:spacing w:after="60"/>
      </w:pPr>
      <w:r>
        <w:rPr>
          <w:rFonts w:ascii="Arial" w:cs="Arial" w:eastAsia="Arial" w:hAnsi="Arial"/>
          <w:sz w:val="20"/>
          <w:szCs w:val="20"/>
        </w:rPr>
        <w:t xml:space="preserve">Reviewing the vendor's most recent SOC 2 Type 2 report or equivalent certification</w:t>
      </w:r>
    </w:p>
    <w:p>
      <w:pPr>
        <w:pStyle w:val="ListParagraph"/>
        <w:numPr>
          <w:ilvl w:val="0"/>
          <w:numId w:val="3"/>
        </w:numPr>
        <w:spacing w:after="60"/>
      </w:pPr>
      <w:r>
        <w:rPr>
          <w:rFonts w:ascii="Arial" w:cs="Arial" w:eastAsia="Arial" w:hAnsi="Arial"/>
          <w:sz w:val="20"/>
          <w:szCs w:val="20"/>
        </w:rPr>
        <w:t xml:space="preserve">Reviewing any incidents the vendor has disclosed in the past 12 months</w:t>
      </w:r>
    </w:p>
    <w:p>
      <w:pPr>
        <w:pStyle w:val="ListParagraph"/>
        <w:numPr>
          <w:ilvl w:val="0"/>
          <w:numId w:val="3"/>
        </w:numPr>
        <w:spacing w:after="60"/>
      </w:pPr>
      <w:r>
        <w:rPr>
          <w:rFonts w:ascii="Arial" w:cs="Arial" w:eastAsia="Arial" w:hAnsi="Arial"/>
          <w:sz w:val="20"/>
          <w:szCs w:val="20"/>
        </w:rPr>
        <w:t xml:space="preserve">Confirming DPA remains current and reflects current data flows</w:t>
      </w:r>
    </w:p>
    <w:p>
      <w:pPr>
        <w:pStyle w:val="ListParagraph"/>
        <w:numPr>
          <w:ilvl w:val="0"/>
          <w:numId w:val="3"/>
        </w:numPr>
        <w:spacing w:after="60"/>
      </w:pPr>
      <w:r>
        <w:rPr>
          <w:rFonts w:ascii="Arial" w:cs="Arial" w:eastAsia="Arial" w:hAnsi="Arial"/>
          <w:sz w:val="20"/>
          <w:szCs w:val="20"/>
        </w:rPr>
        <w:t xml:space="preserve">Confirming the vendor's sub-processor list has not added unexpected parties</w:t>
      </w:r>
    </w:p>
    <w:p>
      <w:pPr>
        <w:spacing w:after="80"/>
      </w:pPr>
      <w:r>
        <w:t xml:space="preserve"/>
      </w:r>
    </w:p>
    <w:p>
      <w:pPr>
        <w:pStyle w:val="Heading2"/>
        <w:spacing w:after="100" w:before="200"/>
      </w:pPr>
      <w:r>
        <w:rPr>
          <w:rFonts w:ascii="Arial" w:cs="Arial" w:eastAsia="Arial" w:hAnsi="Arial"/>
          <w:b/>
          <w:bCs/>
          <w:color w:val="2E75B6"/>
          <w:sz w:val="24"/>
          <w:szCs w:val="24"/>
        </w:rPr>
        <w:t xml:space="preserve">6. Vendor Security Incident Monitoring</w:t>
      </w:r>
    </w:p>
    <w:p>
      <w:pPr>
        <w:spacing w:after="120"/>
      </w:pPr>
      <w:r>
        <w:rPr>
          <w:rFonts w:ascii="Arial" w:cs="Arial" w:eastAsia="Arial" w:hAnsi="Arial"/>
          <w:sz w:val="20"/>
          <w:szCs w:val="20"/>
        </w:rPr>
        <w:t xml:space="preserve">Work Hat subscribes to security advisories and status pages for all critical sub-processors. If a vendor discloses a security incident, Work Hat will:</w:t>
      </w:r>
    </w:p>
    <w:p>
      <w:pPr>
        <w:pStyle w:val="ListParagraph"/>
        <w:numPr>
          <w:ilvl w:val="0"/>
          <w:numId w:val="2"/>
        </w:numPr>
        <w:spacing w:after="60"/>
      </w:pPr>
      <w:r>
        <w:rPr>
          <w:rFonts w:ascii="Arial" w:cs="Arial" w:eastAsia="Arial" w:hAnsi="Arial"/>
          <w:sz w:val="20"/>
          <w:szCs w:val="20"/>
        </w:rPr>
        <w:t xml:space="preserve">Assess whether Work Hat data was affected</w:t>
      </w:r>
    </w:p>
    <w:p>
      <w:pPr>
        <w:pStyle w:val="ListParagraph"/>
        <w:numPr>
          <w:ilvl w:val="0"/>
          <w:numId w:val="2"/>
        </w:numPr>
        <w:spacing w:after="60"/>
      </w:pPr>
      <w:r>
        <w:rPr>
          <w:rFonts w:ascii="Arial" w:cs="Arial" w:eastAsia="Arial" w:hAnsi="Arial"/>
          <w:sz w:val="20"/>
          <w:szCs w:val="20"/>
        </w:rPr>
        <w:t xml:space="preserve">Engage the vendor's incident response team for clarification</w:t>
      </w:r>
    </w:p>
    <w:p>
      <w:pPr>
        <w:pStyle w:val="ListParagraph"/>
        <w:numPr>
          <w:ilvl w:val="0"/>
          <w:numId w:val="2"/>
        </w:numPr>
        <w:spacing w:after="60"/>
      </w:pPr>
      <w:r>
        <w:rPr>
          <w:rFonts w:ascii="Arial" w:cs="Arial" w:eastAsia="Arial" w:hAnsi="Arial"/>
          <w:sz w:val="20"/>
          <w:szCs w:val="20"/>
        </w:rPr>
        <w:t xml:space="preserve">Follow POL-003 (Incident Response) if Work Hat customer data was involved</w:t>
      </w:r>
    </w:p>
    <w:p>
      <w:pPr>
        <w:pStyle w:val="ListParagraph"/>
        <w:numPr>
          <w:ilvl w:val="0"/>
          <w:numId w:val="2"/>
        </w:numPr>
        <w:spacing w:after="60"/>
      </w:pPr>
      <w:r>
        <w:rPr>
          <w:rFonts w:ascii="Arial" w:cs="Arial" w:eastAsia="Arial" w:hAnsi="Arial"/>
          <w:sz w:val="20"/>
          <w:szCs w:val="20"/>
        </w:rPr>
        <w:t xml:space="preserve">Document the assessment in the incident register</w:t>
      </w:r>
    </w:p>
    <w:p>
      <w:pPr>
        <w:spacing w:after="80"/>
      </w:pPr>
      <w:r>
        <w:t xml:space="preserve"/>
      </w:r>
    </w:p>
    <w:p>
      <w:pPr>
        <w:pStyle w:val="Heading2"/>
        <w:spacing w:after="100" w:before="200"/>
      </w:pPr>
      <w:r>
        <w:rPr>
          <w:rFonts w:ascii="Arial" w:cs="Arial" w:eastAsia="Arial" w:hAnsi="Arial"/>
          <w:b/>
          <w:bCs/>
          <w:color w:val="2E75B6"/>
          <w:sz w:val="24"/>
          <w:szCs w:val="24"/>
        </w:rPr>
        <w:t xml:space="preserve">7. Vendor Termination</w:t>
      </w:r>
    </w:p>
    <w:p>
      <w:pPr>
        <w:spacing w:after="120"/>
      </w:pPr>
      <w:r>
        <w:rPr>
          <w:rFonts w:ascii="Arial" w:cs="Arial" w:eastAsia="Arial" w:hAnsi="Arial"/>
          <w:sz w:val="20"/>
          <w:szCs w:val="20"/>
        </w:rPr>
        <w:t xml:space="preserve">On termination of a vendor relationship, Work Hat must:</w:t>
      </w:r>
    </w:p>
    <w:p>
      <w:pPr>
        <w:pStyle w:val="ListParagraph"/>
        <w:numPr>
          <w:ilvl w:val="0"/>
          <w:numId w:val="3"/>
        </w:numPr>
        <w:spacing w:after="60"/>
      </w:pPr>
      <w:r>
        <w:rPr>
          <w:rFonts w:ascii="Arial" w:cs="Arial" w:eastAsia="Arial" w:hAnsi="Arial"/>
          <w:sz w:val="20"/>
          <w:szCs w:val="20"/>
        </w:rPr>
        <w:t xml:space="preserve">Revoke all API keys, OAuth authorisations, and credentials provided to the vendor</w:t>
      </w:r>
    </w:p>
    <w:p>
      <w:pPr>
        <w:pStyle w:val="ListParagraph"/>
        <w:numPr>
          <w:ilvl w:val="0"/>
          <w:numId w:val="3"/>
        </w:numPr>
        <w:spacing w:after="60"/>
      </w:pPr>
      <w:r>
        <w:rPr>
          <w:rFonts w:ascii="Arial" w:cs="Arial" w:eastAsia="Arial" w:hAnsi="Arial"/>
          <w:sz w:val="20"/>
          <w:szCs w:val="20"/>
        </w:rPr>
        <w:t xml:space="preserve">Confirm the vendor has deleted all Work Hat data per the DPA terms</w:t>
      </w:r>
    </w:p>
    <w:p>
      <w:pPr>
        <w:pStyle w:val="ListParagraph"/>
        <w:numPr>
          <w:ilvl w:val="0"/>
          <w:numId w:val="3"/>
        </w:numPr>
        <w:spacing w:after="60"/>
      </w:pPr>
      <w:r>
        <w:rPr>
          <w:rFonts w:ascii="Arial" w:cs="Arial" w:eastAsia="Arial" w:hAnsi="Arial"/>
          <w:sz w:val="20"/>
          <w:szCs w:val="20"/>
        </w:rPr>
        <w:t xml:space="preserve">Update the sub-processor inventory and notify customers if required by contractual obligations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Vendor Risk Management Policy</w:t>
    </w:r>
    <w:r>
      <w:rPr>
        <w:rFonts w:ascii="Arial" w:cs="Arial" w:eastAsia="Arial" w:hAnsi="Arial"/>
        <w:color w:val="9C0006"/>
        <w:sz w:val="18"/>
        <w:szCs w:val="18"/>
      </w:rPr>
      <w:t xml:space="preserve">	POL-007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2026-04-21T20:05:02.976Z</dcterms:created>
  <dcterms:modified xsi:type="dcterms:W3CDTF">2026-04-21T20:05:02.976Z</dcterms:modified>
</cp:coreProperties>
</file>

<file path=docProps/custom.xml><?xml version="1.0" encoding="utf-8"?>
<Properties xmlns="http://schemas.openxmlformats.org/officeDocument/2006/custom-properties" xmlns:vt="http://schemas.openxmlformats.org/officeDocument/2006/docPropsVTypes"/>
</file>