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Business Continuity and Disaster Recovery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POL-008</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 + after any P1 availability incident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This plan defines how Work Hat responds to events that disrupt the availability of the platform, and how operations are restored within defined recovery time objectives. It satisfies SOC 2 Availability criteria A1.2 and A1.3.</w:t>
      </w:r>
    </w:p>
    <w:p>
      <w:pPr>
        <w:spacing w:after="80"/>
      </w:pPr>
      <w:r>
        <w:t xml:space="preserve"/>
      </w:r>
    </w:p>
    <w:p>
      <w:pPr>
        <w:pStyle w:val="Heading2"/>
        <w:spacing w:after="100" w:before="200"/>
      </w:pPr>
      <w:r>
        <w:rPr>
          <w:rFonts w:ascii="Arial" w:cs="Arial" w:eastAsia="Arial" w:hAnsi="Arial"/>
          <w:b/>
          <w:bCs/>
          <w:color w:val="2E75B6"/>
          <w:sz w:val="24"/>
          <w:szCs w:val="24"/>
        </w:rPr>
        <w:t xml:space="preserve">2. Recovery Objectives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Recovery Time Objective (RTO)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4 hours — maximum acceptable downtime from incident declaration to service restoration for P1 outages.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Recovery Point Objective (RPO)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1 hour — maximum acceptable data loss measured in time (i.e., recovery to within 1 hour of the incident).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SLA 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99.5% monthly uptime (excluding scheduled maintenance windows of up to 2 hours per month).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Notification SLA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Customers notified within 30 minutes of a P1 outage declaration.</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3. Infrastructure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Component</w:t>
            </w:r>
          </w:p>
        </w:tc>
        <w:tc>
          <w:tcPr>
            <w:tcW w:type="dxa" w:w="71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Redundancy and Availability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Application (Vercel)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Serverless Next.js. Vercel provides multi-region edge network. Automatic failover across regions. No single point of failure at the application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Database (Supabase)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PostgreSQL on Supabase. Point-in-Time Recovery (PITR) enabled on the production instance. Supabase performs continuous WAL-based backups. Daily snapshots retained for 30 days.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Authentication (Supabase Auth)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Managed by Supabase. Redundant across availability zones. Auth failures are isolated from database availability.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Email (Postmark + Gmail API)</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Postmark provides redundant inbound routing. Gmail API outages are isolated to the connector feature; core platform remains functional.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AI (OpenAI)</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Circuit breakers prevent cascading failures. AI draft generation degrades gracefully — agents can reply manually if OpenAI is unavailable.</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4. Backup and Restoration</w:t>
      </w:r>
    </w:p>
    <w:p>
      <w:pPr>
        <w:spacing w:after="80"/>
      </w:pPr>
      <w:r>
        <w:t xml:space="preserve"/>
      </w:r>
    </w:p>
    <w:p>
      <w:pPr>
        <w:pStyle w:val="Heading3"/>
        <w:spacing w:after="80" w:before="160"/>
      </w:pPr>
      <w:r>
        <w:rPr>
          <w:rFonts w:ascii="Arial" w:cs="Arial" w:eastAsia="Arial" w:hAnsi="Arial"/>
          <w:b/>
          <w:bCs/>
          <w:color w:val="1F3864"/>
          <w:sz w:val="21"/>
          <w:szCs w:val="21"/>
        </w:rPr>
        <w:t xml:space="preserve">4.1  Database Backups</w:t>
      </w:r>
    </w:p>
    <w:p>
      <w:pPr>
        <w:spacing w:after="120"/>
      </w:pPr>
      <w:r>
        <w:rPr>
          <w:rFonts w:ascii="Arial" w:cs="Arial" w:eastAsia="Arial" w:hAnsi="Arial"/>
          <w:sz w:val="20"/>
          <w:szCs w:val="20"/>
        </w:rPr>
        <w:t xml:space="preserve">Supabase provides automatic continuous backups with PITR on production instances (Pro plan or higher). The PITR retention window is 7 days. Daily snapshots are additionally retained.</w:t>
      </w:r>
    </w:p>
    <w:p>
      <w:pPr>
        <w:spacing w:after="80"/>
      </w:pPr>
      <w:r>
        <w:t xml:space="preserve"/>
      </w:r>
    </w:p>
    <w:p>
      <w:pPr>
        <w:spacing w:after="120"/>
      </w:pPr>
      <w:r>
        <w:rPr>
          <w:rFonts w:ascii="Arial" w:cs="Arial" w:eastAsia="Arial" w:hAnsi="Arial"/>
          <w:b/>
          <w:bCs/>
          <w:sz w:val="20"/>
          <w:szCs w:val="20"/>
        </w:rPr>
        <w:t xml:space="preserve">Restoration procedure:</w:t>
      </w:r>
    </w:p>
    <w:p>
      <w:pPr>
        <w:pStyle w:val="ListParagraph"/>
        <w:numPr>
          <w:ilvl w:val="0"/>
          <w:numId w:val="2"/>
        </w:numPr>
        <w:spacing w:after="60"/>
      </w:pPr>
      <w:r>
        <w:rPr>
          <w:rFonts w:ascii="Arial" w:cs="Arial" w:eastAsia="Arial" w:hAnsi="Arial"/>
          <w:sz w:val="20"/>
          <w:szCs w:val="20"/>
        </w:rPr>
        <w:t xml:space="preserve">Log in to the Supabase dashboard for the production project</w:t>
      </w:r>
    </w:p>
    <w:p>
      <w:pPr>
        <w:pStyle w:val="ListParagraph"/>
        <w:numPr>
          <w:ilvl w:val="0"/>
          <w:numId w:val="2"/>
        </w:numPr>
        <w:spacing w:after="60"/>
      </w:pPr>
      <w:r>
        <w:rPr>
          <w:rFonts w:ascii="Arial" w:cs="Arial" w:eastAsia="Arial" w:hAnsi="Arial"/>
          <w:sz w:val="20"/>
          <w:szCs w:val="20"/>
        </w:rPr>
        <w:t xml:space="preserve">Navigate to Database → Backups</w:t>
      </w:r>
    </w:p>
    <w:p>
      <w:pPr>
        <w:pStyle w:val="ListParagraph"/>
        <w:numPr>
          <w:ilvl w:val="0"/>
          <w:numId w:val="2"/>
        </w:numPr>
        <w:spacing w:after="60"/>
      </w:pPr>
      <w:r>
        <w:rPr>
          <w:rFonts w:ascii="Arial" w:cs="Arial" w:eastAsia="Arial" w:hAnsi="Arial"/>
          <w:sz w:val="20"/>
          <w:szCs w:val="20"/>
        </w:rPr>
        <w:t xml:space="preserve">Select the most recent backup prior to the incident</w:t>
      </w:r>
    </w:p>
    <w:p>
      <w:pPr>
        <w:pStyle w:val="ListParagraph"/>
        <w:numPr>
          <w:ilvl w:val="0"/>
          <w:numId w:val="2"/>
        </w:numPr>
        <w:spacing w:after="60"/>
      </w:pPr>
      <w:r>
        <w:rPr>
          <w:rFonts w:ascii="Arial" w:cs="Arial" w:eastAsia="Arial" w:hAnsi="Arial"/>
          <w:sz w:val="20"/>
          <w:szCs w:val="20"/>
        </w:rPr>
        <w:t xml:space="preserve">Initiate restoration to a new project (to avoid overwriting live data during verification)</w:t>
      </w:r>
    </w:p>
    <w:p>
      <w:pPr>
        <w:pStyle w:val="ListParagraph"/>
        <w:numPr>
          <w:ilvl w:val="0"/>
          <w:numId w:val="2"/>
        </w:numPr>
        <w:spacing w:after="60"/>
      </w:pPr>
      <w:r>
        <w:rPr>
          <w:rFonts w:ascii="Arial" w:cs="Arial" w:eastAsia="Arial" w:hAnsi="Arial"/>
          <w:sz w:val="20"/>
          <w:szCs w:val="20"/>
        </w:rPr>
        <w:t xml:space="preserve">Verify data integrity on the restored instance</w:t>
      </w:r>
    </w:p>
    <w:p>
      <w:pPr>
        <w:pStyle w:val="ListParagraph"/>
        <w:numPr>
          <w:ilvl w:val="0"/>
          <w:numId w:val="2"/>
        </w:numPr>
        <w:spacing w:after="60"/>
      </w:pPr>
      <w:r>
        <w:rPr>
          <w:rFonts w:ascii="Arial" w:cs="Arial" w:eastAsia="Arial" w:hAnsi="Arial"/>
          <w:sz w:val="20"/>
          <w:szCs w:val="20"/>
        </w:rPr>
        <w:t xml:space="preserve">Update Vercel environment variables to point to the restored database</w:t>
      </w:r>
    </w:p>
    <w:p>
      <w:pPr>
        <w:pStyle w:val="ListParagraph"/>
        <w:numPr>
          <w:ilvl w:val="0"/>
          <w:numId w:val="2"/>
        </w:numPr>
        <w:spacing w:after="60"/>
      </w:pPr>
      <w:r>
        <w:rPr>
          <w:rFonts w:ascii="Arial" w:cs="Arial" w:eastAsia="Arial" w:hAnsi="Arial"/>
          <w:sz w:val="20"/>
          <w:szCs w:val="20"/>
        </w:rPr>
        <w:t xml:space="preserve">Verify application connectivity and run smoke tests</w:t>
      </w:r>
    </w:p>
    <w:p>
      <w:pPr>
        <w:pStyle w:val="ListParagraph"/>
        <w:numPr>
          <w:ilvl w:val="0"/>
          <w:numId w:val="2"/>
        </w:numPr>
        <w:spacing w:after="60"/>
      </w:pPr>
      <w:r>
        <w:rPr>
          <w:rFonts w:ascii="Arial" w:cs="Arial" w:eastAsia="Arial" w:hAnsi="Arial"/>
          <w:sz w:val="20"/>
          <w:szCs w:val="20"/>
        </w:rPr>
        <w:t xml:space="preserve">Switch production traffic to the restored instance</w:t>
      </w:r>
    </w:p>
    <w:p>
      <w:pPr>
        <w:spacing w:after="80"/>
      </w:pPr>
      <w:r>
        <w:t xml:space="preserve"/>
      </w:r>
    </w:p>
    <w:p>
      <w:pPr>
        <w:pStyle w:val="Heading3"/>
        <w:spacing w:after="80" w:before="160"/>
      </w:pPr>
      <w:r>
        <w:rPr>
          <w:rFonts w:ascii="Arial" w:cs="Arial" w:eastAsia="Arial" w:hAnsi="Arial"/>
          <w:b/>
          <w:bCs/>
          <w:color w:val="1F3864"/>
          <w:sz w:val="21"/>
          <w:szCs w:val="21"/>
        </w:rPr>
        <w:t xml:space="preserve">4.2  Annual Restoration Test</w:t>
      </w:r>
    </w:p>
    <w:p>
      <w:pPr>
        <w:spacing w:after="120"/>
      </w:pPr>
      <w:r>
        <w:rPr>
          <w:rFonts w:ascii="Arial" w:cs="Arial" w:eastAsia="Arial" w:hAnsi="Arial"/>
          <w:sz w:val="20"/>
          <w:szCs w:val="20"/>
        </w:rPr>
        <w:t xml:space="preserve">A database restoration test must be performed annually. The test verifies that the PITR mechanism functions correctly and that the restoration procedure achieves the RPO. Test results (date, duration, data integrity verification, issues found) must be documented and retained.</w:t>
      </w:r>
    </w:p>
    <w:p>
      <w:pPr>
        <w:spacing w:after="80"/>
      </w:pPr>
      <w:r>
        <w:t xml:space="preserve"/>
      </w:r>
    </w:p>
    <w:p>
      <w:pPr>
        <w:pStyle w:val="Heading2"/>
        <w:spacing w:after="100" w:before="200"/>
      </w:pPr>
      <w:r>
        <w:rPr>
          <w:rFonts w:ascii="Arial" w:cs="Arial" w:eastAsia="Arial" w:hAnsi="Arial"/>
          <w:b/>
          <w:bCs/>
          <w:color w:val="2E75B6"/>
          <w:sz w:val="24"/>
          <w:szCs w:val="24"/>
        </w:rPr>
        <w:t xml:space="preserve">5. Disaster Scenarios and Response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Scenario</w:t>
            </w:r>
          </w:p>
        </w:tc>
        <w:tc>
          <w:tcPr>
            <w:tcW w:type="dxa" w:w="45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Response Steps</w:t>
            </w:r>
          </w:p>
        </w:tc>
        <w:tc>
          <w:tcPr>
            <w:tcW w:type="dxa" w:w="24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Severity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Supabase outage (database unavailable)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1. Declare incident per POL-003. 2. Monitor Supabase status page. 3. Notify customers via status page within 30 min. 4. If outage exceeds 2 hours, initiate failover to a standby database instance. 5. Update DNS / env vars when service is restored.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P1 (if &gt;15 min) / P2 (if &lt;15 min)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Vercel outage (application unavailable)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1. Declare incident per POL-003. 2. Monitor Vercel status page. 3. Notify customers. 4. If outage persists, consider deploying to an alternative hosting environment (Railway, Fly.io). 5. Update DNS when service is restored.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P1</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Data corruption (database)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1. Declare P1 incident. 2. Identify the time and scope of corruption. 3. Initiate PITR restoration to a point before corruption. 4. Assess what data was lost (RPO impact). 5. Notify affected customers.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P1</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Ransomware or malicious deletion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1. Declare P1 incident. 2. Immediately isolate affected systems. 3. Do not pay any ransom. 4. Restore from last known-good backup. 5. Engage legal counsel and notify authorities.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P1</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Key personnel unavailable (CEO)</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1. All admin credentials are documented in a secure password manager accessible to a designated backup contact. 2. Backup contact has authority to execute this BCP.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P2 / P3</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Third-party AI outage (OpenAI)</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1. Circuit breaker activates automatically. 2. Platform continues to function in manual-reply mode. 3. No customer notification required unless AI features are part of an SLA commitment. 4. Monitor OpenAI status page.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P3</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6. Communication Plan</w:t>
      </w:r>
    </w:p>
    <w:p>
      <w:pPr>
        <w:spacing w:after="120"/>
      </w:pPr>
      <w:r>
        <w:rPr>
          <w:rFonts w:ascii="Arial" w:cs="Arial" w:eastAsia="Arial" w:hAnsi="Arial"/>
          <w:sz w:val="20"/>
          <w:szCs w:val="20"/>
        </w:rPr>
        <w:t xml:space="preserve">Status page: a public status page (e.g., Statuspage.io) must be maintained and updated within 15 minutes of any P1 outage declaration.</w:t>
      </w:r>
    </w:p>
    <w:p>
      <w:pPr>
        <w:spacing w:after="80"/>
      </w:pPr>
      <w:r>
        <w:t xml:space="preserve"/>
      </w:r>
    </w:p>
    <w:p>
      <w:pPr>
        <w:spacing w:after="120"/>
      </w:pPr>
      <w:r>
        <w:rPr>
          <w:rFonts w:ascii="Arial" w:cs="Arial" w:eastAsia="Arial" w:hAnsi="Arial"/>
          <w:sz w:val="20"/>
          <w:szCs w:val="20"/>
        </w:rPr>
        <w:t xml:space="preserve">Customer communication for P1/P2 outages:</w:t>
      </w:r>
    </w:p>
    <w:p>
      <w:pPr>
        <w:pStyle w:val="ListParagraph"/>
        <w:numPr>
          <w:ilvl w:val="0"/>
          <w:numId w:val="3"/>
        </w:numPr>
        <w:spacing w:after="60"/>
      </w:pPr>
      <w:r>
        <w:rPr>
          <w:rFonts w:ascii="Arial" w:cs="Arial" w:eastAsia="Arial" w:hAnsi="Arial"/>
          <w:sz w:val="20"/>
          <w:szCs w:val="20"/>
        </w:rPr>
        <w:t xml:space="preserve">Initial notification: within 30 minutes of declaration (status page + email to affected customers)</w:t>
      </w:r>
    </w:p>
    <w:p>
      <w:pPr>
        <w:pStyle w:val="ListParagraph"/>
        <w:numPr>
          <w:ilvl w:val="0"/>
          <w:numId w:val="3"/>
        </w:numPr>
        <w:spacing w:after="60"/>
      </w:pPr>
      <w:r>
        <w:rPr>
          <w:rFonts w:ascii="Arial" w:cs="Arial" w:eastAsia="Arial" w:hAnsi="Arial"/>
          <w:sz w:val="20"/>
          <w:szCs w:val="20"/>
        </w:rPr>
        <w:t xml:space="preserve">Progress updates: every 60 minutes until resolved</w:t>
      </w:r>
    </w:p>
    <w:p>
      <w:pPr>
        <w:pStyle w:val="ListParagraph"/>
        <w:numPr>
          <w:ilvl w:val="0"/>
          <w:numId w:val="3"/>
        </w:numPr>
        <w:spacing w:after="60"/>
      </w:pPr>
      <w:r>
        <w:rPr>
          <w:rFonts w:ascii="Arial" w:cs="Arial" w:eastAsia="Arial" w:hAnsi="Arial"/>
          <w:sz w:val="20"/>
          <w:szCs w:val="20"/>
        </w:rPr>
        <w:t xml:space="preserve">Resolution notification: within 1 hour of service restoration</w:t>
      </w:r>
    </w:p>
    <w:p>
      <w:pPr>
        <w:pStyle w:val="ListParagraph"/>
        <w:numPr>
          <w:ilvl w:val="0"/>
          <w:numId w:val="3"/>
        </w:numPr>
        <w:spacing w:after="60"/>
      </w:pPr>
      <w:r>
        <w:rPr>
          <w:rFonts w:ascii="Arial" w:cs="Arial" w:eastAsia="Arial" w:hAnsi="Arial"/>
          <w:sz w:val="20"/>
          <w:szCs w:val="20"/>
        </w:rPr>
        <w:t xml:space="preserve">Post-incident summary: within 48 hours of resolution</w:t>
      </w:r>
    </w:p>
    <w:p>
      <w:pPr>
        <w:spacing w:after="80"/>
      </w:pPr>
      <w:r>
        <w:t xml:space="preserve"/>
      </w:r>
    </w:p>
    <w:p>
      <w:pPr>
        <w:pStyle w:val="Heading2"/>
        <w:spacing w:after="100" w:before="200"/>
      </w:pPr>
      <w:r>
        <w:rPr>
          <w:rFonts w:ascii="Arial" w:cs="Arial" w:eastAsia="Arial" w:hAnsi="Arial"/>
          <w:b/>
          <w:bCs/>
          <w:color w:val="2E75B6"/>
          <w:sz w:val="24"/>
          <w:szCs w:val="24"/>
        </w:rPr>
        <w:t xml:space="preserve">7. Annual BCP Test</w:t>
      </w:r>
    </w:p>
    <w:p>
      <w:pPr>
        <w:spacing w:after="120"/>
      </w:pPr>
      <w:r>
        <w:rPr>
          <w:rFonts w:ascii="Arial" w:cs="Arial" w:eastAsia="Arial" w:hAnsi="Arial"/>
          <w:sz w:val="20"/>
          <w:szCs w:val="20"/>
        </w:rPr>
        <w:t xml:space="preserve">The BCP is tested annually via a tabletop exercise. Participants walk through at least two disaster scenarios from Section 5. The exercise evaluates: communication effectiveness, decision authority clarity, recovery procedure accuracy, and gap identification. Results are documented and remediation items tracked to closure.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Business Continuity and Disaster Recovery Plan</w:t>
    </w:r>
    <w:r>
      <w:rPr>
        <w:rFonts w:ascii="Arial" w:cs="Arial" w:eastAsia="Arial" w:hAnsi="Arial"/>
        <w:color w:val="9C0006"/>
        <w:sz w:val="18"/>
        <w:szCs w:val="18"/>
      </w:rPr>
      <w:t xml:space="preserve">	POL-008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2026-04-21T20:05:02.986Z</dcterms:created>
  <dcterms:modified xsi:type="dcterms:W3CDTF">2026-04-21T20:05:02.986Z</dcterms:modified>
</cp:coreProperties>
</file>

<file path=docProps/custom.xml><?xml version="1.0" encoding="utf-8"?>
<Properties xmlns="http://schemas.openxmlformats.org/officeDocument/2006/custom-properties" xmlns:vt="http://schemas.openxmlformats.org/officeDocument/2006/docPropsVTypes"/>
</file>