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pPr>
      <w:r>
        <w:rPr>
          <w:rFonts w:ascii="Arial" w:cs="Arial" w:eastAsia="Arial" w:hAnsi="Arial"/>
          <w:b/>
          <w:bCs/>
          <w:color w:val="1F3864"/>
          <w:sz w:val="32"/>
          <w:szCs w:val="32"/>
        </w:rPr>
        <w:t xml:space="preserve">Privacy Policy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Document ID</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POL-009</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Version</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1.0</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Effective Date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April 21, 2026</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Owner</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CEO / Founder</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Audience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Customers, End Users, Data Subjects — PUBLISH AT /privacy</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00"/>
            </w:tcMar>
          </w:tcPr>
          <w:p>
            <w:pPr>
              <w:spacing w:after="120"/>
            </w:pPr>
            <w:r>
              <w:rPr>
                <w:rFonts w:ascii="Arial" w:cs="Arial" w:eastAsia="Arial" w:hAnsi="Arial"/>
                <w:b/>
                <w:bCs/>
                <w:sz w:val="18"/>
                <w:szCs w:val="18"/>
              </w:rPr>
              <w:t xml:space="preserve">Review Cadence</w:t>
            </w:r>
          </w:p>
        </w:tc>
        <w:tc>
          <w:tcPr>
            <w:tcW w:type="dxa" w:w="6960"/>
            <w:tcBorders>
              <w:top w:val="single" w:color="CCCCCC" w:sz="1"/>
              <w:left w:val="single" w:color="CCCCCC" w:sz="1"/>
              <w:bottom w:val="single" w:color="CCCCCC" w:sz="1"/>
              <w:right w:val="single" w:color="CCCCCC" w:sz="1"/>
            </w:tcBorders>
            <w:tcMar>
              <w:top w:type="dxa" w:w="60"/>
              <w:left w:type="dxa" w:w="120"/>
              <w:bottom w:type="dxa" w:w="60"/>
              <w:right w:type="dxa" w:w="100"/>
            </w:tcMar>
          </w:tcPr>
          <w:p>
            <w:pPr>
              <w:spacing w:after="120"/>
            </w:pPr>
            <w:r>
              <w:rPr>
                <w:rFonts w:ascii="Arial" w:cs="Arial" w:eastAsia="Arial" w:hAnsi="Arial"/>
                <w:sz w:val="18"/>
                <w:szCs w:val="18"/>
              </w:rPr>
              <w:t xml:space="preserve">Annual or on material change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00"/>
            </w:tcMar>
          </w:tcPr>
          <w:p>
            <w:pPr>
              <w:spacing w:after="120"/>
            </w:pPr>
            <w:r>
              <w:rPr>
                <w:rFonts w:ascii="Arial" w:cs="Arial" w:eastAsia="Arial" w:hAnsi="Arial"/>
                <w:b/>
                <w:bCs/>
                <w:color w:val="FFFFFF"/>
                <w:sz w:val="18"/>
                <w:szCs w:val="18"/>
              </w:rPr>
              <w:t xml:space="preserve">Note to Legal Counsel</w:t>
            </w:r>
          </w:p>
        </w:tc>
        <w:tc>
          <w:tcPr>
            <w:tcW w:type="dxa" w:w="7360"/>
            <w:tcBorders>
              <w:top w:val="single" w:color="CCCCCC" w:sz="1"/>
              <w:left w:val="single" w:color="CCCCCC" w:sz="1"/>
              <w:bottom w:val="single" w:color="CCCCCC" w:sz="1"/>
              <w:right w:val="single" w:color="CCCCCC" w:sz="1"/>
            </w:tcBorders>
            <w:shd w:fill="FFEB9C" w:val="clear"/>
            <w:tcMar>
              <w:top w:type="dxa" w:w="60"/>
              <w:left w:type="dxa" w:w="120"/>
              <w:bottom w:type="dxa" w:w="60"/>
              <w:right w:type="dxa" w:w="100"/>
            </w:tcMar>
          </w:tcPr>
          <w:p>
            <w:pPr>
              <w:spacing w:after="120"/>
            </w:pPr>
            <w:r>
              <w:rPr>
                <w:rFonts w:ascii="Arial" w:cs="Arial" w:eastAsia="Arial" w:hAnsi="Arial"/>
                <w:sz w:val="18"/>
                <w:szCs w:val="18"/>
              </w:rPr>
              <w:t xml:space="preserve">This privacy policy template has been drafted for Work Hat's current product and data flows. It should be reviewed by qualified legal counsel before publication, particularly with respect to GDPR lawful basis, CCPA obligations, and any jurisdiction-specific requirements applicable to Work Hat's customer base.</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1. Introduction</w:t>
      </w:r>
    </w:p>
    <w:p>
      <w:pPr>
        <w:spacing w:after="120"/>
      </w:pPr>
      <w:r>
        <w:rPr>
          <w:rFonts w:ascii="Arial" w:cs="Arial" w:eastAsia="Arial" w:hAnsi="Arial"/>
          <w:sz w:val="20"/>
          <w:szCs w:val="20"/>
        </w:rPr>
        <w:t xml:space="preserve">Work Hat, Inc. ("Work Hat", "we", "us", or "our") operates the Work Hat CRM platform, an AI-assisted customer relationship management service. This Privacy Policy explains how we collect, use, retain, and protect personal information in connection with the Work Hat platform and website.</w:t>
      </w:r>
    </w:p>
    <w:p>
      <w:pPr>
        <w:spacing w:after="80"/>
      </w:pPr>
      <w:r>
        <w:t xml:space="preserve"/>
      </w:r>
    </w:p>
    <w:p>
      <w:pPr>
        <w:spacing w:after="120"/>
      </w:pPr>
      <w:r>
        <w:rPr>
          <w:rFonts w:ascii="Arial" w:cs="Arial" w:eastAsia="Arial" w:hAnsi="Arial"/>
          <w:sz w:val="20"/>
          <w:szCs w:val="20"/>
        </w:rPr>
        <w:t xml:space="preserve">By using the Work Hat platform, you agree to the collection and use of information as described in this policy. If you do not agree, please do not use the platform.</w:t>
      </w:r>
    </w:p>
    <w:p>
      <w:pPr>
        <w:spacing w:after="80"/>
      </w:pPr>
      <w:r>
        <w:t xml:space="preserve"/>
      </w:r>
    </w:p>
    <w:p>
      <w:pPr>
        <w:pStyle w:val="Heading2"/>
        <w:spacing w:after="100" w:before="200"/>
      </w:pPr>
      <w:r>
        <w:rPr>
          <w:rFonts w:ascii="Arial" w:cs="Arial" w:eastAsia="Arial" w:hAnsi="Arial"/>
          <w:b/>
          <w:bCs/>
          <w:color w:val="2E75B6"/>
          <w:sz w:val="24"/>
          <w:szCs w:val="24"/>
        </w:rPr>
        <w:t xml:space="preserve">2. Information We Collect</w:t>
      </w:r>
    </w:p>
    <w:p>
      <w:pPr>
        <w:spacing w:after="80"/>
      </w:pPr>
      <w:r>
        <w:t xml:space="preserve"/>
      </w:r>
    </w:p>
    <w:p>
      <w:pPr>
        <w:pStyle w:val="Heading3"/>
        <w:spacing w:after="80" w:before="160"/>
      </w:pPr>
      <w:r>
        <w:rPr>
          <w:rFonts w:ascii="Arial" w:cs="Arial" w:eastAsia="Arial" w:hAnsi="Arial"/>
          <w:b/>
          <w:bCs/>
          <w:color w:val="1F3864"/>
          <w:sz w:val="21"/>
          <w:szCs w:val="21"/>
        </w:rPr>
        <w:t xml:space="preserve">2.1  Information You Provide</w:t>
      </w:r>
    </w:p>
    <w:p>
      <w:pPr>
        <w:pStyle w:val="ListParagraph"/>
        <w:numPr>
          <w:ilvl w:val="0"/>
          <w:numId w:val="2"/>
        </w:numPr>
        <w:spacing w:after="60"/>
      </w:pPr>
      <w:r>
        <w:rPr>
          <w:rFonts w:ascii="Arial" w:cs="Arial" w:eastAsia="Arial" w:hAnsi="Arial"/>
          <w:sz w:val="20"/>
          <w:szCs w:val="20"/>
        </w:rPr>
        <w:t xml:space="preserve">Account information: name, email address, job title, organisation name</w:t>
      </w:r>
    </w:p>
    <w:p>
      <w:pPr>
        <w:pStyle w:val="ListParagraph"/>
        <w:numPr>
          <w:ilvl w:val="0"/>
          <w:numId w:val="2"/>
        </w:numPr>
        <w:spacing w:after="60"/>
      </w:pPr>
      <w:r>
        <w:rPr>
          <w:rFonts w:ascii="Arial" w:cs="Arial" w:eastAsia="Arial" w:hAnsi="Arial"/>
          <w:sz w:val="20"/>
          <w:szCs w:val="20"/>
        </w:rPr>
        <w:t xml:space="preserve">Contact records: customer names, email addresses, phone numbers, company names, and notes that you enter into the platform</w:t>
      </w:r>
    </w:p>
    <w:p>
      <w:pPr>
        <w:pStyle w:val="ListParagraph"/>
        <w:numPr>
          <w:ilvl w:val="0"/>
          <w:numId w:val="2"/>
        </w:numPr>
        <w:spacing w:after="60"/>
      </w:pPr>
      <w:r>
        <w:rPr>
          <w:rFonts w:ascii="Arial" w:cs="Arial" w:eastAsia="Arial" w:hAnsi="Arial"/>
          <w:sz w:val="20"/>
          <w:szCs w:val="20"/>
        </w:rPr>
        <w:t xml:space="preserve">Communications: email content processed through the Work Hat inbox connector (inbound emails from your customers, outbound replies sent through the platform)</w:t>
      </w:r>
    </w:p>
    <w:p>
      <w:pPr>
        <w:pStyle w:val="ListParagraph"/>
        <w:numPr>
          <w:ilvl w:val="0"/>
          <w:numId w:val="2"/>
        </w:numPr>
        <w:spacing w:after="60"/>
      </w:pPr>
      <w:r>
        <w:rPr>
          <w:rFonts w:ascii="Arial" w:cs="Arial" w:eastAsia="Arial" w:hAnsi="Arial"/>
          <w:sz w:val="20"/>
          <w:szCs w:val="20"/>
        </w:rPr>
        <w:t xml:space="preserve">Knowledge base content: SOPs, policies, and tone guides that your organisation uploads</w:t>
      </w:r>
    </w:p>
    <w:p>
      <w:pPr>
        <w:spacing w:after="80"/>
      </w:pPr>
      <w:r>
        <w:t xml:space="preserve"/>
      </w:r>
    </w:p>
    <w:p>
      <w:pPr>
        <w:pStyle w:val="Heading3"/>
        <w:spacing w:after="80" w:before="160"/>
      </w:pPr>
      <w:r>
        <w:rPr>
          <w:rFonts w:ascii="Arial" w:cs="Arial" w:eastAsia="Arial" w:hAnsi="Arial"/>
          <w:b/>
          <w:bCs/>
          <w:color w:val="1F3864"/>
          <w:sz w:val="21"/>
          <w:szCs w:val="21"/>
        </w:rPr>
        <w:t xml:space="preserve">2.2  Information Collected Automatically</w:t>
      </w:r>
    </w:p>
    <w:p>
      <w:pPr>
        <w:pStyle w:val="ListParagraph"/>
        <w:numPr>
          <w:ilvl w:val="0"/>
          <w:numId w:val="2"/>
        </w:numPr>
        <w:spacing w:after="60"/>
      </w:pPr>
      <w:r>
        <w:rPr>
          <w:rFonts w:ascii="Arial" w:cs="Arial" w:eastAsia="Arial" w:hAnsi="Arial"/>
          <w:sz w:val="20"/>
          <w:szCs w:val="20"/>
        </w:rPr>
        <w:t xml:space="preserve">Usage data: pages visited, features used, actions taken within the platform</w:t>
      </w:r>
    </w:p>
    <w:p>
      <w:pPr>
        <w:pStyle w:val="ListParagraph"/>
        <w:numPr>
          <w:ilvl w:val="0"/>
          <w:numId w:val="2"/>
        </w:numPr>
        <w:spacing w:after="60"/>
      </w:pPr>
      <w:r>
        <w:rPr>
          <w:rFonts w:ascii="Arial" w:cs="Arial" w:eastAsia="Arial" w:hAnsi="Arial"/>
          <w:sz w:val="20"/>
          <w:szCs w:val="20"/>
        </w:rPr>
        <w:t xml:space="preserve">Log data: IP addresses, browser type, operating system, request timestamps</w:t>
      </w:r>
    </w:p>
    <w:p>
      <w:pPr>
        <w:pStyle w:val="ListParagraph"/>
        <w:numPr>
          <w:ilvl w:val="0"/>
          <w:numId w:val="2"/>
        </w:numPr>
        <w:spacing w:after="60"/>
      </w:pPr>
      <w:r>
        <w:rPr>
          <w:rFonts w:ascii="Arial" w:cs="Arial" w:eastAsia="Arial" w:hAnsi="Arial"/>
          <w:sz w:val="20"/>
          <w:szCs w:val="20"/>
        </w:rPr>
        <w:t xml:space="preserve">Authentication data: login timestamps and session identifiers (no passwords stored — we use magic link authentication)</w:t>
      </w:r>
    </w:p>
    <w:p>
      <w:pPr>
        <w:spacing w:after="80"/>
      </w:pPr>
      <w:r>
        <w:t xml:space="preserve"/>
      </w:r>
    </w:p>
    <w:p>
      <w:pPr>
        <w:pStyle w:val="Heading3"/>
        <w:spacing w:after="80" w:before="160"/>
      </w:pPr>
      <w:r>
        <w:rPr>
          <w:rFonts w:ascii="Arial" w:cs="Arial" w:eastAsia="Arial" w:hAnsi="Arial"/>
          <w:b/>
          <w:bCs/>
          <w:color w:val="1F3864"/>
          <w:sz w:val="21"/>
          <w:szCs w:val="21"/>
        </w:rPr>
        <w:t xml:space="preserve">2.3  Information from Third Parties</w:t>
      </w:r>
    </w:p>
    <w:p>
      <w:pPr>
        <w:pStyle w:val="ListParagraph"/>
        <w:numPr>
          <w:ilvl w:val="0"/>
          <w:numId w:val="2"/>
        </w:numPr>
        <w:spacing w:after="60"/>
      </w:pPr>
      <w:r>
        <w:rPr>
          <w:rFonts w:ascii="Arial" w:cs="Arial" w:eastAsia="Arial" w:hAnsi="Arial"/>
          <w:sz w:val="20"/>
          <w:szCs w:val="20"/>
        </w:rPr>
        <w:t xml:space="preserve">Email connector: if you connect a Gmail account, we receive email metadata and content via the Gmail API in order to process customer messages in the Work Hat inbox</w:t>
      </w:r>
    </w:p>
    <w:p>
      <w:pPr>
        <w:spacing w:after="80"/>
      </w:pPr>
      <w:r>
        <w:t xml:space="preserve"/>
      </w:r>
    </w:p>
    <w:p>
      <w:pPr>
        <w:pStyle w:val="Heading2"/>
        <w:spacing w:after="100" w:before="200"/>
      </w:pPr>
      <w:r>
        <w:rPr>
          <w:rFonts w:ascii="Arial" w:cs="Arial" w:eastAsia="Arial" w:hAnsi="Arial"/>
          <w:b/>
          <w:bCs/>
          <w:color w:val="2E75B6"/>
          <w:sz w:val="24"/>
          <w:szCs w:val="24"/>
        </w:rPr>
        <w:t xml:space="preserve">3. How We Use Your Information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Purpose</w:t>
            </w:r>
          </w:p>
        </w:tc>
        <w:tc>
          <w:tcPr>
            <w:tcW w:type="dxa" w:w="67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Providing the platform</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To operate the Work Hat CRM, including AI draft generation, intent classification, conversation management, and knowledge base retrieval.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Authentication and security</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To verify your identity, maintain session security, detect and prevent fraud and unauthorised access, and maintain audit logs of security-relevant events.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AI and machine learning</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Customer email content and conversation history are processed by OpenAI's API to generate AI draft replies and analyse conversation intent. We do not use your data to train OpenAI's models (subject to OpenAI's API terms).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Platform improvement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Aggregated, anonymised usage analytics help us understand how the platform is used and improve features. We do not sell or share individual usage data.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Customer support</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To respond to support requests and resolve technical issues.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Legal compliance</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To comply with applicable laws, respond to legal process, and enforce our agreements.</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4. Legal Basis for Processing (GDPR)</w:t>
      </w:r>
    </w:p>
    <w:p>
      <w:pPr>
        <w:spacing w:after="120"/>
      </w:pPr>
      <w:r>
        <w:rPr>
          <w:rFonts w:ascii="Arial" w:cs="Arial" w:eastAsia="Arial" w:hAnsi="Arial"/>
          <w:sz w:val="20"/>
          <w:szCs w:val="20"/>
        </w:rPr>
        <w:t xml:space="preserve">For customers and data subjects in the European Economic Area (EEA) and United Kingdom, we rely on the following legal bases:</w:t>
      </w:r>
    </w:p>
    <w:p>
      <w:pPr>
        <w:pStyle w:val="ListParagraph"/>
        <w:numPr>
          <w:ilvl w:val="0"/>
          <w:numId w:val="2"/>
        </w:numPr>
        <w:spacing w:after="60"/>
      </w:pPr>
      <w:r>
        <w:rPr>
          <w:rFonts w:ascii="Arial" w:cs="Arial" w:eastAsia="Arial" w:hAnsi="Arial"/>
          <w:sz w:val="20"/>
          <w:szCs w:val="20"/>
        </w:rPr>
        <w:t xml:space="preserve">Contract performance: processing necessary to provide the Work Hat platform under our subscription agreement</w:t>
      </w:r>
    </w:p>
    <w:p>
      <w:pPr>
        <w:pStyle w:val="ListParagraph"/>
        <w:numPr>
          <w:ilvl w:val="0"/>
          <w:numId w:val="2"/>
        </w:numPr>
        <w:spacing w:after="60"/>
      </w:pPr>
      <w:r>
        <w:rPr>
          <w:rFonts w:ascii="Arial" w:cs="Arial" w:eastAsia="Arial" w:hAnsi="Arial"/>
          <w:sz w:val="20"/>
          <w:szCs w:val="20"/>
        </w:rPr>
        <w:t xml:space="preserve">Legitimate interests: security monitoring, fraud prevention, and product improvement, where our interests are not overridden by your rights</w:t>
      </w:r>
    </w:p>
    <w:p>
      <w:pPr>
        <w:pStyle w:val="ListParagraph"/>
        <w:numPr>
          <w:ilvl w:val="0"/>
          <w:numId w:val="2"/>
        </w:numPr>
        <w:spacing w:after="60"/>
      </w:pPr>
      <w:r>
        <w:rPr>
          <w:rFonts w:ascii="Arial" w:cs="Arial" w:eastAsia="Arial" w:hAnsi="Arial"/>
          <w:sz w:val="20"/>
          <w:szCs w:val="20"/>
        </w:rPr>
        <w:t xml:space="preserve">Legal obligation: compliance with applicable laws and regulatory requirements</w:t>
      </w:r>
    </w:p>
    <w:p>
      <w:pPr>
        <w:pStyle w:val="ListParagraph"/>
        <w:numPr>
          <w:ilvl w:val="0"/>
          <w:numId w:val="2"/>
        </w:numPr>
        <w:spacing w:after="60"/>
      </w:pPr>
      <w:r>
        <w:rPr>
          <w:rFonts w:ascii="Arial" w:cs="Arial" w:eastAsia="Arial" w:hAnsi="Arial"/>
          <w:sz w:val="20"/>
          <w:szCs w:val="20"/>
        </w:rPr>
        <w:t xml:space="preserve">Consent: where we specifically request your consent for a processing activity (e.g., marketing communications)</w:t>
      </w:r>
    </w:p>
    <w:p>
      <w:pPr>
        <w:spacing w:after="80"/>
      </w:pPr>
      <w:r>
        <w:t xml:space="preserve"/>
      </w:r>
    </w:p>
    <w:p>
      <w:pPr>
        <w:pStyle w:val="Heading2"/>
        <w:spacing w:after="100" w:before="200"/>
      </w:pPr>
      <w:r>
        <w:rPr>
          <w:rFonts w:ascii="Arial" w:cs="Arial" w:eastAsia="Arial" w:hAnsi="Arial"/>
          <w:b/>
          <w:bCs/>
          <w:color w:val="2E75B6"/>
          <w:sz w:val="24"/>
          <w:szCs w:val="24"/>
        </w:rPr>
        <w:t xml:space="preserve">5. Data Sharing</w:t>
      </w:r>
    </w:p>
    <w:p>
      <w:pPr>
        <w:spacing w:after="120"/>
      </w:pPr>
      <w:r>
        <w:rPr>
          <w:rFonts w:ascii="Arial" w:cs="Arial" w:eastAsia="Arial" w:hAnsi="Arial"/>
          <w:sz w:val="20"/>
          <w:szCs w:val="20"/>
        </w:rPr>
        <w:t xml:space="preserve">We do not sell your personal data. We share data only with:</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Recipient</w:t>
            </w:r>
          </w:p>
        </w:tc>
        <w:tc>
          <w:tcPr>
            <w:tcW w:type="dxa" w:w="696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Circumstances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Sub-processors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We engage the following sub-processors to operate the platform: Supabase (database, authentication), Vercel (hosting), OpenAI (AI processing), Google (Gmail API), Postmark (email relay), Stripe (billing). A complete and up-to-date list is maintained at workhat.com/sub-processors.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Legal requirements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We may disclose information when required by law, court order, or regulatory authority, or when necessary to protect the rights, safety, or property of Work Hat, our customers, or the public.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b/>
                <w:bCs/>
                <w:sz w:val="18"/>
                <w:szCs w:val="18"/>
              </w:rPr>
              <w:t xml:space="preserve">Business transfers</w:t>
            </w:r>
          </w:p>
        </w:tc>
        <w:tc>
          <w:tcPr>
            <w:tcW w:type="dxa" w:w="6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00"/>
            </w:tcMar>
            <w:vAlign w:val="top"/>
          </w:tcPr>
          <w:p>
            <w:pPr>
              <w:spacing w:after="120"/>
            </w:pPr>
            <w:r>
              <w:rPr>
                <w:rFonts w:ascii="Arial" w:cs="Arial" w:eastAsia="Arial" w:hAnsi="Arial"/>
                <w:sz w:val="18"/>
                <w:szCs w:val="18"/>
              </w:rPr>
              <w:t xml:space="preserve">If Work Hat is acquired or merged with another company, your data may be transferred. We will notify you before any such transfer takes place.</w:t>
            </w:r>
          </w:p>
        </w:tc>
      </w:tr>
    </w:tbl>
    <w:p>
      <w:pPr>
        <w:spacing w:after="80"/>
      </w:pPr>
      <w:r>
        <w:t xml:space="preserve"/>
      </w:r>
    </w:p>
    <w:p>
      <w:pPr>
        <w:pStyle w:val="Heading2"/>
        <w:spacing w:after="100" w:before="200"/>
      </w:pPr>
      <w:r>
        <w:rPr>
          <w:rFonts w:ascii="Arial" w:cs="Arial" w:eastAsia="Arial" w:hAnsi="Arial"/>
          <w:b/>
          <w:bCs/>
          <w:color w:val="2E75B6"/>
          <w:sz w:val="24"/>
          <w:szCs w:val="24"/>
        </w:rPr>
        <w:t xml:space="preserve">6. Data Retention</w:t>
      </w:r>
    </w:p>
    <w:p>
      <w:pPr>
        <w:spacing w:after="120"/>
      </w:pPr>
      <w:r>
        <w:rPr>
          <w:rFonts w:ascii="Arial" w:cs="Arial" w:eastAsia="Arial" w:hAnsi="Arial"/>
          <w:sz w:val="20"/>
          <w:szCs w:val="20"/>
        </w:rPr>
        <w:t xml:space="preserve">We retain personal data for as long as necessary to provide the platform and comply with our legal obligations:</w:t>
      </w:r>
    </w:p>
    <w:p>
      <w:pPr>
        <w:pStyle w:val="ListParagraph"/>
        <w:numPr>
          <w:ilvl w:val="0"/>
          <w:numId w:val="2"/>
        </w:numPr>
        <w:spacing w:after="60"/>
      </w:pPr>
      <w:r>
        <w:rPr>
          <w:rFonts w:ascii="Arial" w:cs="Arial" w:eastAsia="Arial" w:hAnsi="Arial"/>
          <w:sz w:val="20"/>
          <w:szCs w:val="20"/>
        </w:rPr>
        <w:t xml:space="preserve">Account and contact data: retained for the duration of your subscription plus 90 days</w:t>
      </w:r>
    </w:p>
    <w:p>
      <w:pPr>
        <w:pStyle w:val="ListParagraph"/>
        <w:numPr>
          <w:ilvl w:val="0"/>
          <w:numId w:val="2"/>
        </w:numPr>
        <w:spacing w:after="60"/>
      </w:pPr>
      <w:r>
        <w:rPr>
          <w:rFonts w:ascii="Arial" w:cs="Arial" w:eastAsia="Arial" w:hAnsi="Arial"/>
          <w:sz w:val="20"/>
          <w:szCs w:val="20"/>
        </w:rPr>
        <w:t xml:space="preserve">Email content and conversations: retained for up to 2 years from last activity</w:t>
      </w:r>
    </w:p>
    <w:p>
      <w:pPr>
        <w:pStyle w:val="ListParagraph"/>
        <w:numPr>
          <w:ilvl w:val="0"/>
          <w:numId w:val="2"/>
        </w:numPr>
        <w:spacing w:after="60"/>
      </w:pPr>
      <w:r>
        <w:rPr>
          <w:rFonts w:ascii="Arial" w:cs="Arial" w:eastAsia="Arial" w:hAnsi="Arial"/>
          <w:sz w:val="20"/>
          <w:szCs w:val="20"/>
        </w:rPr>
        <w:t xml:space="preserve">Audit and security logs: retained for 12 months</w:t>
      </w:r>
    </w:p>
    <w:p>
      <w:pPr>
        <w:pStyle w:val="ListParagraph"/>
        <w:numPr>
          <w:ilvl w:val="0"/>
          <w:numId w:val="2"/>
        </w:numPr>
        <w:spacing w:after="60"/>
      </w:pPr>
      <w:r>
        <w:rPr>
          <w:rFonts w:ascii="Arial" w:cs="Arial" w:eastAsia="Arial" w:hAnsi="Arial"/>
          <w:sz w:val="20"/>
          <w:szCs w:val="20"/>
        </w:rPr>
        <w:t xml:space="preserve">Billing records: retained for 7 years (financial record-keeping obligation)</w:t>
      </w:r>
    </w:p>
    <w:p>
      <w:pPr>
        <w:spacing w:after="80"/>
      </w:pPr>
      <w:r>
        <w:t xml:space="preserve"/>
      </w:r>
    </w:p>
    <w:p>
      <w:pPr>
        <w:spacing w:after="120"/>
      </w:pPr>
      <w:r>
        <w:rPr>
          <w:rFonts w:ascii="Arial" w:cs="Arial" w:eastAsia="Arial" w:hAnsi="Arial"/>
          <w:sz w:val="20"/>
          <w:szCs w:val="20"/>
        </w:rPr>
        <w:t xml:space="preserve">You may request earlier deletion of your personal data subject to our retention obligations. See Section 7.</w:t>
      </w:r>
    </w:p>
    <w:p>
      <w:pPr>
        <w:spacing w:after="80"/>
      </w:pPr>
      <w:r>
        <w:t xml:space="preserve"/>
      </w:r>
    </w:p>
    <w:p>
      <w:pPr>
        <w:pStyle w:val="Heading2"/>
        <w:spacing w:after="100" w:before="200"/>
      </w:pPr>
      <w:r>
        <w:rPr>
          <w:rFonts w:ascii="Arial" w:cs="Arial" w:eastAsia="Arial" w:hAnsi="Arial"/>
          <w:b/>
          <w:bCs/>
          <w:color w:val="2E75B6"/>
          <w:sz w:val="24"/>
          <w:szCs w:val="24"/>
        </w:rPr>
        <w:t xml:space="preserve">7. Your Rights</w:t>
      </w:r>
    </w:p>
    <w:p>
      <w:pPr>
        <w:spacing w:after="120"/>
      </w:pPr>
      <w:r>
        <w:rPr>
          <w:rFonts w:ascii="Arial" w:cs="Arial" w:eastAsia="Arial" w:hAnsi="Arial"/>
          <w:sz w:val="20"/>
          <w:szCs w:val="20"/>
        </w:rPr>
        <w:t xml:space="preserve">Depending on your location, you may have the following rights regarding your personal data:</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Right</w:t>
            </w:r>
          </w:p>
        </w:tc>
        <w:tc>
          <w:tcPr>
            <w:tcW w:type="dxa" w:w="388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What It Means</w:t>
            </w:r>
          </w:p>
        </w:tc>
        <w:tc>
          <w:tcPr>
            <w:tcW w:type="dxa" w:w="3880"/>
            <w:tcBorders>
              <w:top w:val="single" w:color="CCCCCC" w:sz="1"/>
              <w:left w:val="single" w:color="CCCCCC" w:sz="1"/>
              <w:bottom w:val="single" w:color="CCCCCC" w:sz="1"/>
              <w:right w:val="single" w:color="CCCCCC" w:sz="1"/>
            </w:tcBorders>
            <w:shd w:fill="1F3864" w:val="clear"/>
            <w:tcMar>
              <w:top w:type="dxa" w:w="70"/>
              <w:left w:type="dxa" w:w="120"/>
              <w:bottom w:type="dxa" w:w="70"/>
              <w:right w:type="dxa" w:w="100"/>
            </w:tcMar>
          </w:tcPr>
          <w:p>
            <w:pPr>
              <w:spacing w:after="120"/>
            </w:pPr>
            <w:r>
              <w:rPr>
                <w:rFonts w:ascii="Arial" w:cs="Arial" w:eastAsia="Arial" w:hAnsi="Arial"/>
                <w:b/>
                <w:bCs/>
                <w:color w:val="FFFFFF"/>
                <w:sz w:val="18"/>
                <w:szCs w:val="18"/>
              </w:rPr>
              <w:t xml:space="preserve">How to Exercise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Access</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Request a copy of the personal data we hold about you.</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Submit via: DELETE /api/account/data or email [privacy contact]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Correction</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Request correction of inaccurate or incomplete data.</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Submit via: account settings or email [privacy contact]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Erasure</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Request deletion of your personal data (right to be forgotten).</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Submit via: DELETE /api/account/data or email [privacy contact]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Portability</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Receive your data in a structured, machine-readable format.</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Submit via: GET /api/account/data (admin) or email [privacy contact]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Restriction</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Request that we restrict processing of your data in certain circumstances.</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Submit via: email [privacy contact]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Objection</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Object to processing based on legitimate interests.</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Submit via: email [privacy contact]</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Withdraw consent</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Where processing is based on consent, withdraw it at any time.</w:t>
            </w:r>
          </w:p>
        </w:tc>
        <w:tc>
          <w:tcPr>
            <w:tcW w:type="dxa" w:w="3880"/>
            <w:tcBorders>
              <w:top w:val="single" w:color="CCCCCC" w:sz="1"/>
              <w:left w:val="single" w:color="CCCCCC" w:sz="1"/>
              <w:bottom w:val="single" w:color="CCCCCC" w:sz="1"/>
              <w:right w:val="single" w:color="CCCCCC" w:sz="1"/>
            </w:tcBorders>
            <w:tcMar>
              <w:top w:type="dxa" w:w="60"/>
              <w:left w:type="dxa" w:w="120"/>
              <w:bottom w:type="dxa" w:w="60"/>
              <w:right w:type="dxa" w:w="100"/>
            </w:tcMar>
            <w:vAlign w:val="top"/>
          </w:tcPr>
          <w:p>
            <w:pPr>
              <w:spacing w:after="120"/>
            </w:pPr>
            <w:r>
              <w:rPr>
                <w:rFonts w:ascii="Arial" w:cs="Arial" w:eastAsia="Arial" w:hAnsi="Arial"/>
                <w:sz w:val="18"/>
                <w:szCs w:val="18"/>
              </w:rPr>
              <w:t xml:space="preserve">Submit via: account settings or email [privacy contact]</w:t>
            </w:r>
          </w:p>
        </w:tc>
      </w:tr>
    </w:tbl>
    <w:p>
      <w:pPr>
        <w:spacing w:after="80"/>
      </w:pPr>
      <w:r>
        <w:t xml:space="preserve"/>
      </w:r>
    </w:p>
    <w:p>
      <w:pPr>
        <w:spacing w:after="120"/>
      </w:pPr>
      <w:r>
        <w:rPr>
          <w:rFonts w:ascii="Arial" w:cs="Arial" w:eastAsia="Arial" w:hAnsi="Arial"/>
          <w:sz w:val="20"/>
          <w:szCs w:val="20"/>
        </w:rPr>
        <w:t xml:space="preserve">We will respond to all requests within 30 days. Some requests may be subject to legal limitations (e.g., we cannot delete data required by law).</w:t>
      </w:r>
    </w:p>
    <w:p>
      <w:pPr>
        <w:spacing w:after="80"/>
      </w:pPr>
      <w:r>
        <w:t xml:space="preserve"/>
      </w:r>
    </w:p>
    <w:p>
      <w:pPr>
        <w:pStyle w:val="Heading2"/>
        <w:spacing w:after="100" w:before="200"/>
      </w:pPr>
      <w:r>
        <w:rPr>
          <w:rFonts w:ascii="Arial" w:cs="Arial" w:eastAsia="Arial" w:hAnsi="Arial"/>
          <w:b/>
          <w:bCs/>
          <w:color w:val="2E75B6"/>
          <w:sz w:val="24"/>
          <w:szCs w:val="24"/>
        </w:rPr>
        <w:t xml:space="preserve">8. Security</w:t>
      </w:r>
    </w:p>
    <w:p>
      <w:pPr>
        <w:spacing w:after="120"/>
      </w:pPr>
      <w:r>
        <w:rPr>
          <w:rFonts w:ascii="Arial" w:cs="Arial" w:eastAsia="Arial" w:hAnsi="Arial"/>
          <w:sz w:val="20"/>
          <w:szCs w:val="20"/>
        </w:rPr>
        <w:t xml:space="preserve">We implement industry-standard security controls to protect your data, including: TLS encryption in transit, AES-256 encryption at rest, role-based access control, multi-factor authentication for privileged accounts, immutable audit logging, and regular security reviews. However, no method of transmission or storage is 100% secure. We encourage you to use a strong, unique password for any accounts that access the Work Hat platform.</w:t>
      </w:r>
    </w:p>
    <w:p>
      <w:pPr>
        <w:spacing w:after="80"/>
      </w:pPr>
      <w:r>
        <w:t xml:space="preserve"/>
      </w:r>
    </w:p>
    <w:p>
      <w:pPr>
        <w:pStyle w:val="Heading2"/>
        <w:spacing w:after="100" w:before="200"/>
      </w:pPr>
      <w:r>
        <w:rPr>
          <w:rFonts w:ascii="Arial" w:cs="Arial" w:eastAsia="Arial" w:hAnsi="Arial"/>
          <w:b/>
          <w:bCs/>
          <w:color w:val="2E75B6"/>
          <w:sz w:val="24"/>
          <w:szCs w:val="24"/>
        </w:rPr>
        <w:t xml:space="preserve">9. International Transfers</w:t>
      </w:r>
    </w:p>
    <w:p>
      <w:pPr>
        <w:spacing w:after="120"/>
      </w:pPr>
      <w:r>
        <w:rPr>
          <w:rFonts w:ascii="Arial" w:cs="Arial" w:eastAsia="Arial" w:hAnsi="Arial"/>
          <w:sz w:val="20"/>
          <w:szCs w:val="20"/>
        </w:rPr>
        <w:t xml:space="preserve">Work Hat is based in the United States. If you are located outside the United States, your data will be transferred to and processed in the US and potentially other countries where our sub-processors operate. We rely on approved transfer mechanisms (such as the EU-US Data Privacy Framework or Standard Contractual Clauses) for transfers of personal data from the EEA.</w:t>
      </w:r>
    </w:p>
    <w:p>
      <w:pPr>
        <w:spacing w:after="80"/>
      </w:pPr>
      <w:r>
        <w:t xml:space="preserve"/>
      </w:r>
    </w:p>
    <w:p>
      <w:pPr>
        <w:pStyle w:val="Heading2"/>
        <w:spacing w:after="100" w:before="200"/>
      </w:pPr>
      <w:r>
        <w:rPr>
          <w:rFonts w:ascii="Arial" w:cs="Arial" w:eastAsia="Arial" w:hAnsi="Arial"/>
          <w:b/>
          <w:bCs/>
          <w:color w:val="2E75B6"/>
          <w:sz w:val="24"/>
          <w:szCs w:val="24"/>
        </w:rPr>
        <w:t xml:space="preserve">10. Children's Privacy</w:t>
      </w:r>
    </w:p>
    <w:p>
      <w:pPr>
        <w:spacing w:after="120"/>
      </w:pPr>
      <w:r>
        <w:rPr>
          <w:rFonts w:ascii="Arial" w:cs="Arial" w:eastAsia="Arial" w:hAnsi="Arial"/>
          <w:sz w:val="20"/>
          <w:szCs w:val="20"/>
        </w:rPr>
        <w:t xml:space="preserve">The Work Hat platform is not directed at children under the age of 16. We do not knowingly collect personal data from children. If you believe we have collected data from a child, please contact us immediately.</w:t>
      </w:r>
    </w:p>
    <w:p>
      <w:pPr>
        <w:spacing w:after="80"/>
      </w:pPr>
      <w:r>
        <w:t xml:space="preserve"/>
      </w:r>
    </w:p>
    <w:p>
      <w:pPr>
        <w:pStyle w:val="Heading2"/>
        <w:spacing w:after="100" w:before="200"/>
      </w:pPr>
      <w:r>
        <w:rPr>
          <w:rFonts w:ascii="Arial" w:cs="Arial" w:eastAsia="Arial" w:hAnsi="Arial"/>
          <w:b/>
          <w:bCs/>
          <w:color w:val="2E75B6"/>
          <w:sz w:val="24"/>
          <w:szCs w:val="24"/>
        </w:rPr>
        <w:t xml:space="preserve">11. Changes to This Policy</w:t>
      </w:r>
    </w:p>
    <w:p>
      <w:pPr>
        <w:spacing w:after="120"/>
      </w:pPr>
      <w:r>
        <w:rPr>
          <w:rFonts w:ascii="Arial" w:cs="Arial" w:eastAsia="Arial" w:hAnsi="Arial"/>
          <w:sz w:val="20"/>
          <w:szCs w:val="20"/>
        </w:rPr>
        <w:t xml:space="preserve">We may update this Privacy Policy from time to time. Material changes will be communicated via email to account administrators and posted on our website with at least 30 days' notice before taking effect. Continued use of the platform after the effective date constitutes acceptance of the revised policy.</w:t>
      </w:r>
    </w:p>
    <w:p>
      <w:pPr>
        <w:spacing w:after="80"/>
      </w:pPr>
      <w:r>
        <w:t xml:space="preserve"/>
      </w:r>
    </w:p>
    <w:p>
      <w:pPr>
        <w:pStyle w:val="Heading2"/>
        <w:spacing w:after="100" w:before="200"/>
      </w:pPr>
      <w:r>
        <w:rPr>
          <w:rFonts w:ascii="Arial" w:cs="Arial" w:eastAsia="Arial" w:hAnsi="Arial"/>
          <w:b/>
          <w:bCs/>
          <w:color w:val="2E75B6"/>
          <w:sz w:val="24"/>
          <w:szCs w:val="24"/>
        </w:rPr>
        <w:t xml:space="preserve">12. Contact Us</w:t>
      </w:r>
    </w:p>
    <w:p>
      <w:pPr>
        <w:spacing w:after="120"/>
      </w:pPr>
      <w:r>
        <w:rPr>
          <w:rFonts w:ascii="Arial" w:cs="Arial" w:eastAsia="Arial" w:hAnsi="Arial"/>
          <w:sz w:val="20"/>
          <w:szCs w:val="20"/>
        </w:rPr>
        <w:t xml:space="preserve">For privacy-related questions, requests, or complaints, contact us at: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20"/>
              <w:bottom w:type="dxa" w:w="60"/>
              <w:right w:type="dxa" w:w="100"/>
            </w:tcMar>
          </w:tcPr>
          <w:p>
            <w:pPr>
              <w:spacing w:after="120"/>
            </w:pPr>
            <w:r>
              <w:rPr>
                <w:rFonts w:ascii="Arial" w:cs="Arial" w:eastAsia="Arial" w:hAnsi="Arial"/>
                <w:b/>
                <w:bCs/>
                <w:color w:val="FFFFFF"/>
                <w:sz w:val="18"/>
                <w:szCs w:val="18"/>
              </w:rPr>
              <w:t xml:space="preserve">Privacy Contact</w:t>
            </w:r>
          </w:p>
        </w:tc>
        <w:tc>
          <w:tcPr>
            <w:tcW w:type="dxa" w:w="7360"/>
            <w:tcBorders>
              <w:top w:val="single" w:color="CCCCCC" w:sz="1"/>
              <w:left w:val="single" w:color="CCCCCC" w:sz="1"/>
              <w:bottom w:val="single" w:color="CCCCCC" w:sz="1"/>
              <w:right w:val="single" w:color="CCCCCC" w:sz="1"/>
            </w:tcBorders>
            <w:shd w:fill="D6E4F7" w:val="clear"/>
            <w:tcMar>
              <w:top w:type="dxa" w:w="60"/>
              <w:left w:type="dxa" w:w="120"/>
              <w:bottom w:type="dxa" w:w="60"/>
              <w:right w:type="dxa" w:w="100"/>
            </w:tcMar>
          </w:tcPr>
          <w:p>
            <w:pPr>
              <w:spacing w:after="120"/>
            </w:pPr>
            <w:r>
              <w:rPr>
                <w:rFonts w:ascii="Arial" w:cs="Arial" w:eastAsia="Arial" w:hAnsi="Arial"/>
                <w:sz w:val="18"/>
                <w:szCs w:val="18"/>
              </w:rPr>
              <w:t xml:space="preserve">Work Hat, Inc.
Email: [privacy@workhat.com — to be configured]
Website: workhat.com/privacy
EU/UK Representative: [To be appointed if required]</w:t>
            </w:r>
          </w:p>
        </w:tc>
      </w:tr>
    </w:tbl>
    <w:p>
      <w:pPr>
        <w:spacing w:after="80"/>
      </w:pPr>
      <w:r>
        <w:t xml:space="preserve"/>
      </w:r>
    </w:p>
    <w:p>
      <w:pPr>
        <w:spacing w:after="120"/>
      </w:pPr>
      <w:r>
        <w:rPr>
          <w:rFonts w:ascii="Arial" w:cs="Arial" w:eastAsia="Arial" w:hAnsi="Arial"/>
          <w:sz w:val="20"/>
          <w:szCs w:val="20"/>
        </w:rPr>
        <w:t xml:space="preserve">If you are located in the EEA and believe we have not addressed your concern adequately, you have the right to lodge a complaint with your local data protection authority.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rFonts w:ascii="Arial" w:cs="Arial" w:eastAsia="Arial" w:hAnsi="Arial"/>
        <w:color w:val="888888"/>
        <w:sz w:val="16"/>
        <w:szCs w:val="16"/>
      </w:rPr>
      <w:t xml:space="preserve">April 2026 · Internal — Do Not Distribute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18"/>
        <w:szCs w:val="18"/>
      </w:rPr>
      <w:t xml:space="preserve">Work Hat CRM — Privacy Policy</w:t>
    </w:r>
    <w:r>
      <w:rPr>
        <w:rFonts w:ascii="Arial" w:cs="Arial" w:eastAsia="Arial" w:hAnsi="Arial"/>
        <w:color w:val="9C0006"/>
        <w:sz w:val="18"/>
        <w:szCs w:val="18"/>
      </w:rPr>
      <w:t xml:space="preserve">	POL-009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6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2026-04-21T20:05:03.000Z</dcterms:created>
  <dcterms:modified xsi:type="dcterms:W3CDTF">2026-04-21T20:05:03.000Z</dcterms:modified>
</cp:coreProperties>
</file>

<file path=docProps/custom.xml><?xml version="1.0" encoding="utf-8"?>
<Properties xmlns="http://schemas.openxmlformats.org/officeDocument/2006/custom-properties" xmlns:vt="http://schemas.openxmlformats.org/officeDocument/2006/docPropsVTypes"/>
</file>