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sz w:val="52"/>
          <w:szCs w:val="52"/>
        </w:rPr>
        <w:t xml:space="preserve">Rapport de Test</w:t>
      </w:r>
    </w:p>
    <w:p>
      <w:pPr>
        <w:spacing w:before="200"/>
        <w:jc w:val="center"/>
      </w:pPr>
      <w:r>
        <w:rPr>
          <w:b/>
          <w:bCs/>
          <w:color w:val="4F46E5"/>
          <w:sz w:val="64"/>
          <w:szCs w:val="64"/>
        </w:rPr>
        <w:t xml:space="preserve">EasyVote</w:t>
      </w:r>
    </w:p>
    <w:p>
      <w:pPr>
        <w:jc w:val="center"/>
      </w:pPr>
      <w:r>
        <w:rPr>
          <w:sz w:val="30"/>
          <w:szCs w:val="30"/>
        </w:rPr>
        <w:t xml:space="preserve">Plateforme Web de Vote Universitaire</w:t>
      </w:r>
    </w:p>
    <w:p>
      <w:pPr>
        <w:spacing w:before="200"/>
        <w:jc w:val="center"/>
      </w:pPr>
      <w:r>
        <w:rPr>
          <w:i/>
          <w:iCs/>
          <w:sz w:val="24"/>
          <w:szCs w:val="24"/>
        </w:rPr>
        <w:t xml:space="preserve">Exécution du plan de test — techniques boîte noire et boîte blanche</w:t>
      </w:r>
    </w:p>
    <w:p>
      <w:pPr>
        <w:spacing w:before="1800"/>
      </w:pPr>
    </w:p>
    <w:p>
      <w:pPr>
        <w:jc w:val="center"/>
      </w:pPr>
      <w:r>
        <w:rPr>
          <w:b/>
          <w:bCs/>
          <w:sz w:val="24"/>
          <w:szCs w:val="24"/>
        </w:rPr>
        <w:t xml:space="preserve">Réalisé par :</w:t>
      </w:r>
    </w:p>
    <w:p>
      <w:pPr>
        <w:jc w:val="center"/>
      </w:pPr>
      <w:r>
        <w:rPr>
          <w:sz w:val="24"/>
          <w:szCs w:val="24"/>
        </w:rPr>
        <w:t xml:space="preserve">Talel Mejri</w:t>
      </w:r>
    </w:p>
    <w:p>
      <w:pPr>
        <w:jc w:val="center"/>
      </w:pPr>
      <w:r>
        <w:rPr>
          <w:sz w:val="24"/>
          <w:szCs w:val="24"/>
        </w:rPr>
        <w:t xml:space="preserve">Rawen Zgarni</w:t>
      </w:r>
    </w:p>
    <w:p>
      <w:pPr>
        <w:jc w:val="center"/>
      </w:pPr>
      <w:r>
        <w:rPr>
          <w:sz w:val="24"/>
          <w:szCs w:val="24"/>
        </w:rPr>
        <w:t xml:space="preserve">Issra Elakrout</w:t>
      </w:r>
    </w:p>
    <w:p>
      <w:pPr>
        <w:spacing w:before="1600"/>
      </w:pPr>
    </w:p>
    <w:p>
      <w:pPr>
        <w:jc w:val="center"/>
      </w:pPr>
      <w:r>
        <w:rPr>
          <w:sz w:val="22"/>
          <w:szCs w:val="22"/>
        </w:rPr>
        <w:t xml:space="preserve">Module Test Logiciel (ISTQB Foundation) — Année universitaire 2026–2027</w:t>
      </w:r>
    </w:p>
    <w:p>
      <w:r>
        <w:br w:type="page"/>
      </w:r>
    </w:p>
    <w:p>
      <w:pPr>
        <w:spacing w:after="200"/>
      </w:pPr>
      <w:r>
        <w:rPr>
          <w:b/>
          <w:bCs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Introduction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1.1 Résultat en une phrase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Environnement et outils de test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2.1 Mise en route du projet — problèmes rencontrés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3. Stratégie : niveaux, types et techniques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3.1 Organisation du code de test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4. Techniques statiques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4.1 Revue technique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4.2 Analyse statique outillée (frontend)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5. Tests boîte noire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5.1 Partition d'équivalence — code OTP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5.2 Analyse des valeurs limites — candidature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5.3 Table de décision — vote d'un étudiant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5.4 Transition d'état — cycle de vie d'une élection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5.5 Cas d'utilisation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">
            <w:r>
              <w:t xml:space="preserve">6. Tests boîte blanche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6.1 Couverture des instructions — hashToken()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6.2 Couverture des branches — generateTokensForElection()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6.3 Couverture des décisions — validateDates()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6.4 Complexité cyclomatique — castVote()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6.5 MC/DC — fin de la période de vote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6.6 Couverture mesurée (JaCoCo)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">
            <w:r>
              <w:t xml:space="preserve">7. Niveau unitaire — chatbot (fonctionnel et non fonctionnel)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4">
            <w:r>
              <w:t xml:space="preserve">8. Niveaux intégration et système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8.1 Tests d'intégration (API + sécurité + base)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8.2 Le défaut critique DEF-00 : l'anonymat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8.3 Tests système automatisés (E2E)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8">
            <w:r>
              <w:t xml:space="preserve">9. Tests exploratoires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10. Niveau acceptation (UAT)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0">
            <w:r>
              <w:t xml:space="preserve">11. Bilan d'exécution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11.1 Fiches de défauts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11.2 Tests de régression et de maintenance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3">
            <w:r>
              <w:t xml:space="preserve">12. Conclusion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Recommandations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(Dans Word : clic droit sur la table → « Mettre à jour les champs » pour afficher les numéros de page.)</w:t>
      </w:r>
    </w:p>
    <w:p>
      <w:pPr>
        <w:pStyle w:val="Heading1"/>
        <w:pageBreakBefore/>
      </w:pPr>
      <w:bookmarkStart w:name="_Toc1" w:id="1"/>
      <w:r>
        <w:t xml:space="preserve">1. Introduction</w:t>
      </w:r>
      <w:bookmarkEnd w:id="1"/>
    </w:p>
    <w:p>
      <w:pPr>
        <w:spacing w:after="120"/>
      </w:pPr>
      <w:r>
        <w:t xml:space="preserve">Ce rapport présente l'</w:t>
      </w:r>
      <w:r>
        <w:rPr>
          <w:b/>
          <w:bCs/>
        </w:rPr>
        <w:t xml:space="preserve">exécution</w:t>
      </w:r>
      <w:r>
        <w:t xml:space="preserve"> du plan de test de la plateforme EasyVote. Le plan de test (document précédent) définissait la stratégie, les niveaux et les cas de test ; le présent document montre comment ces tests ont été </w:t>
      </w:r>
      <w:r>
        <w:rPr>
          <w:b/>
          <w:bCs/>
        </w:rPr>
        <w:t xml:space="preserve">implémentés, exécutés et analysés</w:t>
      </w:r>
      <w:r>
        <w:t xml:space="preserve"> sur le code réel du projet.</w:t>
      </w:r>
    </w:p>
    <w:p>
      <w:pPr>
        <w:spacing w:after="120"/>
      </w:pPr>
      <w:r>
        <w:t xml:space="preserve">Conformément aux objectifs de l'atelier, nous avons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couvert les </w:t>
      </w:r>
      <w:r>
        <w:rPr>
          <w:b/>
          <w:bCs/>
        </w:rPr>
        <w:t xml:space="preserve">quatre niveaux</w:t>
      </w:r>
      <w:r>
        <w:t xml:space="preserve"> de test : unitaire, intégration, système et acceptation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couvert les </w:t>
      </w:r>
      <w:r>
        <w:rPr>
          <w:b/>
          <w:bCs/>
        </w:rPr>
        <w:t xml:space="preserve">types</w:t>
      </w:r>
      <w:r>
        <w:t xml:space="preserve"> de test : fonctionnels, non fonctionnels, structurels et liés aux changements (régression)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appliqué des techniques </w:t>
      </w:r>
      <w:r>
        <w:rPr>
          <w:b/>
          <w:bCs/>
        </w:rPr>
        <w:t xml:space="preserve">statiques</w:t>
      </w:r>
      <w:r>
        <w:t xml:space="preserve"> (revue technique, analyse outillée) et </w:t>
      </w:r>
      <w:r>
        <w:rPr>
          <w:b/>
          <w:bCs/>
        </w:rPr>
        <w:t xml:space="preserve">dynamiques</w:t>
      </w:r>
      <w:r>
        <w:t xml:space="preserve"> (boîte noire, boîte blanche, exploratoire)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combiné des tests </w:t>
      </w:r>
      <w:r>
        <w:rPr>
          <w:b/>
          <w:bCs/>
        </w:rPr>
        <w:t xml:space="preserve">automatisés</w:t>
      </w:r>
      <w:r>
        <w:t xml:space="preserve"> (JUnit, script E2E) et des tests </w:t>
      </w:r>
      <w:r>
        <w:rPr>
          <w:b/>
          <w:bCs/>
        </w:rPr>
        <w:t xml:space="preserve">manuels</w:t>
      </w:r>
      <w:r>
        <w:t xml:space="preserve"> (SQL, exploratoires, acceptation).</w:t>
      </w:r>
    </w:p>
    <w:p>
      <w:pPr>
        <w:spacing w:after="120"/>
      </w:pPr>
      <w:r>
        <w:t xml:space="preserve">Pour rester lisible, nous avons volontairement limité chaque technique à </w:t>
      </w:r>
      <w:r>
        <w:rPr>
          <w:b/>
          <w:bCs/>
        </w:rPr>
        <w:t xml:space="preserve">trois cas de test</w:t>
      </w:r>
      <w:r>
        <w:t xml:space="preserve"> représentatifs, choisis sur les fonctions les plus critiques : le vote anonyme, les jetons cryptographiques, le cycle de vie d'une élection, l'authentification et le chatbot.</w:t>
      </w:r>
    </w:p>
    <w:p>
      <w:pPr>
        <w:pStyle w:val="Heading2"/>
      </w:pPr>
      <w:bookmarkStart w:name="_Toc2" w:id="2"/>
      <w:r>
        <w:t xml:space="preserve">1.1 Résultat en une phrase</w:t>
      </w:r>
      <w:bookmarkEnd w:id="2"/>
    </w:p>
    <w:p>
      <w:pPr>
        <w:spacing w:after="120"/>
      </w:pPr>
      <w:r>
        <w:t xml:space="preserve">Sur </w:t>
      </w:r>
      <w:r>
        <w:rPr>
          <w:b/>
          <w:bCs/>
        </w:rPr>
        <w:t xml:space="preserve">33 tests automatisés JUnit</w:t>
      </w:r>
      <w:r>
        <w:t xml:space="preserve">, </w:t>
      </w:r>
      <w:r>
        <w:rPr>
          <w:b/>
          <w:bCs/>
        </w:rPr>
        <w:t xml:space="preserve">30 réussissent et 3 échouent</w:t>
      </w:r>
      <w:r>
        <w:t xml:space="preserve"> ; le script système valide </w:t>
      </w:r>
      <w:r>
        <w:rPr>
          <w:b/>
          <w:bCs/>
        </w:rPr>
        <w:t xml:space="preserve">12/12</w:t>
      </w:r>
      <w:r>
        <w:t xml:space="preserve"> vérifications ; au total la campagne a mis en évidence </w:t>
      </w:r>
      <w:r>
        <w:rPr>
          <w:b/>
          <w:bCs/>
        </w:rPr>
        <w:t xml:space="preserve">8 défauts</w:t>
      </w:r>
      <w:r>
        <w:t xml:space="preserve">, dont </w:t>
      </w:r>
      <w:r>
        <w:rPr>
          <w:b/>
          <w:bCs/>
        </w:rPr>
        <w:t xml:space="preserve">un défaut critique</w:t>
      </w:r>
      <w:r>
        <w:t xml:space="preserve"> : l'anonymat du vote, exigence centrale du cahier des charges, peut être contourné par une simple jointure SQL.</w:t>
      </w:r>
    </w:p>
    <w:p>
      <w:pPr>
        <w:pStyle w:val="Heading1"/>
        <w:pageBreakBefore/>
      </w:pPr>
      <w:bookmarkStart w:name="_Toc3" w:id="3"/>
      <w:r>
        <w:t xml:space="preserve">2. Environnement et outils de test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1752"/>
        <w:gridCol w:w="5258"/>
      </w:tblGrid>
      <w:tr>
        <w:trPr>
          <w:tblHeader/>
        </w:trPr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17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2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 dans la campagne</w:t>
            </w:r>
          </w:p>
        </w:tc>
      </w:tr>
      <w:tr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JUnit 5 + AssertJ</w:t>
            </w:r>
          </w:p>
        </w:tc>
        <w:tc>
          <w:tcPr>
            <w:tcW w:type="dxa" w:w="17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Spring Boot 3.3.5</w:t>
            </w:r>
          </w:p>
        </w:tc>
        <w:tc>
          <w:tcPr>
            <w:tcW w:type="dxa" w:w="52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Écriture et exécution des tests unitaires et d'intégration</w:t>
            </w:r>
          </w:p>
        </w:tc>
      </w:tr>
      <w:tr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Mockito</w:t>
            </w:r>
          </w:p>
        </w:tc>
        <w:tc>
          <w:tcPr>
            <w:tcW w:type="dxa" w:w="17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5.x</w:t>
            </w:r>
          </w:p>
        </w:tc>
        <w:tc>
          <w:tcPr>
            <w:tcW w:type="dxa" w:w="52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Simulation des repositories (isolation des tests unitaires)</w:t>
            </w:r>
          </w:p>
        </w:tc>
      </w:tr>
      <w:tr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Spring Boot Test + MockMvc</w:t>
            </w:r>
          </w:p>
        </w:tc>
        <w:tc>
          <w:tcPr>
            <w:tcW w:type="dxa" w:w="17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3.3.5</w:t>
            </w:r>
          </w:p>
        </w:tc>
        <w:tc>
          <w:tcPr>
            <w:tcW w:type="dxa" w:w="52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Tests d'intégration : vraies requêtes HTTP sur l'application démarrée</w:t>
            </w:r>
          </w:p>
        </w:tc>
      </w:tr>
      <w:tr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H2 (mode MariaDB)</w:t>
            </w:r>
          </w:p>
        </w:tc>
        <w:tc>
          <w:tcPr>
            <w:tcW w:type="dxa" w:w="17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52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 en mémoire pour les tests d'intégration (pas de dépendance à XAMPP)</w:t>
            </w:r>
          </w:p>
        </w:tc>
      </w:tr>
      <w:tr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JaCoCo</w:t>
            </w:r>
          </w:p>
        </w:tc>
        <w:tc>
          <w:tcPr>
            <w:tcW w:type="dxa" w:w="17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0.8.12</w:t>
            </w:r>
          </w:p>
        </w:tc>
        <w:tc>
          <w:tcPr>
            <w:tcW w:type="dxa" w:w="52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Mesure de couverture de code (preuve boîte blanche)</w:t>
            </w:r>
          </w:p>
        </w:tc>
      </w:tr>
      <w:tr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Node.js (fetch)</w:t>
            </w:r>
          </w:p>
        </w:tc>
        <w:tc>
          <w:tcPr>
            <w:tcW w:type="dxa" w:w="17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20.19</w:t>
            </w:r>
          </w:p>
        </w:tc>
        <w:tc>
          <w:tcPr>
            <w:tcW w:type="dxa" w:w="52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Script de tests système E2E sur la vraie API</w:t>
            </w:r>
          </w:p>
        </w:tc>
      </w:tr>
      <w:tr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ESLint / tsc / npm audit</w:t>
            </w:r>
          </w:p>
        </w:tc>
        <w:tc>
          <w:tcPr>
            <w:tcW w:type="dxa" w:w="17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2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Analyse statique outillée du frontend</w:t>
            </w:r>
          </w:p>
        </w:tc>
      </w:tr>
      <w:tr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MariaDB (XAMPP)</w:t>
            </w:r>
          </w:p>
        </w:tc>
        <w:tc>
          <w:tcPr>
            <w:tcW w:type="dxa" w:w="17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10.4.32</w:t>
            </w:r>
          </w:p>
        </w:tc>
        <w:tc>
          <w:tcPr>
            <w:tcW w:type="dxa" w:w="52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 réelle pour les tests système et manuels</w:t>
            </w:r>
          </w:p>
        </w:tc>
      </w:tr>
      <w:tr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Kiwi TCMS</w:t>
            </w:r>
          </w:p>
        </w:tc>
        <w:tc>
          <w:tcPr>
            <w:tcW w:type="dxa" w:w="17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latest (Docker)</w:t>
            </w:r>
          </w:p>
        </w:tc>
        <w:tc>
          <w:tcPr>
            <w:tcW w:type="dxa" w:w="52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Gestion des exigences, cas de test, exécutions et bugs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" w:id="4"/>
      <w:r>
        <w:t xml:space="preserve">2.1 Mise en route du projet — problèmes rencontrés</w:t>
      </w:r>
      <w:bookmarkEnd w:id="4"/>
    </w:p>
    <w:p>
      <w:pPr>
        <w:spacing w:after="120"/>
      </w:pPr>
      <w:r>
        <w:t xml:space="preserve">Le lancement du projet a lui-même révélé des points d'attention, consignés ici car ils font partie du retour de test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Java</w:t>
      </w:r>
      <w:r>
        <w:t xml:space="preserve"> : la machine dispose de Java 25, mais la version de Lombok du projet ne le supporte pas ; il faut utiliser </w:t>
      </w:r>
      <w:r>
        <w:rPr>
          <w:b/>
          <w:bCs/>
        </w:rPr>
        <w:t xml:space="preserve">Java 21</w:t>
      </w:r>
      <w:r>
        <w:t xml:space="preserve"> (exigé par le CDC).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Maven wrapper</w:t>
      </w:r>
      <w: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mvnw.cmd</w:t>
      </w:r>
      <w:r>
        <w:t xml:space="preserve"> échoue sous PowerShell ; contournement par le Maven 3.8.6 en cache (script </w:t>
      </w:r>
      <w:r>
        <w:rPr>
          <w:rFonts w:ascii="Consolas" w:cs="Consolas" w:eastAsia="Consolas" w:hAnsi="Consolas"/>
          <w:sz w:val="19"/>
          <w:szCs w:val="19"/>
        </w:rPr>
        <w:t xml:space="preserve">tests/lancer-tests.ps1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 8082</w:t>
      </w:r>
      <w:r>
        <w:t xml:space="preserve"> occupé par un autre conteneur Docker sur le poste de test : backend lancé sur 8084 via </w:t>
      </w:r>
      <w:r>
        <w:rPr>
          <w:rFonts w:ascii="Consolas" w:cs="Consolas" w:eastAsia="Consolas" w:hAnsi="Consolas"/>
          <w:sz w:val="19"/>
          <w:szCs w:val="19"/>
        </w:rPr>
        <w:t xml:space="preserve">--server.port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vide</w:t>
      </w:r>
      <w:r>
        <w:t xml:space="preserve"> : les comptes de test annoncés dans le README n'existent pas ; nous avons créé </w:t>
      </w:r>
      <w:r>
        <w:rPr>
          <w:rFonts w:ascii="Consolas" w:cs="Consolas" w:eastAsia="Consolas" w:hAnsi="Consolas"/>
          <w:sz w:val="19"/>
          <w:szCs w:val="19"/>
        </w:rPr>
        <w:t xml:space="preserve">tests/seed-demo.sql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Classes compilées par l'IDE</w:t>
      </w:r>
      <w:r>
        <w:t xml:space="preserve"> dans </w:t>
      </w:r>
      <w:r>
        <w:rPr>
          <w:rFonts w:ascii="Consolas" w:cs="Consolas" w:eastAsia="Consolas" w:hAnsi="Consolas"/>
          <w:sz w:val="19"/>
          <w:szCs w:val="19"/>
        </w:rPr>
        <w:t xml:space="preserve">target/</w:t>
      </w:r>
      <w:r>
        <w:t xml:space="preserve"> (sans Lombok) : un </w:t>
      </w:r>
      <w:r>
        <w:rPr>
          <w:rFonts w:ascii="Consolas" w:cs="Consolas" w:eastAsia="Consolas" w:hAnsi="Consolas"/>
          <w:sz w:val="19"/>
          <w:szCs w:val="19"/>
        </w:rPr>
        <w:t xml:space="preserve">mvn clean</w:t>
      </w:r>
      <w:r>
        <w:t xml:space="preserve"> est obligatoire avant les tests.</w:t>
      </w:r>
    </w:p>
    <w:p>
      <w:pPr>
        <w:pStyle w:val="Heading1"/>
        <w:pageBreakBefore/>
      </w:pPr>
      <w:bookmarkStart w:name="_Toc5" w:id="5"/>
      <w:r>
        <w:t xml:space="preserve">3. Stratégie : niveaux, types et techniques</w:t>
      </w:r>
      <w:bookmarkEnd w:id="5"/>
    </w:p>
    <w:p>
      <w:pPr>
        <w:spacing w:after="120"/>
      </w:pPr>
      <w:r>
        <w:t xml:space="preserve">Le tableau ci-dessous croise les niveaux de test avec les types et les techniques effectivement appliqués. Chaque case renvoie à des tests réellement exécutés.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2224"/>
        <w:gridCol w:w="2224"/>
        <w:gridCol w:w="1484"/>
      </w:tblGrid>
      <w:tr>
        <w:trPr>
          <w:tblHeader/>
        </w:trPr>
        <w:tc>
          <w:tcPr>
            <w:tcW w:type="dxa" w:w="14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Types couverts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Techniques</w:t>
            </w:r>
          </w:p>
        </w:tc>
        <w:tc>
          <w:tcPr>
            <w:tcW w:type="dxa" w:w="148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</w:tr>
      <w:tr>
        <w:tc>
          <w:tcPr>
            <w:tcW w:type="dxa" w:w="14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Statique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Revue + ESLint + audit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Structurel, sécurité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Revue technique, analyse outillée</w:t>
            </w:r>
          </w:p>
        </w:tc>
        <w:tc>
          <w:tcPr>
            <w:tcW w:type="dxa" w:w="148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Manuel + outillé</w:t>
            </w:r>
          </w:p>
        </w:tc>
      </w:tr>
      <w:tr>
        <w:tc>
          <w:tcPr>
            <w:tcW w:type="dxa" w:w="14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Unitaire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27 + 3 (chatbot)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Fonctionnel, non fonctionnel, structurel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Boîte noire (4) et blanche (5)</w:t>
            </w:r>
          </w:p>
        </w:tc>
        <w:tc>
          <w:tcPr>
            <w:tcW w:type="dxa" w:w="148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Automatisé</w:t>
            </w:r>
          </w:p>
        </w:tc>
      </w:tr>
      <w:tr>
        <w:tc>
          <w:tcPr>
            <w:tcW w:type="dxa" w:w="14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Intégration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(IT-01, IT-04, IT-09)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Fonctionnel, sécurité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Boîte noire sur API + BDD</w:t>
            </w:r>
          </w:p>
        </w:tc>
        <w:tc>
          <w:tcPr>
            <w:tcW w:type="dxa" w:w="148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Automatisé</w:t>
            </w:r>
          </w:p>
        </w:tc>
      </w:tr>
      <w:tr>
        <w:tc>
          <w:tcPr>
            <w:tcW w:type="dxa" w:w="14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Système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ST-01, 02, 03, 05, NF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Fonctionnel, performance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 d'utilisation, scénario E2E</w:t>
            </w:r>
          </w:p>
        </w:tc>
        <w:tc>
          <w:tcPr>
            <w:tcW w:type="dxa" w:w="148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Automatisé + SQL manuel</w:t>
            </w:r>
          </w:p>
        </w:tc>
      </w:tr>
      <w:tr>
        <w:tc>
          <w:tcPr>
            <w:tcW w:type="dxa" w:w="14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Exploratoire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EX-1, EX-2, EX-3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Fonctionnel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 exploratoire guidé par le CDC</w:t>
            </w:r>
          </w:p>
        </w:tc>
        <w:tc>
          <w:tcPr>
            <w:tcW w:type="dxa" w:w="148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Manuel</w:t>
            </w:r>
          </w:p>
        </w:tc>
      </w:tr>
      <w:tr>
        <w:tc>
          <w:tcPr>
            <w:tcW w:type="dxa" w:w="14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Acceptation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UAT-01, 02, 03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Fonctionnel, utilisabilité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Scénarios métier par rôle</w:t>
            </w:r>
          </w:p>
        </w:tc>
        <w:tc>
          <w:tcPr>
            <w:tcW w:type="dxa" w:w="148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Manuel</w:t>
            </w:r>
          </w:p>
        </w:tc>
      </w:tr>
      <w:tr>
        <w:tc>
          <w:tcPr>
            <w:tcW w:type="dxa" w:w="14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Régression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Ré-exécution complète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Lié aux changements</w:t>
            </w:r>
          </w:p>
        </w:tc>
        <w:tc>
          <w:tcPr>
            <w:tcW w:type="dxa" w:w="222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Suite automatisée rejouable</w:t>
            </w:r>
          </w:p>
        </w:tc>
        <w:tc>
          <w:tcPr>
            <w:tcW w:type="dxa" w:w="148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Automatisé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6" w:id="6"/>
      <w:r>
        <w:t xml:space="preserve">3.1 Organisation du code de test</w:t>
      </w:r>
      <w:bookmarkEnd w:id="6"/>
    </w:p>
    <w:p>
      <w:pPr>
        <w:shd w:fill="F1F2F6" w:color="auto" w:val="clear"/>
        <w:spacing w:after="0" w:before="80" w:line="240"/>
      </w:pPr>
      <w:r>
        <w:rPr>
          <w:rFonts w:ascii="Consolas" w:cs="Consolas" w:eastAsia="Consolas" w:hAnsi="Consolas"/>
          <w:sz w:val="17"/>
          <w:szCs w:val="17"/>
        </w:rPr>
        <w:t xml:space="preserve">easyvote-backend/src/test/java/com/easyvote/backend/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boitenoire/    PartitionEquivalenceOtpTest, ValeursLimitesCandidatureTest,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               TableDecisionVoteTest, TransitionEtatElectionTest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boiteblanche/  CouvertureInstructionsHashTest, CouvertureBranchesTokensTest,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               CouvertureDecisionsConditionsTest, ComplexiteCyclomatiqueVoteTest,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               McdcPeriodeVoteTest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unitaire/      ChatbotRulesTest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└── integration/   ApiIntegrationTest</w:t>
      </w:r>
    </w:p>
    <w:p>
      <w:pPr>
        <w:shd w:fill="F1F2F6" w:color="auto" w:val="clear"/>
        <w:spacing w:after="160" w:line="240"/>
      </w:pPr>
      <w:r>
        <w:rPr>
          <w:rFonts w:ascii="Consolas" w:cs="Consolas" w:eastAsia="Consolas" w:hAnsi="Consolas"/>
          <w:sz w:val="17"/>
          <w:szCs w:val="17"/>
        </w:rPr>
        <w:t xml:space="preserve">tests/            system-tests.mjs, seed-demo.sql, lancer-tests.ps1, GUIDE_TESTS.md</w:t>
      </w:r>
    </w:p>
    <w:p>
      <w:pPr>
        <w:spacing w:after="120"/>
      </w:pPr>
      <w:r>
        <w:t xml:space="preserve">Choix de conception : les tests unitaires instancient directement les services avec des repositories simulés (Mockito) ; ils s'exécutent en quelques millisecondes et ne dépendent d'aucune base. Les tests d'intégration démarrent la véritable application Spring (sécurité JWT comprise) sur une base H2 ; seul l'envoi d'email est simulé.</w:t>
      </w:r>
    </w:p>
    <w:p>
      <w:pPr>
        <w:pStyle w:val="Heading1"/>
        <w:pageBreakBefore/>
      </w:pPr>
      <w:bookmarkStart w:name="_Toc7" w:id="7"/>
      <w:r>
        <w:t xml:space="preserve">4. Techniques statiques</w:t>
      </w:r>
      <w:bookmarkEnd w:id="7"/>
    </w:p>
    <w:p>
      <w:pPr>
        <w:spacing w:after="120"/>
      </w:pPr>
      <w:r>
        <w:t xml:space="preserve">Les techniques statiques examinent le code </w:t>
      </w:r>
      <w:r>
        <w:rPr>
          <w:b/>
          <w:bCs/>
        </w:rPr>
        <w:t xml:space="preserve">sans l'exécuter</w:t>
      </w:r>
      <w:r>
        <w:t xml:space="preserve">. Elles trouvent les </w:t>
      </w:r>
      <w:r>
        <w:rPr>
          <w:b/>
          <w:bCs/>
        </w:rPr>
        <w:t xml:space="preserve">défauts eux-mêmes</w:t>
      </w:r>
      <w:r>
        <w:t xml:space="preserve"> (la cause), là où les tests dynamiques trouvent des </w:t>
      </w:r>
      <w:r>
        <w:rPr>
          <w:b/>
          <w:bCs/>
        </w:rPr>
        <w:t xml:space="preserve">défaillances</w:t>
      </w:r>
      <w:r>
        <w:t xml:space="preserve"> (l'effet).</w:t>
      </w:r>
    </w:p>
    <w:p>
      <w:pPr>
        <w:pStyle w:val="Heading2"/>
      </w:pPr>
      <w:bookmarkStart w:name="_Toc8" w:id="8"/>
      <w:r>
        <w:t xml:space="preserve">4.1 Revue technique</w:t>
      </w:r>
      <w:bookmarkEnd w:id="8"/>
    </w:p>
    <w:p>
      <w:pPr>
        <w:spacing w:after="120"/>
      </w:pPr>
      <w:r>
        <w:t xml:space="preserve">Revue menée selon le processus défini dans le plan (planification, préparation individuelle, réunion, re-travail, suivi), avec une checklist dérivée du cahier des charges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5"/>
        <w:gridCol w:w="2855"/>
        <w:gridCol w:w="2855"/>
        <w:gridCol w:w="1073"/>
      </w:tblGrid>
      <w:tr>
        <w:trPr>
          <w:tblHeader/>
        </w:trPr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 de contrôle (CDC)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 revu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Constat</w:t>
            </w:r>
          </w:p>
        </w:tc>
        <w:tc>
          <w:tcPr>
            <w:tcW w:type="dxa" w:w="107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</w:tr>
      <w:tr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Access token JWT = 1 h (§4.4.1)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application.properties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easyvote.jwt.expiration=86400000</w:t>
            </w:r>
            <w:r>
              <w:rPr>
                <w:sz w:val="18"/>
                <w:szCs w:val="18"/>
              </w:rPr>
              <w:t xml:space="preserve"> = 24 h</w:t>
            </w:r>
          </w:p>
        </w:tc>
        <w:tc>
          <w:tcPr>
            <w:tcW w:type="dxa" w:w="107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DEF-06</w:t>
            </w:r>
          </w:p>
        </w:tc>
      </w:tr>
      <w:tr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Rôle CANDIDATE après validation (§3.1.2)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CandidateService.applyToElection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Rôle modifié dès le dépôt</w:t>
            </w:r>
          </w:p>
        </w:tc>
        <w:tc>
          <w:tcPr>
            <w:tcW w:type="dxa" w:w="107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DEF-02</w:t>
            </w:r>
          </w:p>
        </w:tc>
      </w:tr>
      <w:tr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Candidature en CAMPAIGN_ACTIVE (§3.1.2)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CandidateService.applyToElection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DRAFT également accepté</w:t>
            </w:r>
          </w:p>
        </w:tc>
        <w:tc>
          <w:tcPr>
            <w:tcW w:type="dxa" w:w="107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DEF-03</w:t>
            </w:r>
          </w:p>
        </w:tc>
      </w:tr>
      <w:tr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L'admin ne vote pas (§6.1)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VoteService.castVote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Aucun contrôle de rôle</w:t>
            </w:r>
          </w:p>
        </w:tc>
        <w:tc>
          <w:tcPr>
            <w:tcW w:type="dxa" w:w="107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DEF-05</w:t>
            </w:r>
          </w:p>
        </w:tc>
      </w:tr>
      <w:tr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Aucun lien SQL utilisateur ↔ vote (§4.4.2)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Vote / VoteToken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Même token_hash dans les deux tables</w:t>
            </w:r>
          </w:p>
        </w:tc>
        <w:tc>
          <w:tcPr>
            <w:tcW w:type="dxa" w:w="107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DEF-00</w:t>
            </w:r>
          </w:p>
        </w:tc>
      </w:tr>
      <w:tr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Aucun secret dans le dépôt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application.properties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Identifiants Mailtrap en clair</w:t>
            </w:r>
          </w:p>
        </w:tc>
        <w:tc>
          <w:tcPr>
            <w:tcW w:type="dxa" w:w="107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Photo JPG/PNG ≤ 5 Mo (§3.1.2)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PhotoUploadService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Accepte tout image/*, limite à 5 000 000 octets</w:t>
            </w:r>
          </w:p>
        </w:tc>
        <w:tc>
          <w:tcPr>
            <w:tcW w:type="dxa" w:w="107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DEF-01</w:t>
            </w:r>
          </w:p>
        </w:tc>
      </w:tr>
      <w:tr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Notification de rejet (§3.3.2)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CandidateService.validateCandidate</w:t>
            </w:r>
          </w:p>
        </w:tc>
        <w:tc>
          <w:tcPr>
            <w:tcW w:type="dxa" w:w="28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Seule la validation notifie</w:t>
            </w:r>
          </w:p>
        </w:tc>
        <w:tc>
          <w:tcPr>
            <w:tcW w:type="dxa" w:w="107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Observation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Les défauts DEF-02, DEF-03 et DEF-05 identifiés en revue ont ensuite été </w:t>
      </w:r>
      <w:r>
        <w:rPr>
          <w:b/>
          <w:bCs/>
        </w:rPr>
        <w:t xml:space="preserve">confirmés dynamiquement</w:t>
      </w:r>
      <w:r>
        <w:t xml:space="preserve"> par des tests exploratoires (section 9) : la revue oriente les tests dynamiques.</w:t>
      </w:r>
    </w:p>
    <w:p>
      <w:pPr>
        <w:pStyle w:val="Heading2"/>
      </w:pPr>
      <w:bookmarkStart w:name="_Toc9" w:id="9"/>
      <w:r>
        <w:t xml:space="preserve">4.2 Analyse statique outillée (frontend)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2628"/>
        <w:gridCol w:w="5258"/>
      </w:tblGrid>
      <w:tr>
        <w:trPr>
          <w:tblHeader/>
        </w:trPr>
        <w:tc>
          <w:tcPr>
            <w:tcW w:type="dxa" w:w="17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2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Résultat</w:t>
            </w:r>
          </w:p>
        </w:tc>
      </w:tr>
      <w:tr>
        <w:tc>
          <w:tcPr>
            <w:tcW w:type="dxa" w:w="17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TypeScript</w:t>
            </w:r>
          </w:p>
        </w:tc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npx tsc -b</w:t>
            </w:r>
          </w:p>
        </w:tc>
        <w:tc>
          <w:tcPr>
            <w:tcW w:type="dxa" w:w="52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0 erreur de typage ✔</w:t>
            </w:r>
          </w:p>
        </w:tc>
      </w:tr>
      <w:tr>
        <w:tc>
          <w:tcPr>
            <w:tcW w:type="dxa" w:w="17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ESLint</w:t>
            </w:r>
          </w:p>
        </w:tc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npx eslint .</w:t>
            </w:r>
          </w:p>
        </w:tc>
        <w:tc>
          <w:tcPr>
            <w:tcW w:type="dxa" w:w="52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64 erreurs, 5 avertissements sur 66 fichiers</w:t>
            </w:r>
          </w:p>
        </w:tc>
      </w:tr>
      <w:tr>
        <w:tc>
          <w:tcPr>
            <w:tcW w:type="dxa" w:w="17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npm audit</w:t>
            </w:r>
          </w:p>
        </w:tc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audit</w:t>
            </w:r>
          </w:p>
        </w:tc>
        <w:tc>
          <w:tcPr>
            <w:tcW w:type="dxa" w:w="52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35 vulnérabilités (1 critique, 26 hautes, 6 moyennes, 2 basses)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Répartition ESLint : 30 × </w:t>
      </w:r>
      <w:r>
        <w:rPr>
          <w:rFonts w:ascii="Consolas" w:cs="Consolas" w:eastAsia="Consolas" w:hAnsi="Consolas"/>
          <w:sz w:val="19"/>
          <w:szCs w:val="19"/>
        </w:rPr>
        <w:t xml:space="preserve">no-explicit-any</w:t>
      </w:r>
      <w:r>
        <w:t xml:space="preserve"> (typage affaibli), 13 × </w:t>
      </w:r>
      <w:r>
        <w:rPr>
          <w:rFonts w:ascii="Consolas" w:cs="Consolas" w:eastAsia="Consolas" w:hAnsi="Consolas"/>
          <w:sz w:val="19"/>
          <w:szCs w:val="19"/>
        </w:rPr>
        <w:t xml:space="preserve">set-state-in-effect</w:t>
      </w:r>
      <w:r>
        <w:t xml:space="preserve">, 6 × </w:t>
      </w:r>
      <w:r>
        <w:rPr>
          <w:rFonts w:ascii="Consolas" w:cs="Consolas" w:eastAsia="Consolas" w:hAnsi="Consolas"/>
          <w:sz w:val="19"/>
          <w:szCs w:val="19"/>
        </w:rPr>
        <w:t xml:space="preserve">purity</w:t>
      </w:r>
      <w:r>
        <w:t xml:space="preserve">, 5 × </w:t>
      </w:r>
      <w:r>
        <w:rPr>
          <w:rFonts w:ascii="Consolas" w:cs="Consolas" w:eastAsia="Consolas" w:hAnsi="Consolas"/>
          <w:sz w:val="19"/>
          <w:szCs w:val="19"/>
        </w:rPr>
        <w:t xml:space="preserve">exhaustive-deps</w:t>
      </w:r>
      <w:r>
        <w:t xml:space="preserve">, </w:t>
      </w:r>
      <w:r>
        <w:rPr>
          <w:b/>
          <w:bCs/>
        </w:rPr>
        <w:t xml:space="preserve">4 × `rules-of-hooks`</w:t>
      </w:r>
      <w:r>
        <w:t xml:space="preserve">.</w:t>
      </w:r>
    </w:p>
    <w:p>
      <w:pPr>
        <w:spacing w:after="120"/>
      </w:pPr>
      <w:r>
        <w:t xml:space="preserve">Les 4 erreurs </w:t>
      </w:r>
      <w:r>
        <w:rPr>
          <w:rFonts w:ascii="Consolas" w:cs="Consolas" w:eastAsia="Consolas" w:hAnsi="Consolas"/>
          <w:sz w:val="19"/>
          <w:szCs w:val="19"/>
        </w:rPr>
        <w:t xml:space="preserve">rules-of-hooks</w:t>
      </w:r>
      <w:r>
        <w:t xml:space="preserve"> sont un </w:t>
      </w:r>
      <w:r>
        <w:rPr>
          <w:b/>
          <w:bCs/>
        </w:rPr>
        <w:t xml:space="preserve">vrai défaut</w:t>
      </w:r>
      <w:r>
        <w:t xml:space="preserve"> (DEF-07) : dans </w:t>
      </w:r>
      <w:r>
        <w:rPr>
          <w:rFonts w:ascii="Consolas" w:cs="Consolas" w:eastAsia="Consolas" w:hAnsi="Consolas"/>
          <w:sz w:val="19"/>
          <w:szCs w:val="19"/>
        </w:rPr>
        <w:t xml:space="preserve">ChatbotWidget.tsx</w:t>
      </w:r>
      <w:r>
        <w:t xml:space="preserve"> ligne 168, un </w:t>
      </w:r>
      <w:r>
        <w:rPr>
          <w:rFonts w:ascii="Consolas" w:cs="Consolas" w:eastAsia="Consolas" w:hAnsi="Consolas"/>
          <w:sz w:val="19"/>
          <w:szCs w:val="19"/>
        </w:rPr>
        <w:t xml:space="preserve">return null</w:t>
      </w:r>
      <w:r>
        <w:t xml:space="preserve"> conditionnel précède trois </w:t>
      </w:r>
      <w:r>
        <w:rPr>
          <w:rFonts w:ascii="Consolas" w:cs="Consolas" w:eastAsia="Consolas" w:hAnsi="Consolas"/>
          <w:sz w:val="19"/>
          <w:szCs w:val="19"/>
        </w:rPr>
        <w:t xml:space="preserve">useEffect</w:t>
      </w:r>
      <w:r>
        <w:t xml:space="preserve"> et un </w:t>
      </w:r>
      <w:r>
        <w:rPr>
          <w:rFonts w:ascii="Consolas" w:cs="Consolas" w:eastAsia="Consolas" w:hAnsi="Consolas"/>
          <w:sz w:val="19"/>
          <w:szCs w:val="19"/>
        </w:rPr>
        <w:t xml:space="preserve">useCallback</w:t>
      </w:r>
      <w:r>
        <w:t xml:space="preserve">. Si la condition change entre deux rendus, React lève « Rendered more hooks than during the previous render ». Le composant n'étant monté que dans le tableau de bord, la défaillance ne se produit pas aujourd'hui : c'est un </w:t>
      </w:r>
      <w:r>
        <w:rPr>
          <w:b/>
          <w:bCs/>
        </w:rPr>
        <w:t xml:space="preserve">défaut latent</w:t>
      </w:r>
      <w:r>
        <w:t xml:space="preserve">, que seule l'analyse statique pouvait détecter.</w:t>
      </w:r>
    </w:p>
    <w:p>
      <w:pPr>
        <w:pStyle w:val="Heading1"/>
        <w:pageBreakBefore/>
      </w:pPr>
      <w:bookmarkStart w:name="_Toc10" w:id="10"/>
      <w:r>
        <w:t xml:space="preserve">5. Tests boîte noire</w:t>
      </w:r>
      <w:bookmarkEnd w:id="10"/>
    </w:p>
    <w:p>
      <w:pPr>
        <w:spacing w:after="120"/>
      </w:pPr>
      <w:r>
        <w:t xml:space="preserve">Les techniques boîte noire dérivent les tests des </w:t>
      </w:r>
      <w:r>
        <w:rPr>
          <w:b/>
          <w:bCs/>
        </w:rPr>
        <w:t xml:space="preserve">spécifications</w:t>
      </w:r>
      <w:r>
        <w:t xml:space="preserve"> (cahier des charges) sans regarder le code. Pour chacune, trois cas ont été automatisés en JUnit.</w:t>
      </w:r>
    </w:p>
    <w:p>
      <w:pPr>
        <w:pStyle w:val="Heading2"/>
      </w:pPr>
      <w:bookmarkStart w:name="_Toc11" w:id="11"/>
      <w:r>
        <w:t xml:space="preserve">5.1 Partition d'équivalence — code OTP</w:t>
      </w:r>
      <w:bookmarkEnd w:id="11"/>
    </w:p>
    <w:p>
      <w:pPr>
        <w:spacing w:after="120"/>
      </w:pPr>
      <w:r>
        <w:t xml:space="preserve">Règle : le code OTP contient exactement 6 chiffres. On découpe le domaine en classes dont les valeurs sont traitées de la même façon, puis on teste </w:t>
      </w:r>
      <w:r>
        <w:rPr>
          <w:b/>
          <w:bCs/>
        </w:rPr>
        <w:t xml:space="preserve">un représentant par classe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1"/>
        <w:gridCol w:w="2652"/>
        <w:gridCol w:w="1414"/>
        <w:gridCol w:w="3094"/>
        <w:gridCol w:w="1417"/>
      </w:tblGrid>
      <w:tr>
        <w:trPr>
          <w:tblHeader/>
        </w:trPr>
        <w:tc>
          <w:tcPr>
            <w:tcW w:type="dxa" w:w="106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6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4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Entrée</w:t>
            </w:r>
          </w:p>
        </w:tc>
        <w:tc>
          <w:tcPr>
            <w:tcW w:type="dxa" w:w="309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</w:t>
            </w:r>
          </w:p>
        </w:tc>
        <w:tc>
          <w:tcPr>
            <w:tcW w:type="dxa" w:w="141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Obtenu</w:t>
            </w:r>
          </w:p>
        </w:tc>
      </w:tr>
      <w:tr>
        <w:tc>
          <w:tcPr>
            <w:tcW w:type="dxa" w:w="106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PE-01</w:t>
            </w:r>
          </w:p>
        </w:tc>
        <w:tc>
          <w:tcPr>
            <w:tcW w:type="dxa" w:w="26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Valide : 6 chiffres</w:t>
            </w:r>
          </w:p>
        </w:tc>
        <w:tc>
          <w:tcPr>
            <w:tcW w:type="dxa" w:w="14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123456</w:t>
            </w:r>
          </w:p>
        </w:tc>
        <w:tc>
          <w:tcPr>
            <w:tcW w:type="dxa" w:w="309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Accepté</w:t>
            </w:r>
          </w:p>
        </w:tc>
        <w:tc>
          <w:tcPr>
            <w:tcW w:type="dxa" w:w="141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06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PE-02</w:t>
            </w:r>
          </w:p>
        </w:tc>
        <w:tc>
          <w:tcPr>
            <w:tcW w:type="dxa" w:w="26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Invalide : longueur ≠ 6</w:t>
            </w:r>
          </w:p>
        </w:tc>
        <w:tc>
          <w:tcPr>
            <w:tcW w:type="dxa" w:w="14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12345</w:t>
            </w:r>
          </w:p>
        </w:tc>
        <w:tc>
          <w:tcPr>
            <w:tcW w:type="dxa" w:w="309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Rejeté</w:t>
            </w:r>
          </w:p>
        </w:tc>
        <w:tc>
          <w:tcPr>
            <w:tcW w:type="dxa" w:w="141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06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PE-03</w:t>
            </w:r>
          </w:p>
        </w:tc>
        <w:tc>
          <w:tcPr>
            <w:tcW w:type="dxa" w:w="26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Invalide : non numérique</w:t>
            </w:r>
          </w:p>
        </w:tc>
        <w:tc>
          <w:tcPr>
            <w:tcW w:type="dxa" w:w="14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12AB56</w:t>
            </w:r>
          </w:p>
        </w:tc>
        <w:tc>
          <w:tcPr>
            <w:tcW w:type="dxa" w:w="309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Rejeté (« uniquement des chiffres »)</w:t>
            </w:r>
          </w:p>
        </w:tc>
        <w:tc>
          <w:tcPr>
            <w:tcW w:type="dxa" w:w="141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" w:id="12"/>
      <w:r>
        <w:t xml:space="preserve">5.2 Analyse des valeurs limites — candidature</w:t>
      </w:r>
      <w:bookmarkEnd w:id="12"/>
    </w:p>
    <w:p>
      <w:pPr>
        <w:spacing w:after="120"/>
      </w:pPr>
      <w:r>
        <w:t xml:space="preserve">Les défauts se concentrent aux frontières. On teste </w:t>
      </w:r>
      <w:r>
        <w:rPr>
          <w:b/>
          <w:bCs/>
        </w:rPr>
        <w:t xml:space="preserve">sur</w:t>
      </w:r>
      <w:r>
        <w:t xml:space="preserve"> la limite et </w:t>
      </w:r>
      <w:r>
        <w:rPr>
          <w:b/>
          <w:bCs/>
        </w:rPr>
        <w:t xml:space="preserve">juste après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351"/>
        <w:gridCol w:w="2702"/>
        <w:gridCol w:w="2251"/>
        <w:gridCol w:w="2254"/>
      </w:tblGrid>
      <w:tr>
        <w:trPr>
          <w:tblHeader/>
        </w:trPr>
        <w:tc>
          <w:tcPr>
            <w:tcW w:type="dxa" w:w="108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135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70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225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 (CDC)</w:t>
            </w:r>
          </w:p>
        </w:tc>
        <w:tc>
          <w:tcPr>
            <w:tcW w:type="dxa" w:w="225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Obtenu</w:t>
            </w:r>
          </w:p>
        </w:tc>
      </w:tr>
      <w:tr>
        <w:tc>
          <w:tcPr>
            <w:tcW w:type="dxa" w:w="108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VL-01</w:t>
            </w:r>
          </w:p>
        </w:tc>
        <w:tc>
          <w:tcPr>
            <w:tcW w:type="dxa" w:w="135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Slogan</w:t>
            </w:r>
          </w:p>
        </w:tc>
        <w:tc>
          <w:tcPr>
            <w:tcW w:type="dxa" w:w="270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 caractères</w:t>
            </w:r>
          </w:p>
        </w:tc>
        <w:tc>
          <w:tcPr>
            <w:tcW w:type="dxa" w:w="225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Accepté</w:t>
            </w:r>
          </w:p>
        </w:tc>
        <w:tc>
          <w:tcPr>
            <w:tcW w:type="dxa" w:w="225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08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VL-02</w:t>
            </w:r>
          </w:p>
        </w:tc>
        <w:tc>
          <w:tcPr>
            <w:tcW w:type="dxa" w:w="135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Slogan</w:t>
            </w:r>
          </w:p>
        </w:tc>
        <w:tc>
          <w:tcPr>
            <w:tcW w:type="dxa" w:w="270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201 caractères</w:t>
            </w:r>
          </w:p>
        </w:tc>
        <w:tc>
          <w:tcPr>
            <w:tcW w:type="dxa" w:w="225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Rejeté</w:t>
            </w:r>
          </w:p>
        </w:tc>
        <w:tc>
          <w:tcPr>
            <w:tcW w:type="dxa" w:w="225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08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VL-03</w:t>
            </w:r>
          </w:p>
        </w:tc>
        <w:tc>
          <w:tcPr>
            <w:tcW w:type="dxa" w:w="135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Photo</w:t>
            </w:r>
          </w:p>
        </w:tc>
        <w:tc>
          <w:tcPr>
            <w:tcW w:type="dxa" w:w="270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× 1024 × 1024 octets</w:t>
            </w:r>
          </w:p>
        </w:tc>
        <w:tc>
          <w:tcPr>
            <w:tcW w:type="dxa" w:w="225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Acceptée (≤ 5 Mo)</w:t>
            </w:r>
          </w:p>
        </w:tc>
        <w:tc>
          <w:tcPr>
            <w:tcW w:type="dxa" w:w="225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91C1C"/>
                <w:sz w:val="18"/>
                <w:szCs w:val="18"/>
              </w:rPr>
              <w:t xml:space="preserve">✘ ÉCHEC → DEF-01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VL-03 échoue : « Fichier trop volumineux (max 5MB) ». Le code compare la taille à </w:t>
      </w:r>
      <w:r>
        <w:rPr>
          <w:rFonts w:ascii="Consolas" w:cs="Consolas" w:eastAsia="Consolas" w:hAnsi="Consolas"/>
          <w:sz w:val="19"/>
          <w:szCs w:val="19"/>
        </w:rPr>
        <w:t xml:space="preserve">5_000_000</w:t>
      </w:r>
      <w:r>
        <w:t xml:space="preserve"> octets alors que 5 Mo = 5 242 880 octets ; une photo de 4,9 Mo réels est donc refusée. Exemple typique de défaut de frontière qu'une valeur « au milieu » (2,5 Mo) n'aurait jamais trouvé.</w:t>
      </w:r>
    </w:p>
    <w:p>
      <w:pPr>
        <w:pStyle w:val="Heading2"/>
      </w:pPr>
      <w:bookmarkStart w:name="_Toc13" w:id="13"/>
      <w:r>
        <w:t xml:space="preserve">5.3 Table de décision — vote d'un étudiant</w:t>
      </w:r>
      <w:bookmarkEnd w:id="13"/>
    </w:p>
    <w:p>
      <w:pPr>
        <w:spacing w:after="120"/>
      </w:pPr>
      <w:r>
        <w:t xml:space="preserve">Conditions C1 = élection VOTE_ACTIVE, C2 = l'étudiant n'a pas déjà voté. Une règle = une combinaison de conditions = un test.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5"/>
        <w:gridCol w:w="820"/>
        <w:gridCol w:w="820"/>
        <w:gridCol w:w="5126"/>
        <w:gridCol w:w="1847"/>
      </w:tblGrid>
      <w:tr>
        <w:trPr>
          <w:tblHeader/>
        </w:trPr>
        <w:tc>
          <w:tcPr>
            <w:tcW w:type="dxa" w:w="102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82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C1</w:t>
            </w:r>
          </w:p>
        </w:tc>
        <w:tc>
          <w:tcPr>
            <w:tcW w:type="dxa" w:w="82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C2</w:t>
            </w:r>
          </w:p>
        </w:tc>
        <w:tc>
          <w:tcPr>
            <w:tcW w:type="dxa" w:w="512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attendue</w:t>
            </w:r>
          </w:p>
        </w:tc>
        <w:tc>
          <w:tcPr>
            <w:tcW w:type="dxa" w:w="184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Obtenu</w:t>
            </w:r>
          </w:p>
        </w:tc>
      </w:tr>
      <w:tr>
        <w:tc>
          <w:tcPr>
            <w:tcW w:type="dxa" w:w="102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82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82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512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Vote enregistré + code 10 caractères [A-Z0-9]</w:t>
            </w:r>
          </w:p>
        </w:tc>
        <w:tc>
          <w:tcPr>
            <w:tcW w:type="dxa" w:w="184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02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82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82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512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Refus « Le vote n'est pas ouvert »</w:t>
            </w:r>
          </w:p>
        </w:tc>
        <w:tc>
          <w:tcPr>
            <w:tcW w:type="dxa" w:w="184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02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82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82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512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Refus « Vous avez déjà voté »</w:t>
            </w:r>
          </w:p>
        </w:tc>
        <w:tc>
          <w:tcPr>
            <w:tcW w:type="dxa" w:w="184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Pour R2 et R3, le test vérifie en plus qu'</w:t>
      </w:r>
      <w:r>
        <w:rPr>
          <w:b/>
          <w:bCs/>
        </w:rPr>
        <w:t xml:space="preserve">aucun vote n'est sauvegardé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verify(voteRepo, never()).save(...)</w:t>
      </w:r>
      <w:r>
        <w:t xml:space="preserve">).</w:t>
      </w:r>
    </w:p>
    <w:p>
      <w:pPr>
        <w:pStyle w:val="Heading2"/>
      </w:pPr>
      <w:bookmarkStart w:name="_Toc14" w:id="14"/>
      <w:r>
        <w:t xml:space="preserve">5.4 Transition d'état — cycle de vie d'une élection</w:t>
      </w:r>
      <w:bookmarkEnd w:id="14"/>
    </w:p>
    <w:p>
      <w:pPr>
        <w:spacing w:after="120"/>
      </w:pPr>
      <w:r>
        <w:t xml:space="preserve">Automate : DRAFT → CAMPAIGN_ACTIVE → VOTE_ACTIVE → CLOSED. On teste des transitions valides et une transition interdite.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"/>
        <w:gridCol w:w="3504"/>
        <w:gridCol w:w="3504"/>
        <w:gridCol w:w="1579"/>
      </w:tblGrid>
      <w:tr>
        <w:trPr>
          <w:tblHeader/>
        </w:trPr>
        <w:tc>
          <w:tcPr>
            <w:tcW w:type="dxa" w:w="105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350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Transition</w:t>
            </w:r>
          </w:p>
        </w:tc>
        <w:tc>
          <w:tcPr>
            <w:tcW w:type="dxa" w:w="350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</w:t>
            </w:r>
          </w:p>
        </w:tc>
        <w:tc>
          <w:tcPr>
            <w:tcW w:type="dxa" w:w="157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Obtenu</w:t>
            </w:r>
          </w:p>
        </w:tc>
      </w:tr>
      <w:tr>
        <w:tc>
          <w:tcPr>
            <w:tcW w:type="dxa" w:w="105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ST-20</w:t>
            </w:r>
          </w:p>
        </w:tc>
        <w:tc>
          <w:tcPr>
            <w:tcW w:type="dxa" w:w="350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DRAFT → CAMPAIGN_ACTIVE</w:t>
            </w:r>
          </w:p>
        </w:tc>
        <w:tc>
          <w:tcPr>
            <w:tcW w:type="dxa" w:w="350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Acceptée</w:t>
            </w:r>
          </w:p>
        </w:tc>
        <w:tc>
          <w:tcPr>
            <w:tcW w:type="dxa" w:w="157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05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ST-21</w:t>
            </w:r>
          </w:p>
        </w:tc>
        <w:tc>
          <w:tcPr>
            <w:tcW w:type="dxa" w:w="350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CAMPAIGN_ACTIVE → VOTE_ACTIVE</w:t>
            </w:r>
          </w:p>
        </w:tc>
        <w:tc>
          <w:tcPr>
            <w:tcW w:type="dxa" w:w="350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Acceptée</w:t>
            </w:r>
          </w:p>
        </w:tc>
        <w:tc>
          <w:tcPr>
            <w:tcW w:type="dxa" w:w="157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05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ST-23</w:t>
            </w:r>
          </w:p>
        </w:tc>
        <w:tc>
          <w:tcPr>
            <w:tcW w:type="dxa" w:w="350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DRAFT → VOTE_ACTIVE (saut d'état)</w:t>
            </w:r>
          </w:p>
        </w:tc>
        <w:tc>
          <w:tcPr>
            <w:tcW w:type="dxa" w:w="350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Rejetée, statut inchangé, rien en base</w:t>
            </w:r>
          </w:p>
        </w:tc>
        <w:tc>
          <w:tcPr>
            <w:tcW w:type="dxa" w:w="157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5" w:id="15"/>
      <w:r>
        <w:t xml:space="preserve">5.5 Cas d'utilisation</w:t>
      </w:r>
      <w:bookmarkEnd w:id="15"/>
    </w:p>
    <w:p>
      <w:pPr>
        <w:spacing w:after="120"/>
      </w:pPr>
      <w:r>
        <w:t xml:space="preserve">La technique des cas d'utilisation est appliquée au </w:t>
      </w:r>
      <w:r>
        <w:rPr>
          <w:b/>
          <w:bCs/>
        </w:rPr>
        <w:t xml:space="preserve">niveau système</w:t>
      </w:r>
      <w:r>
        <w:t xml:space="preserve"> : le scénario UC-03 « Voter » et ses scénarios alternatifs sont joués de bout en bout sur l'application réelle (section 8.3).</w:t>
      </w:r>
    </w:p>
    <w:p>
      <w:pPr>
        <w:pStyle w:val="Heading1"/>
        <w:pageBreakBefore/>
      </w:pPr>
      <w:bookmarkStart w:name="_Toc16" w:id="16"/>
      <w:r>
        <w:t xml:space="preserve">6. Tests boîte blanche</w:t>
      </w:r>
      <w:bookmarkEnd w:id="16"/>
    </w:p>
    <w:p>
      <w:pPr>
        <w:spacing w:after="120"/>
      </w:pPr>
      <w:r>
        <w:t xml:space="preserve">Les techniques boîte blanche dérivent les tests de la </w:t>
      </w:r>
      <w:r>
        <w:rPr>
          <w:b/>
          <w:bCs/>
        </w:rPr>
        <w:t xml:space="preserve">structure du code</w:t>
      </w:r>
      <w:r>
        <w:t xml:space="preserve">. L'objectif est mesurable : un pourcentage d'instructions, de branches ou de conditions exécutées. Nous avons mesuré la couverture avec </w:t>
      </w:r>
      <w:r>
        <w:rPr>
          <w:b/>
          <w:bCs/>
        </w:rPr>
        <w:t xml:space="preserve">JaCoCo</w:t>
      </w:r>
      <w:r>
        <w:t xml:space="preserve">.</w:t>
      </w:r>
    </w:p>
    <w:p>
      <w:pPr>
        <w:pStyle w:val="Heading2"/>
      </w:pPr>
      <w:bookmarkStart w:name="_Toc17" w:id="17"/>
      <w:r>
        <w:t xml:space="preserve">6.1 Couverture des instructions — hashToken()</w:t>
      </w:r>
      <w:bookmarkEnd w:id="17"/>
    </w:p>
    <w:p>
      <w:pPr>
        <w:shd w:fill="F1F2F6" w:color="auto" w:val="clear"/>
        <w:spacing w:after="0" w:before="80" w:line="240"/>
      </w:pPr>
      <w:r>
        <w:rPr>
          <w:rFonts w:ascii="Consolas" w:cs="Consolas" w:eastAsia="Consolas" w:hAnsi="Consolas"/>
          <w:sz w:val="17"/>
          <w:szCs w:val="17"/>
        </w:rPr>
        <w:t xml:space="preserve">public String hashToken(String rawToken) {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byte[] hash = MessageDigest.getInstance("SHA-256")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.digest(rawToken.getBytes(StandardCharsets.UTF_8));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StringBuilder sb = new StringBuilder();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(byte b : hash) sb.append(String.format("%02x", b));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sb.toString();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 catch (NoSuchAlgorithmException e) { throw new RuntimeException(...); }</w:t>
      </w:r>
    </w:p>
    <w:p>
      <w:pPr>
        <w:shd w:fill="F1F2F6" w:color="auto" w:val="clear"/>
        <w:spacing w:after="16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2231"/>
        <w:gridCol w:w="4908"/>
        <w:gridCol w:w="1429"/>
      </w:tblGrid>
      <w:tr>
        <w:trPr>
          <w:tblHeader/>
        </w:trPr>
        <w:tc>
          <w:tcPr>
            <w:tcW w:type="dxa" w:w="107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23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</w:t>
            </w:r>
          </w:p>
        </w:tc>
        <w:tc>
          <w:tcPr>
            <w:tcW w:type="dxa" w:w="490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</w:t>
            </w:r>
          </w:p>
        </w:tc>
        <w:tc>
          <w:tcPr>
            <w:tcW w:type="dxa" w:w="142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Obtenu</w:t>
            </w:r>
          </w:p>
        </w:tc>
      </w:tr>
      <w:tr>
        <w:tc>
          <w:tcPr>
            <w:tcW w:type="dxa" w:w="107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UT-01a</w:t>
            </w:r>
          </w:p>
        </w:tc>
        <w:tc>
          <w:tcPr>
            <w:tcW w:type="dxa" w:w="223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SHA-256("abc")</w:t>
            </w:r>
          </w:p>
        </w:tc>
        <w:tc>
          <w:tcPr>
            <w:tcW w:type="dxa" w:w="490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ba7816bf…f20015ad (vecteur officiel NIST)</w:t>
            </w:r>
          </w:p>
        </w:tc>
        <w:tc>
          <w:tcPr>
            <w:tcW w:type="dxa" w:w="142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07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UT-01b</w:t>
            </w:r>
          </w:p>
        </w:tc>
        <w:tc>
          <w:tcPr>
            <w:tcW w:type="dxa" w:w="223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Jeton brut aléatoire</w:t>
            </w:r>
          </w:p>
        </w:tc>
        <w:tc>
          <w:tcPr>
            <w:tcW w:type="dxa" w:w="490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64 caractères hexadécimaux, déterministe, ≠ jeton brut</w:t>
            </w:r>
          </w:p>
        </w:tc>
        <w:tc>
          <w:tcPr>
            <w:tcW w:type="dxa" w:w="142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07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UT-01c</w:t>
            </w:r>
          </w:p>
        </w:tc>
        <w:tc>
          <w:tcPr>
            <w:tcW w:type="dxa" w:w="223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Deux générations</w:t>
            </w:r>
          </w:p>
        </w:tc>
        <w:tc>
          <w:tcPr>
            <w:tcW w:type="dxa" w:w="490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Deux jetons bruts différents</w:t>
            </w:r>
          </w:p>
        </w:tc>
        <w:tc>
          <w:tcPr>
            <w:tcW w:type="dxa" w:w="142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Toutes les instructions atteignables sont couvertes. Le bloc </w:t>
      </w:r>
      <w:r>
        <w:rPr>
          <w:rFonts w:ascii="Consolas" w:cs="Consolas" w:eastAsia="Consolas" w:hAnsi="Consolas"/>
          <w:sz w:val="19"/>
          <w:szCs w:val="19"/>
        </w:rPr>
        <w:t xml:space="preserve">catch</w:t>
      </w:r>
      <w:r>
        <w:t xml:space="preserve"> est </w:t>
      </w:r>
      <w:r>
        <w:rPr>
          <w:b/>
          <w:bCs/>
        </w:rPr>
        <w:t xml:space="preserve">inatteignable</w:t>
      </w:r>
      <w:r>
        <w:t xml:space="preserve"> (SHA-256 existe toujours dans la JVM) : 100 % d'instructions est impossible ici, ce qu'il faut justifier plutôt que forcer.</w:t>
      </w:r>
    </w:p>
    <w:p>
      <w:pPr>
        <w:pStyle w:val="Heading2"/>
      </w:pPr>
      <w:bookmarkStart w:name="_Toc18" w:id="18"/>
      <w:r>
        <w:t xml:space="preserve">6.2 Couverture des branches — generateTokensForElection()</w:t>
      </w:r>
      <w:bookmarkEnd w:id="18"/>
    </w:p>
    <w:p>
      <w:pPr>
        <w:shd w:fill="F1F2F6" w:color="auto" w:val="clear"/>
        <w:spacing w:after="0" w:before="80" w:line="240"/>
      </w:pPr>
      <w:r>
        <w:rPr>
          <w:rFonts w:ascii="Consolas" w:cs="Consolas" w:eastAsia="Consolas" w:hAnsi="Consolas"/>
          <w:sz w:val="17"/>
          <w:szCs w:val="17"/>
        </w:rPr>
        <w:t xml:space="preserve">Election election = electionRepository.findById(id).orElseThrow(...);  // B1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if (voteTokenRepository.existsByElectionId(id)) { return; }           // B2 idempotence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for (User user : userRepository.findByIsVerifiedTrue()) {              // B3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String tokenHash = hashToken(generateRawToken());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voteTokenRepository.save(VoteToken.builder()...tokenHash(tokenHash)...);</w:t>
      </w:r>
    </w:p>
    <w:p>
      <w:pPr>
        <w:shd w:fill="F1F2F6" w:color="auto" w:val="clear"/>
        <w:spacing w:after="16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2190"/>
        <w:gridCol w:w="2628"/>
        <w:gridCol w:w="3944"/>
      </w:tblGrid>
      <w:tr>
        <w:trPr>
          <w:tblHeader/>
        </w:trPr>
        <w:tc>
          <w:tcPr>
            <w:tcW w:type="dxa" w:w="8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19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Branche</w:t>
            </w:r>
          </w:p>
        </w:tc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Données</w:t>
            </w:r>
          </w:p>
        </w:tc>
        <w:tc>
          <w:tcPr>
            <w:tcW w:type="dxa" w:w="394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Obtenu</w:t>
            </w:r>
          </w:p>
        </w:tc>
      </w:tr>
      <w:tr>
        <w:tc>
          <w:tcPr>
            <w:tcW w:type="dxa" w:w="8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B1</w:t>
            </w:r>
          </w:p>
        </w:tc>
        <w:tc>
          <w:tcPr>
            <w:tcW w:type="dxa" w:w="219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Élection introuvable</w:t>
            </w:r>
          </w:p>
        </w:tc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 = 99 inexistant</w:t>
            </w:r>
          </w:p>
        </w:tc>
        <w:tc>
          <w:tcPr>
            <w:tcW w:type="dxa" w:w="394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ResourceNotFoundException</w:t>
            </w:r>
          </w:p>
        </w:tc>
      </w:tr>
      <w:tr>
        <w:tc>
          <w:tcPr>
            <w:tcW w:type="dxa" w:w="8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B2</w:t>
            </w:r>
          </w:p>
        </w:tc>
        <w:tc>
          <w:tcPr>
            <w:tcW w:type="dxa" w:w="219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Jetons déjà générés</w:t>
            </w:r>
          </w:p>
        </w:tc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existsByElectionId = true</w:t>
            </w:r>
          </w:p>
        </w:tc>
        <w:tc>
          <w:tcPr>
            <w:tcW w:type="dxa" w:w="394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Aucun save() (idempotence, exigence IT-03)</w:t>
            </w:r>
          </w:p>
        </w:tc>
      </w:tr>
      <w:tr>
        <w:tc>
          <w:tcPr>
            <w:tcW w:type="dxa" w:w="8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B3</w:t>
            </w:r>
          </w:p>
        </w:tc>
        <w:tc>
          <w:tcPr>
            <w:tcW w:type="dxa" w:w="219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Génération</w:t>
            </w:r>
          </w:p>
        </w:tc>
        <w:tc>
          <w:tcPr>
            <w:tcW w:type="dxa" w:w="262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étudiants vérifiés</w:t>
            </w:r>
          </w:p>
        </w:tc>
        <w:tc>
          <w:tcPr>
            <w:tcW w:type="dxa" w:w="394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3 jetons, hash 64 hex, tous distincts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JaCoCo confirme : </w:t>
      </w:r>
      <w:r>
        <w:rPr>
          <w:b/>
          <w:bCs/>
        </w:rPr>
        <w:t xml:space="preserve">VoteTokenService = 100 % des branches</w:t>
      </w:r>
      <w:r>
        <w:t xml:space="preserve">, 84 % des lignes.</w:t>
      </w:r>
    </w:p>
    <w:p>
      <w:pPr>
        <w:pStyle w:val="Heading2"/>
      </w:pPr>
      <w:bookmarkStart w:name="_Toc19" w:id="19"/>
      <w:r>
        <w:t xml:space="preserve">6.3 Couverture des décisions — validateDates()</w:t>
      </w:r>
      <w:bookmarkEnd w:id="19"/>
    </w:p>
    <w:p>
      <w:pPr>
        <w:spacing w:after="120"/>
      </w:pPr>
      <w:r>
        <w:t xml:space="preserve">Trois décisions : D1 </w:t>
      </w:r>
      <w:r>
        <w:rPr>
          <w:rFonts w:ascii="Consolas" w:cs="Consolas" w:eastAsia="Consolas" w:hAnsi="Consolas"/>
          <w:sz w:val="19"/>
          <w:szCs w:val="19"/>
        </w:rPr>
        <w:t xml:space="preserve">!campaignStart.isBefore(campaignEnd)</w:t>
      </w:r>
      <w:r>
        <w:t xml:space="preserve">, D2 </w:t>
      </w:r>
      <w:r>
        <w:rPr>
          <w:rFonts w:ascii="Consolas" w:cs="Consolas" w:eastAsia="Consolas" w:hAnsi="Consolas"/>
          <w:sz w:val="19"/>
          <w:szCs w:val="19"/>
        </w:rPr>
        <w:t xml:space="preserve">campaignEnd.isAfter(voteStart)</w:t>
      </w:r>
      <w:r>
        <w:t xml:space="preserve">, D3 </w:t>
      </w:r>
      <w:r>
        <w:rPr>
          <w:rFonts w:ascii="Consolas" w:cs="Consolas" w:eastAsia="Consolas" w:hAnsi="Consolas"/>
          <w:sz w:val="19"/>
          <w:szCs w:val="19"/>
        </w:rPr>
        <w:t xml:space="preserve">!voteStart.isBefore(voteEnd)</w:t>
      </w:r>
      <w:r>
        <w:t xml:space="preserve">. Chaque décision doit être évaluée à VRAI et à FAUX.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741"/>
        <w:gridCol w:w="741"/>
        <w:gridCol w:w="741"/>
        <w:gridCol w:w="4236"/>
        <w:gridCol w:w="1909"/>
      </w:tblGrid>
      <w:tr>
        <w:trPr>
          <w:tblHeader/>
        </w:trPr>
        <w:tc>
          <w:tcPr>
            <w:tcW w:type="dxa" w:w="127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74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D1</w:t>
            </w:r>
          </w:p>
        </w:tc>
        <w:tc>
          <w:tcPr>
            <w:tcW w:type="dxa" w:w="74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D2</w:t>
            </w:r>
          </w:p>
        </w:tc>
        <w:tc>
          <w:tcPr>
            <w:tcW w:type="dxa" w:w="74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D3</w:t>
            </w:r>
          </w:p>
        </w:tc>
        <w:tc>
          <w:tcPr>
            <w:tcW w:type="dxa" w:w="423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Résultat</w:t>
            </w:r>
          </w:p>
        </w:tc>
        <w:tc>
          <w:tcPr>
            <w:tcW w:type="dxa" w:w="190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Obtenu</w:t>
            </w:r>
          </w:p>
        </w:tc>
      </w:tr>
      <w:tr>
        <w:tc>
          <w:tcPr>
            <w:tcW w:type="dxa" w:w="127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DC-01</w:t>
            </w:r>
          </w:p>
        </w:tc>
        <w:tc>
          <w:tcPr>
            <w:tcW w:type="dxa" w:w="74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74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74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423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Élection créée en DRAFT</w:t>
            </w:r>
          </w:p>
        </w:tc>
        <w:tc>
          <w:tcPr>
            <w:tcW w:type="dxa" w:w="190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27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DC-02</w:t>
            </w:r>
          </w:p>
        </w:tc>
        <w:tc>
          <w:tcPr>
            <w:tcW w:type="dxa" w:w="74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74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74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423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Rejet « début de campagne »</w:t>
            </w:r>
          </w:p>
        </w:tc>
        <w:tc>
          <w:tcPr>
            <w:tcW w:type="dxa" w:w="190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27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DC-03</w:t>
            </w:r>
          </w:p>
        </w:tc>
        <w:tc>
          <w:tcPr>
            <w:tcW w:type="dxa" w:w="74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74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74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423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Rejet « début de vote »</w:t>
            </w:r>
          </w:p>
        </w:tc>
        <w:tc>
          <w:tcPr>
            <w:tcW w:type="dxa" w:w="190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D2 n'est évaluée qu'à FAUX : un 4ᵉ cas (fin de campagne après début du vote) serait nécessaire pour 100 % de couverture des décisions. Nous l'indiquons comme limite assumée de l'échantillon de 3 tests.</w:t>
      </w:r>
    </w:p>
    <w:p>
      <w:pPr>
        <w:pStyle w:val="Heading2"/>
      </w:pPr>
      <w:bookmarkStart w:name="_Toc20" w:id="20"/>
      <w:r>
        <w:t xml:space="preserve">6.4 Complexité cyclomatique — castVote()</w:t>
      </w:r>
      <w:bookmarkEnd w:id="20"/>
    </w:p>
    <w:p>
      <w:pPr>
        <w:spacing w:after="120"/>
      </w:pPr>
      <w:r>
        <w:t xml:space="preserve">La méthode </w:t>
      </w:r>
      <w:r>
        <w:rPr>
          <w:rFonts w:ascii="Consolas" w:cs="Consolas" w:eastAsia="Consolas" w:hAnsi="Consolas"/>
          <w:sz w:val="19"/>
          <w:szCs w:val="19"/>
        </w:rPr>
        <w:t xml:space="preserve">castVote</w:t>
      </w:r>
      <w:r>
        <w:t xml:space="preserve"> contient 11 points de décision : utilisateur absent, compte non vérifié, élection absente, candidat absent, candidat d'une autre élection, candidat non validé, statut ≠ VOTE_ACTIVE, fin de vote (2 conditions), jeton absent, jeton déjà utilisé.</w:t>
      </w:r>
    </w:p>
    <w:p>
      <w:pPr>
        <w:spacing w:after="120"/>
      </w:pPr>
      <w:r>
        <w:rPr>
          <w:b/>
          <w:bCs/>
        </w:rPr>
        <w:t xml:space="preserve">V(G) = nombre de décisions + 1 = 11 + 1 = 12</w:t>
      </w:r>
      <w:r>
        <w:t xml:space="preserve"> chemins indépendants. Le seuil habituel (10) est dépassé : la méthode mériterait d'être découpée. Les chemins sont répartis entre la table de décision (§5.3), le MC/DC (§6.5) et les 3 tests ci-dessous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"/>
        <w:gridCol w:w="3182"/>
        <w:gridCol w:w="4091"/>
        <w:gridCol w:w="1456"/>
      </w:tblGrid>
      <w:tr>
        <w:trPr>
          <w:tblHeader/>
        </w:trPr>
        <w:tc>
          <w:tcPr>
            <w:tcW w:type="dxa" w:w="90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3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Sortie à la décision</w:t>
            </w:r>
          </w:p>
        </w:tc>
        <w:tc>
          <w:tcPr>
            <w:tcW w:type="dxa" w:w="409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</w:t>
            </w:r>
          </w:p>
        </w:tc>
        <w:tc>
          <w:tcPr>
            <w:tcW w:type="dxa" w:w="145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Obtenu</w:t>
            </w:r>
          </w:p>
        </w:tc>
      </w:tr>
      <w:tr>
        <w:tc>
          <w:tcPr>
            <w:tcW w:type="dxa" w:w="90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— compte non vérifié</w:t>
            </w:r>
          </w:p>
        </w:tc>
        <w:tc>
          <w:tcPr>
            <w:tcW w:type="dxa" w:w="409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ForbiddenException</w:t>
            </w:r>
          </w:p>
        </w:tc>
        <w:tc>
          <w:tcPr>
            <w:tcW w:type="dxa" w:w="145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90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— candidat d'une autre élection</w:t>
            </w:r>
          </w:p>
        </w:tc>
        <w:tc>
          <w:tcPr>
            <w:tcW w:type="dxa" w:w="409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« ne participe pas à cette élection »</w:t>
            </w:r>
          </w:p>
        </w:tc>
        <w:tc>
          <w:tcPr>
            <w:tcW w:type="dxa" w:w="145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90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— jeton absent → généré à la volée</w:t>
            </w:r>
          </w:p>
        </w:tc>
        <w:tc>
          <w:tcPr>
            <w:tcW w:type="dxa" w:w="409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Vote sauvegardé avec hash 64 hex ; l'entité Vote n'a aucun champ User</w:t>
            </w:r>
          </w:p>
        </w:tc>
        <w:tc>
          <w:tcPr>
            <w:tcW w:type="dxa" w:w="145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1" w:id="21"/>
      <w:r>
        <w:t xml:space="preserve">6.5 MC/DC — fin de la période de vote</w:t>
      </w:r>
      <w:bookmarkEnd w:id="21"/>
    </w:p>
    <w:p>
      <w:pPr>
        <w:spacing w:after="120"/>
      </w:pPr>
      <w:r>
        <w:t xml:space="preserve">Décision : </w:t>
      </w:r>
      <w:r>
        <w:rPr>
          <w:rFonts w:ascii="Consolas" w:cs="Consolas" w:eastAsia="Consolas" w:hAnsi="Consolas"/>
          <w:sz w:val="19"/>
          <w:szCs w:val="19"/>
        </w:rPr>
        <w:t xml:space="preserve">if (A &amp;&amp; B)</w:t>
      </w:r>
      <w:r>
        <w:t xml:space="preserve"> avec A = </w:t>
      </w:r>
      <w:r>
        <w:rPr>
          <w:rFonts w:ascii="Consolas" w:cs="Consolas" w:eastAsia="Consolas" w:hAnsi="Consolas"/>
          <w:sz w:val="19"/>
          <w:szCs w:val="19"/>
        </w:rPr>
        <w:t xml:space="preserve">voteEnd != null</w:t>
      </w:r>
      <w:r>
        <w:t xml:space="preserve"> et B = </w:t>
      </w:r>
      <w:r>
        <w:rPr>
          <w:rFonts w:ascii="Consolas" w:cs="Consolas" w:eastAsia="Consolas" w:hAnsi="Consolas"/>
          <w:sz w:val="19"/>
          <w:szCs w:val="19"/>
        </w:rPr>
        <w:t xml:space="preserve">now.isAfter(voteEnd)</w:t>
      </w:r>
      <w:r>
        <w:t xml:space="preserve">. MC/DC exige que </w:t>
      </w:r>
      <w:r>
        <w:rPr>
          <w:b/>
          <w:bCs/>
        </w:rPr>
        <w:t xml:space="preserve">chaque condition influe seule</w:t>
      </w:r>
      <w:r>
        <w:t xml:space="preserve"> sur la décision : pour n conditions, n + 1 tests suffisent, soit </w:t>
      </w:r>
      <w:r>
        <w:rPr>
          <w:b/>
          <w:bCs/>
        </w:rPr>
        <w:t xml:space="preserve">3 tests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655"/>
        <w:gridCol w:w="655"/>
        <w:gridCol w:w="2620"/>
        <w:gridCol w:w="3275"/>
        <w:gridCol w:w="1498"/>
      </w:tblGrid>
      <w:tr>
        <w:trPr>
          <w:tblHeader/>
        </w:trPr>
        <w:tc>
          <w:tcPr>
            <w:tcW w:type="dxa" w:w="93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6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6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262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Décision</w:t>
            </w:r>
          </w:p>
        </w:tc>
        <w:tc>
          <w:tcPr>
            <w:tcW w:type="dxa" w:w="327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Paire démontrée</w:t>
            </w:r>
          </w:p>
        </w:tc>
        <w:tc>
          <w:tcPr>
            <w:tcW w:type="dxa" w:w="149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Obtenu</w:t>
            </w:r>
          </w:p>
        </w:tc>
      </w:tr>
      <w:tr>
        <w:tc>
          <w:tcPr>
            <w:tcW w:type="dxa" w:w="93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</w:t>
            </w:r>
          </w:p>
        </w:tc>
        <w:tc>
          <w:tcPr>
            <w:tcW w:type="dxa" w:w="6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6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262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 (vote refusé)</w:t>
            </w:r>
          </w:p>
        </w:tc>
        <w:tc>
          <w:tcPr>
            <w:tcW w:type="dxa" w:w="327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9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93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T2</w:t>
            </w:r>
          </w:p>
        </w:tc>
        <w:tc>
          <w:tcPr>
            <w:tcW w:type="dxa" w:w="6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6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262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 (vote accepté)</w:t>
            </w:r>
          </w:p>
        </w:tc>
        <w:tc>
          <w:tcPr>
            <w:tcW w:type="dxa" w:w="327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(T1,T2) : seul B change</w:t>
            </w:r>
          </w:p>
        </w:tc>
        <w:tc>
          <w:tcPr>
            <w:tcW w:type="dxa" w:w="149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93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T3</w:t>
            </w:r>
          </w:p>
        </w:tc>
        <w:tc>
          <w:tcPr>
            <w:tcW w:type="dxa" w:w="6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65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62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 (vote accepté)</w:t>
            </w:r>
          </w:p>
        </w:tc>
        <w:tc>
          <w:tcPr>
            <w:tcW w:type="dxa" w:w="327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(T1,T3) : seul A change</w:t>
            </w:r>
          </w:p>
        </w:tc>
        <w:tc>
          <w:tcPr>
            <w:tcW w:type="dxa" w:w="149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2" w:id="22"/>
      <w:r>
        <w:t xml:space="preserve">6.6 Couverture mesurée (JaCoCo)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09"/>
        <w:gridCol w:w="2410"/>
      </w:tblGrid>
      <w:tr>
        <w:trPr>
          <w:tblHeader/>
        </w:trPr>
        <w:tc>
          <w:tcPr>
            <w:tcW w:type="dxa" w:w="4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40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Lignes</w:t>
            </w:r>
          </w:p>
        </w:tc>
        <w:tc>
          <w:tcPr>
            <w:tcW w:type="dxa" w:w="241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Branches</w:t>
            </w:r>
          </w:p>
        </w:tc>
      </w:tr>
      <w:tr>
        <w:tc>
          <w:tcPr>
            <w:tcW w:type="dxa" w:w="4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VoteTokenService</w:t>
            </w:r>
          </w:p>
        </w:tc>
        <w:tc>
          <w:tcPr>
            <w:tcW w:type="dxa" w:w="240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84,2 %</w:t>
            </w:r>
          </w:p>
        </w:tc>
        <w:tc>
          <w:tcPr>
            <w:tcW w:type="dxa" w:w="241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4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VoteService</w:t>
            </w:r>
          </w:p>
        </w:tc>
        <w:tc>
          <w:tcPr>
            <w:tcW w:type="dxa" w:w="240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66,3 %</w:t>
            </w:r>
          </w:p>
        </w:tc>
        <w:tc>
          <w:tcPr>
            <w:tcW w:type="dxa" w:w="241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60,7 %</w:t>
            </w:r>
          </w:p>
        </w:tc>
      </w:tr>
      <w:tr>
        <w:tc>
          <w:tcPr>
            <w:tcW w:type="dxa" w:w="4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ElectionService</w:t>
            </w:r>
          </w:p>
        </w:tc>
        <w:tc>
          <w:tcPr>
            <w:tcW w:type="dxa" w:w="240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52,0 %</w:t>
            </w:r>
          </w:p>
        </w:tc>
        <w:tc>
          <w:tcPr>
            <w:tcW w:type="dxa" w:w="241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35,6 %</w:t>
            </w:r>
          </w:p>
        </w:tc>
      </w:tr>
      <w:tr>
        <w:tc>
          <w:tcPr>
            <w:tcW w:type="dxa" w:w="4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JwtUtil</w:t>
            </w:r>
          </w:p>
        </w:tc>
        <w:tc>
          <w:tcPr>
            <w:tcW w:type="dxa" w:w="240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50,9 %</w:t>
            </w:r>
          </w:p>
        </w:tc>
        <w:tc>
          <w:tcPr>
            <w:tcW w:type="dxa" w:w="241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50,0 %</w:t>
            </w:r>
          </w:p>
        </w:tc>
      </w:tr>
      <w:tr>
        <w:tc>
          <w:tcPr>
            <w:tcW w:type="dxa" w:w="4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ChatbotRulesService</w:t>
            </w:r>
          </w:p>
        </w:tc>
        <w:tc>
          <w:tcPr>
            <w:tcW w:type="dxa" w:w="240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41,5 %</w:t>
            </w:r>
          </w:p>
        </w:tc>
        <w:tc>
          <w:tcPr>
            <w:tcW w:type="dxa" w:w="241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34,8 %</w:t>
            </w:r>
          </w:p>
        </w:tc>
      </w:tr>
      <w:tr>
        <w:tc>
          <w:tcPr>
            <w:tcW w:type="dxa" w:w="4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Projet complet</w:t>
            </w:r>
          </w:p>
        </w:tc>
        <w:tc>
          <w:tcPr>
            <w:tcW w:type="dxa" w:w="240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26,9 %</w:t>
            </w:r>
          </w:p>
        </w:tc>
        <w:tc>
          <w:tcPr>
            <w:tcW w:type="dxa" w:w="241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 couverture globale (26,9 %) est faible car nous n'avons testé, volontairement, que les modules critiques avec 3 cas par technique. Elle est élevée là où le risque est le plus fort (jetons et vote). Le rapport HTML complet est généré dans </w:t>
      </w:r>
      <w:r>
        <w:rPr>
          <w:rFonts w:ascii="Consolas" w:cs="Consolas" w:eastAsia="Consolas" w:hAnsi="Consolas"/>
          <w:sz w:val="19"/>
          <w:szCs w:val="19"/>
        </w:rPr>
        <w:t xml:space="preserve">target/site/jacoco/index.html</w:t>
      </w:r>
      <w:r>
        <w:t xml:space="preserve">.</w:t>
      </w:r>
    </w:p>
    <w:p>
      <w:pPr>
        <w:pStyle w:val="Heading1"/>
        <w:pageBreakBefore/>
      </w:pPr>
      <w:bookmarkStart w:name="_Toc23" w:id="23"/>
      <w:r>
        <w:t xml:space="preserve">7. Niveau unitaire — chatbot (fonctionnel et non fonctionnel)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1676"/>
        <w:gridCol w:w="2514"/>
        <w:gridCol w:w="2514"/>
        <w:gridCol w:w="1845"/>
      </w:tblGrid>
      <w:tr>
        <w:trPr>
          <w:tblHeader/>
        </w:trPr>
        <w:tc>
          <w:tcPr>
            <w:tcW w:type="dxa" w:w="108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16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Entrée</w:t>
            </w:r>
          </w:p>
        </w:tc>
        <w:tc>
          <w:tcPr>
            <w:tcW w:type="dxa" w:w="25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</w:t>
            </w:r>
          </w:p>
        </w:tc>
        <w:tc>
          <w:tcPr>
            <w:tcW w:type="dxa" w:w="184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Obtenu</w:t>
            </w:r>
          </w:p>
        </w:tc>
      </w:tr>
      <w:tr>
        <w:tc>
          <w:tcPr>
            <w:tcW w:type="dxa" w:w="108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UT-CB1</w:t>
            </w:r>
          </w:p>
        </w:tc>
        <w:tc>
          <w:tcPr>
            <w:tcW w:type="dxa" w:w="16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Fonctionnel</w:t>
            </w:r>
          </w:p>
        </w:tc>
        <w:tc>
          <w:tcPr>
            <w:tcW w:type="dxa" w:w="25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« Bonjour »</w:t>
            </w:r>
          </w:p>
        </w:tc>
        <w:tc>
          <w:tcPr>
            <w:tcW w:type="dxa" w:w="25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Message de bienvenue</w:t>
            </w:r>
          </w:p>
        </w:tc>
        <w:tc>
          <w:tcPr>
            <w:tcW w:type="dxa" w:w="184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08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UT-06</w:t>
            </w:r>
          </w:p>
        </w:tc>
        <w:tc>
          <w:tcPr>
            <w:tcW w:type="dxa" w:w="16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Non fonctionnel</w:t>
            </w:r>
          </w:p>
        </w:tc>
        <w:tc>
          <w:tcPr>
            <w:tcW w:type="dxa" w:w="25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« Comment voter ? »</w:t>
            </w:r>
          </w:p>
        </w:tc>
        <w:tc>
          <w:tcPr>
            <w:tcW w:type="dxa" w:w="25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Réponse en &lt; 50 ms (CDC §5.1)</w:t>
            </w:r>
          </w:p>
        </w:tc>
        <w:tc>
          <w:tcPr>
            <w:tcW w:type="dxa" w:w="184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 (&lt; 1 ms)</w:t>
            </w:r>
          </w:p>
        </w:tc>
      </w:tr>
      <w:tr>
        <w:tc>
          <w:tcPr>
            <w:tcW w:type="dxa" w:w="108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UT-CB3</w:t>
            </w:r>
          </w:p>
        </w:tc>
        <w:tc>
          <w:tcPr>
            <w:tcW w:type="dxa" w:w="16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Fonctionnel</w:t>
            </w:r>
          </w:p>
        </w:tc>
        <w:tc>
          <w:tcPr>
            <w:tcW w:type="dxa" w:w="25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« Comment devenir candidat ? »</w:t>
            </w:r>
          </w:p>
        </w:tc>
        <w:tc>
          <w:tcPr>
            <w:tcW w:type="dxa" w:w="25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Procédure de candidature</w:t>
            </w:r>
          </w:p>
        </w:tc>
        <w:tc>
          <w:tcPr>
            <w:tcW w:type="dxa" w:w="1845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91C1C"/>
                <w:sz w:val="18"/>
                <w:szCs w:val="18"/>
              </w:rPr>
              <w:t xml:space="preserve">✘ ÉCHEC → DEF-04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UT-CB3 utilise une question </w:t>
      </w:r>
      <w:r>
        <w:rPr>
          <w:b/>
          <w:bCs/>
        </w:rPr>
        <w:t xml:space="preserve">proposée par le chatbot lui-même</w:t>
      </w:r>
      <w:r>
        <w:t xml:space="preserve"> dans ses suggestions. Réponse obtenue : « Il n'y a pas d'élection en cours, donc pas de liste de candidats. » Cause : les règles sont évaluées dans l'ordre et la règle « candidat » est testée avant la règle « devenir candidat ».</w:t>
      </w:r>
    </w:p>
    <w:p>
      <w:pPr>
        <w:pStyle w:val="Heading1"/>
        <w:pageBreakBefore/>
      </w:pPr>
      <w:bookmarkStart w:name="_Toc24" w:id="24"/>
      <w:r>
        <w:t xml:space="preserve">8. Niveaux intégration et système</w:t>
      </w:r>
      <w:bookmarkEnd w:id="24"/>
    </w:p>
    <w:p>
      <w:pPr>
        <w:pStyle w:val="Heading2"/>
      </w:pPr>
      <w:bookmarkStart w:name="_Toc25" w:id="25"/>
      <w:r>
        <w:t xml:space="preserve">8.1 Tests d'intégration (API + sécurité + base)</w:t>
      </w:r>
      <w:bookmarkEnd w:id="25"/>
    </w:p>
    <w:p>
      <w:pPr>
        <w:spacing w:after="120"/>
      </w:pPr>
      <w:r>
        <w:t xml:space="preserve">L'application Spring démarre réellement (contrôleurs, filtre JWT, services, JPA) sur une base H2 en mémoire. Les requêtes passent par MockMvc comme de vraies requêtes HTTP.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"/>
        <w:gridCol w:w="2558"/>
        <w:gridCol w:w="4691"/>
        <w:gridCol w:w="1537"/>
      </w:tblGrid>
      <w:tr>
        <w:trPr>
          <w:tblHeader/>
        </w:trPr>
        <w:tc>
          <w:tcPr>
            <w:tcW w:type="dxa" w:w="8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5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469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Vérifications</w:t>
            </w:r>
          </w:p>
        </w:tc>
        <w:tc>
          <w:tcPr>
            <w:tcW w:type="dxa" w:w="15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Obtenu</w:t>
            </w:r>
          </w:p>
        </w:tc>
      </w:tr>
      <w:tr>
        <w:tc>
          <w:tcPr>
            <w:tcW w:type="dxa" w:w="8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IT-01</w:t>
            </w:r>
          </w:p>
        </w:tc>
        <w:tc>
          <w:tcPr>
            <w:tcW w:type="dxa" w:w="25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469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 201 ; compte STUDENT non vérifié ; mot de passe haché BCrypt ($2a$) ; email OTP à 6 chiffres envoyé</w:t>
            </w:r>
          </w:p>
        </w:tc>
        <w:tc>
          <w:tcPr>
            <w:tcW w:type="dxa" w:w="15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8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IT-09</w:t>
            </w:r>
          </w:p>
        </w:tc>
        <w:tc>
          <w:tcPr>
            <w:tcW w:type="dxa" w:w="25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 /api/admin/users</w:t>
            </w:r>
          </w:p>
        </w:tc>
        <w:tc>
          <w:tcPr>
            <w:tcW w:type="dxa" w:w="469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Sans jeton → 401 ; jeton STUDENT → 403</w:t>
            </w:r>
          </w:p>
        </w:tc>
        <w:tc>
          <w:tcPr>
            <w:tcW w:type="dxa" w:w="15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8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IT-04</w:t>
            </w:r>
          </w:p>
        </w:tc>
        <w:tc>
          <w:tcPr>
            <w:tcW w:type="dxa" w:w="255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 /api/elections/{id}/vote</w:t>
            </w:r>
          </w:p>
        </w:tc>
        <w:tc>
          <w:tcPr>
            <w:tcW w:type="dxa" w:w="469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 201, code 10 car. ; pas de colonne user_id ; aucune jointure ne relie un électeur à son vote</w:t>
            </w:r>
          </w:p>
        </w:tc>
        <w:tc>
          <w:tcPr>
            <w:tcW w:type="dxa" w:w="15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91C1C"/>
                <w:sz w:val="18"/>
                <w:szCs w:val="18"/>
              </w:rPr>
              <w:t xml:space="preserve">✘ ÉCHEC → DEF-00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6" w:id="26"/>
      <w:r>
        <w:t xml:space="preserve">8.2 Le défaut critique DEF-00 : l'anonymat</w:t>
      </w:r>
      <w:bookmarkEnd w:id="26"/>
    </w:p>
    <w:p>
      <w:pPr>
        <w:spacing w:after="120"/>
      </w:pPr>
      <w:r>
        <w:t xml:space="preserve">Le plan de test initial vérifiait seulement l'</w:t>
      </w:r>
      <w:r>
        <w:rPr>
          <w:b/>
          <w:bCs/>
        </w:rPr>
        <w:t xml:space="preserve">absence de la colonne user_id</w:t>
      </w:r>
      <w:r>
        <w:t xml:space="preserve"> dans la table </w:t>
      </w:r>
      <w:r>
        <w:rPr>
          <w:rFonts w:ascii="Consolas" w:cs="Consolas" w:eastAsia="Consolas" w:hAnsi="Consolas"/>
          <w:sz w:val="19"/>
          <w:szCs w:val="19"/>
        </w:rPr>
        <w:t xml:space="preserve">votes</w:t>
      </w:r>
      <w:r>
        <w:t xml:space="preserve">. Ce test passe… mais il est </w:t>
      </w:r>
      <w:r>
        <w:rPr>
          <w:b/>
          <w:bCs/>
        </w:rPr>
        <w:t xml:space="preserve">insuffisant</w:t>
      </w:r>
      <w:r>
        <w:t xml:space="preserve">. Le CDC (§4.4.2) exige qu'« aucune requête SQL ne puisse établir de lien entre un utilisateur et son vote ». Or le vote stocke le même </w:t>
      </w:r>
      <w:r>
        <w:rPr>
          <w:rFonts w:ascii="Consolas" w:cs="Consolas" w:eastAsia="Consolas" w:hAnsi="Consolas"/>
          <w:sz w:val="19"/>
          <w:szCs w:val="19"/>
        </w:rPr>
        <w:t xml:space="preserve">token_hash</w:t>
      </w:r>
      <w:r>
        <w:t xml:space="preserve"> que la table </w:t>
      </w:r>
      <w:r>
        <w:rPr>
          <w:rFonts w:ascii="Consolas" w:cs="Consolas" w:eastAsia="Consolas" w:hAnsi="Consolas"/>
          <w:sz w:val="19"/>
          <w:szCs w:val="19"/>
        </w:rPr>
        <w:t xml:space="preserve">vote_tokens</w:t>
      </w:r>
      <w:r>
        <w:t xml:space="preserve">, qui contient </w:t>
      </w:r>
      <w:r>
        <w:rPr>
          <w:rFonts w:ascii="Consolas" w:cs="Consolas" w:eastAsia="Consolas" w:hAnsi="Consolas"/>
          <w:sz w:val="19"/>
          <w:szCs w:val="19"/>
        </w:rPr>
        <w:t xml:space="preserve">user_id</w:t>
      </w:r>
      <w:r>
        <w:t xml:space="preserve">. Sur la vraie base MariaDB :</w:t>
      </w:r>
    </w:p>
    <w:p>
      <w:pPr>
        <w:shd w:fill="F1F2F6" w:color="auto" w:val="clear"/>
        <w:spacing w:after="0" w:before="80" w:line="240"/>
      </w:pPr>
      <w:r>
        <w:rPr>
          <w:rFonts w:ascii="Consolas" w:cs="Consolas" w:eastAsia="Consolas" w:hAnsi="Consolas"/>
          <w:sz w:val="17"/>
          <w:szCs w:val="17"/>
        </w:rPr>
        <w:t xml:space="preserve">SELECT u.email AS electeur, cu.full_name AS a_vote_pour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votes v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JOIN vote_tokens t ON t.token_hash = v.token_hash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JOIN users u      ON u.id = t.user_id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JOIN candidates c ON c.id = v.candidate_id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JOIN users cu     ON cu.id = c.user_id;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F2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electeur         a_vote_pour</w:t>
      </w:r>
    </w:p>
    <w:p>
      <w:pPr>
        <w:shd w:fill="F1F2F6" w:color="auto" w:val="clear"/>
        <w:spacing w:after="160" w:line="240"/>
      </w:pPr>
      <w:r>
        <w:rPr>
          <w:rFonts w:ascii="Consolas" w:cs="Consolas" w:eastAsia="Consolas" w:hAnsi="Consolas"/>
          <w:sz w:val="17"/>
          <w:szCs w:val="17"/>
        </w:rPr>
        <w:t xml:space="preserve">talel@test.com   Achref Ben Ali</w:t>
      </w:r>
    </w:p>
    <w:p>
      <w:pPr>
        <w:spacing w:after="120"/>
      </w:pPr>
      <w:r>
        <w:t xml:space="preserve">N'importe quel administrateur ayant accès à la base sait donc pour qui chaque étudiant a voté. </w:t>
      </w:r>
      <w:r>
        <w:rPr>
          <w:b/>
          <w:bCs/>
        </w:rPr>
        <w:t xml:space="preserve">Leçon</w:t>
      </w:r>
      <w:r>
        <w:t xml:space="preserve"> : un test doit vérifier l'exigence, pas sa mise en œuvre supposée. Nous avons renforcé IT-04 avec cette jointure, et il échoue désormais comme il le doit.</w:t>
      </w:r>
    </w:p>
    <w:p>
      <w:pPr>
        <w:spacing w:after="120"/>
      </w:pPr>
      <w:r>
        <w:rPr>
          <w:b/>
          <w:bCs/>
        </w:rPr>
        <w:t xml:space="preserve">Piste de correction</w:t>
      </w:r>
      <w:r>
        <w:t xml:space="preserve"> : ne stocker dans </w:t>
      </w:r>
      <w:r>
        <w:rPr>
          <w:rFonts w:ascii="Consolas" w:cs="Consolas" w:eastAsia="Consolas" w:hAnsi="Consolas"/>
          <w:sz w:val="19"/>
          <w:szCs w:val="19"/>
        </w:rPr>
        <w:t xml:space="preserve">votes</w:t>
      </w:r>
      <w:r>
        <w:t xml:space="preserve"> qu'une valeur non reliable au jeton (par exemple un hash du jeton combiné à un sel secret différent, ou aucune référence au jeton), et ne conserver dans </w:t>
      </w:r>
      <w:r>
        <w:rPr>
          <w:rFonts w:ascii="Consolas" w:cs="Consolas" w:eastAsia="Consolas" w:hAnsi="Consolas"/>
          <w:sz w:val="19"/>
          <w:szCs w:val="19"/>
        </w:rPr>
        <w:t xml:space="preserve">vote_tokens</w:t>
      </w:r>
      <w:r>
        <w:t xml:space="preserve"> que l'indicateur </w:t>
      </w:r>
      <w:r>
        <w:rPr>
          <w:rFonts w:ascii="Consolas" w:cs="Consolas" w:eastAsia="Consolas" w:hAnsi="Consolas"/>
          <w:sz w:val="19"/>
          <w:szCs w:val="19"/>
        </w:rPr>
        <w:t xml:space="preserve">used</w:t>
      </w:r>
      <w:r>
        <w:t xml:space="preserve">.</w:t>
      </w:r>
    </w:p>
    <w:p>
      <w:pPr>
        <w:pStyle w:val="Heading2"/>
      </w:pPr>
      <w:bookmarkStart w:name="_Toc27" w:id="27"/>
      <w:r>
        <w:t xml:space="preserve">8.3 Tests système automatisés (E2E)</w:t>
      </w:r>
      <w:bookmarkEnd w:id="27"/>
    </w:p>
    <w:p>
      <w:pPr>
        <w:spacing w:after="120"/>
      </w:pPr>
      <w:r>
        <w:t xml:space="preserve">Le script </w:t>
      </w:r>
      <w:r>
        <w:rPr>
          <w:rFonts w:ascii="Consolas" w:cs="Consolas" w:eastAsia="Consolas" w:hAnsi="Consolas"/>
          <w:sz w:val="19"/>
          <w:szCs w:val="19"/>
        </w:rPr>
        <w:t xml:space="preserve">tests/system-tests.mjs</w:t>
      </w:r>
      <w:r>
        <w:t xml:space="preserve"> pilote l'application complète (backend + MariaDB) comme le ferait l'interface. Il joue le scénario de démonstration du CDC §7.3 et le cas d'utilisation UC-03.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2"/>
        <w:gridCol w:w="6819"/>
        <w:gridCol w:w="1637"/>
      </w:tblGrid>
      <w:tr>
        <w:trPr>
          <w:tblHeader/>
        </w:trPr>
        <w:tc>
          <w:tcPr>
            <w:tcW w:type="dxa" w:w="1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6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Vérification</w:t>
            </w:r>
          </w:p>
        </w:tc>
        <w:tc>
          <w:tcPr>
            <w:tcW w:type="dxa" w:w="16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Obtenu</w:t>
            </w:r>
          </w:p>
        </w:tc>
      </w:tr>
      <w:tr>
        <w:tc>
          <w:tcPr>
            <w:tcW w:type="dxa" w:w="1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ST-01.1</w:t>
            </w:r>
          </w:p>
        </w:tc>
        <w:tc>
          <w:tcPr>
            <w:tcW w:type="dxa" w:w="6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L'admin crée une élection (DRAFT)</w:t>
            </w:r>
          </w:p>
        </w:tc>
        <w:tc>
          <w:tcPr>
            <w:tcW w:type="dxa" w:w="16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ST-01.2</w:t>
            </w:r>
          </w:p>
        </w:tc>
        <w:tc>
          <w:tcPr>
            <w:tcW w:type="dxa" w:w="6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Ouverture de la campagne</w:t>
            </w:r>
          </w:p>
        </w:tc>
        <w:tc>
          <w:tcPr>
            <w:tcW w:type="dxa" w:w="16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ST-01.3</w:t>
            </w:r>
          </w:p>
        </w:tc>
        <w:tc>
          <w:tcPr>
            <w:tcW w:type="dxa" w:w="6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étudiant postule (PENDING)</w:t>
            </w:r>
          </w:p>
        </w:tc>
        <w:tc>
          <w:tcPr>
            <w:tcW w:type="dxa" w:w="16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ST-01.4</w:t>
            </w:r>
          </w:p>
        </w:tc>
        <w:tc>
          <w:tcPr>
            <w:tcW w:type="dxa" w:w="6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L'admin valide la candidature</w:t>
            </w:r>
          </w:p>
        </w:tc>
        <w:tc>
          <w:tcPr>
            <w:tcW w:type="dxa" w:w="16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ST-01.5</w:t>
            </w:r>
          </w:p>
        </w:tc>
        <w:tc>
          <w:tcPr>
            <w:tcW w:type="dxa" w:w="6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Ouverture du vote + génération des jetons</w:t>
            </w:r>
          </w:p>
        </w:tc>
        <w:tc>
          <w:tcPr>
            <w:tcW w:type="dxa" w:w="16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ST-01.6</w:t>
            </w:r>
          </w:p>
        </w:tc>
        <w:tc>
          <w:tcPr>
            <w:tcW w:type="dxa" w:w="6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L'étudiant vote → code de confirmation (ex. UNVEB634QL)</w:t>
            </w:r>
          </w:p>
        </w:tc>
        <w:tc>
          <w:tcPr>
            <w:tcW w:type="dxa" w:w="16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ST-02</w:t>
            </w:r>
          </w:p>
        </w:tc>
        <w:tc>
          <w:tcPr>
            <w:tcW w:type="dxa" w:w="6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 2ᵉ vote est refusé avec un message clair</w:t>
            </w:r>
          </w:p>
        </w:tc>
        <w:tc>
          <w:tcPr>
            <w:tcW w:type="dxa" w:w="16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ST-03.1</w:t>
            </w:r>
          </w:p>
        </w:tc>
        <w:tc>
          <w:tcPr>
            <w:tcW w:type="dxa" w:w="6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Pendant le vote, l'étudiant ne voit pas les résultats détaillés</w:t>
            </w:r>
          </w:p>
        </w:tc>
        <w:tc>
          <w:tcPr>
            <w:tcW w:type="dxa" w:w="16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ST-03.2</w:t>
            </w:r>
          </w:p>
        </w:tc>
        <w:tc>
          <w:tcPr>
            <w:tcW w:type="dxa" w:w="6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Pendant le vote, l'étudiant voit la participation</w:t>
            </w:r>
          </w:p>
        </w:tc>
        <w:tc>
          <w:tcPr>
            <w:tcW w:type="dxa" w:w="16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ST-03.3</w:t>
            </w:r>
          </w:p>
        </w:tc>
        <w:tc>
          <w:tcPr>
            <w:tcW w:type="dxa" w:w="6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Après clôture, résultats détaillés publiés (rang 1 = 100 %)</w:t>
            </w:r>
          </w:p>
        </w:tc>
        <w:tc>
          <w:tcPr>
            <w:tcW w:type="dxa" w:w="16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ST-05</w:t>
            </w:r>
          </w:p>
        </w:tc>
        <w:tc>
          <w:tcPr>
            <w:tcW w:type="dxa" w:w="6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 du rapport PDF officiel (%PDF)</w:t>
            </w:r>
          </w:p>
        </w:tc>
        <w:tc>
          <w:tcPr>
            <w:tcW w:type="dxa" w:w="16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  <w:tr>
        <w:tc>
          <w:tcPr>
            <w:tcW w:type="dxa" w:w="118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ST-NF</w:t>
            </w:r>
          </w:p>
        </w:tc>
        <w:tc>
          <w:tcPr>
            <w:tcW w:type="dxa" w:w="6819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 /elections : 61,1 ms en moyenne sur 20 appels (&lt; 200 ms)</w:t>
            </w:r>
          </w:p>
        </w:tc>
        <w:tc>
          <w:tcPr>
            <w:tcW w:type="dxa" w:w="163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✔ Réussi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28" w:id="28"/>
      <w:r>
        <w:t xml:space="preserve">9. Tests exploratoires</w:t>
      </w:r>
      <w:bookmarkEnd w:id="28"/>
    </w:p>
    <w:p>
      <w:pPr>
        <w:spacing w:after="120"/>
      </w:pPr>
      <w:r>
        <w:t xml:space="preserve">Guidés par les constats de la revue technique, nous avons vérifié trois règles du CDC directement sur l'application en fonctionnement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066"/>
        <w:gridCol w:w="3066"/>
        <w:gridCol w:w="2630"/>
      </w:tblGrid>
      <w:tr>
        <w:trPr>
          <w:tblHeader/>
        </w:trPr>
        <w:tc>
          <w:tcPr>
            <w:tcW w:type="dxa" w:w="8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306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6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 (CDC)</w:t>
            </w:r>
          </w:p>
        </w:tc>
        <w:tc>
          <w:tcPr>
            <w:tcW w:type="dxa" w:w="263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Obtenu</w:t>
            </w:r>
          </w:p>
        </w:tc>
      </w:tr>
      <w:tr>
        <w:tc>
          <w:tcPr>
            <w:tcW w:type="dxa" w:w="8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EX-1</w:t>
            </w:r>
          </w:p>
        </w:tc>
        <w:tc>
          <w:tcPr>
            <w:tcW w:type="dxa" w:w="306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Postuler à une élection en DRAFT</w:t>
            </w:r>
          </w:p>
        </w:tc>
        <w:tc>
          <w:tcPr>
            <w:tcW w:type="dxa" w:w="306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Refus (§3.1.2 : CAMPAIGN_ACTIVE)</w:t>
            </w:r>
          </w:p>
        </w:tc>
        <w:tc>
          <w:tcPr>
            <w:tcW w:type="dxa" w:w="263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91C1C"/>
                <w:sz w:val="18"/>
                <w:szCs w:val="18"/>
              </w:rPr>
              <w:t xml:space="preserve">✘ HTTP 201 → DEF-03</w:t>
            </w:r>
          </w:p>
        </w:tc>
      </w:tr>
      <w:tr>
        <w:tc>
          <w:tcPr>
            <w:tcW w:type="dxa" w:w="8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EX-2</w:t>
            </w:r>
          </w:p>
        </w:tc>
        <w:tc>
          <w:tcPr>
            <w:tcW w:type="dxa" w:w="306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Lire /api/auth/me avec une candidature PENDING</w:t>
            </w:r>
          </w:p>
        </w:tc>
        <w:tc>
          <w:tcPr>
            <w:tcW w:type="dxa" w:w="306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Rôle STUDENT</w:t>
            </w:r>
          </w:p>
        </w:tc>
        <w:tc>
          <w:tcPr>
            <w:tcW w:type="dxa" w:w="263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91C1C"/>
                <w:sz w:val="18"/>
                <w:szCs w:val="18"/>
              </w:rPr>
              <w:t xml:space="preserve">✘ CANDIDATE → DEF-02</w:t>
            </w:r>
          </w:p>
        </w:tc>
      </w:tr>
      <w:tr>
        <w:tc>
          <w:tcPr>
            <w:tcW w:type="dxa" w:w="8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EX-3</w:t>
            </w:r>
          </w:p>
        </w:tc>
        <w:tc>
          <w:tcPr>
            <w:tcW w:type="dxa" w:w="306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Voter avec le compte administrateur</w:t>
            </w:r>
          </w:p>
        </w:tc>
        <w:tc>
          <w:tcPr>
            <w:tcW w:type="dxa" w:w="306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Refus (§6.1 « Ne vote pas »)</w:t>
            </w:r>
          </w:p>
        </w:tc>
        <w:tc>
          <w:tcPr>
            <w:tcW w:type="dxa" w:w="2630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91C1C"/>
                <w:sz w:val="18"/>
                <w:szCs w:val="18"/>
              </w:rPr>
              <w:t xml:space="preserve">✘ Vote enregistré → DEF-05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29" w:id="29"/>
      <w:r>
        <w:t xml:space="preserve">10. Niveau acceptation (UAT)</w:t>
      </w:r>
      <w:bookmarkEnd w:id="29"/>
    </w:p>
    <w:p>
      <w:pPr>
        <w:spacing w:after="120"/>
      </w:pPr>
      <w:r>
        <w:t xml:space="preserve">Les tests d'acceptation sont exécutés </w:t>
      </w:r>
      <w:r>
        <w:rPr>
          <w:b/>
          <w:bCs/>
        </w:rPr>
        <w:t xml:space="preserve">manuellement</w:t>
      </w:r>
      <w:r>
        <w:t xml:space="preserve"> par l'équipe dans le navigateur, chaque membre jouant un rôle. Ils évaluent la conformité au besoin métier et la facilité d'utilisation (note de 1 à 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1661"/>
        <w:gridCol w:w="2908"/>
        <w:gridCol w:w="2908"/>
        <w:gridCol w:w="1248"/>
      </w:tblGrid>
      <w:tr>
        <w:trPr>
          <w:tblHeader/>
        </w:trPr>
        <w:tc>
          <w:tcPr>
            <w:tcW w:type="dxa" w:w="91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166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 / testeur</w:t>
            </w:r>
          </w:p>
        </w:tc>
        <w:tc>
          <w:tcPr>
            <w:tcW w:type="dxa" w:w="290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290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Critère d'acceptation</w:t>
            </w:r>
          </w:p>
        </w:tc>
        <w:tc>
          <w:tcPr>
            <w:tcW w:type="dxa" w:w="124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1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UAT-01</w:t>
            </w:r>
          </w:p>
        </w:tc>
        <w:tc>
          <w:tcPr>
            <w:tcW w:type="dxa" w:w="166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Étudiant — Rawen</w:t>
            </w:r>
          </w:p>
        </w:tc>
        <w:tc>
          <w:tcPr>
            <w:tcW w:type="dxa" w:w="290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Connexion → élection → programme → voter (case « Je comprends que mon vote est définitif »)</w:t>
            </w:r>
          </w:p>
        </w:tc>
        <w:tc>
          <w:tcPr>
            <w:tcW w:type="dxa" w:w="290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Code de 10 caractères ; bouton Voter désactivé ensuite ; résultats masqués avant clôture</w:t>
            </w:r>
          </w:p>
        </w:tc>
        <w:tc>
          <w:tcPr>
            <w:tcW w:type="dxa" w:w="124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À exécuter</w:t>
            </w:r>
          </w:p>
        </w:tc>
      </w:tr>
      <w:tr>
        <w:tc>
          <w:tcPr>
            <w:tcW w:type="dxa" w:w="91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UAT-02</w:t>
            </w:r>
          </w:p>
        </w:tc>
        <w:tc>
          <w:tcPr>
            <w:tcW w:type="dxa" w:w="166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Candidat — Issra</w:t>
            </w:r>
          </w:p>
        </w:tc>
        <w:tc>
          <w:tcPr>
            <w:tcW w:type="dxa" w:w="290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 campagne → modifier programme → annonce → répondre à une question</w:t>
            </w:r>
          </w:p>
        </w:tc>
        <w:tc>
          <w:tcPr>
            <w:tcW w:type="dxa" w:w="290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Annonce visible sur le profil ; notification reçue par l'auteur</w:t>
            </w:r>
          </w:p>
        </w:tc>
        <w:tc>
          <w:tcPr>
            <w:tcW w:type="dxa" w:w="124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À exécuter</w:t>
            </w:r>
          </w:p>
        </w:tc>
      </w:tr>
      <w:tr>
        <w:tc>
          <w:tcPr>
            <w:tcW w:type="dxa" w:w="91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UAT-03</w:t>
            </w:r>
          </w:p>
        </w:tc>
        <w:tc>
          <w:tcPr>
            <w:tcW w:type="dxa" w:w="1661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Admin — Talel</w:t>
            </w:r>
          </w:p>
        </w:tc>
        <w:tc>
          <w:tcPr>
            <w:tcW w:type="dxa" w:w="290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Créer élection → campagne → valider → vote → clôture → PDF</w:t>
            </w:r>
          </w:p>
        </w:tc>
        <w:tc>
          <w:tcPr>
            <w:tcW w:type="dxa" w:w="290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Parcours compris sans aide ; PDF complet</w:t>
            </w:r>
          </w:p>
        </w:tc>
        <w:tc>
          <w:tcPr>
            <w:tcW w:type="dxa" w:w="1248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À exécuter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Les résultats (OK/KO, note, remarques) sont à saisir dans Kiwi TCMS dans le plan « Acceptation ».</w:t>
      </w:r>
    </w:p>
    <w:p>
      <w:pPr>
        <w:pStyle w:val="Heading1"/>
        <w:pageBreakBefore/>
      </w:pPr>
      <w:bookmarkStart w:name="_Toc30" w:id="30"/>
      <w:r>
        <w:t xml:space="preserve">11. Bilan d'exécution</w:t>
      </w:r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1676"/>
        <w:gridCol w:w="1257"/>
        <w:gridCol w:w="1257"/>
        <w:gridCol w:w="2096"/>
      </w:tblGrid>
      <w:tr>
        <w:trPr>
          <w:tblHeader/>
        </w:trPr>
        <w:tc>
          <w:tcPr>
            <w:tcW w:type="dxa" w:w="3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Famille</w:t>
            </w:r>
          </w:p>
        </w:tc>
        <w:tc>
          <w:tcPr>
            <w:tcW w:type="dxa" w:w="16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Exécutés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Réussis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Échecs</w:t>
            </w:r>
          </w:p>
        </w:tc>
        <w:tc>
          <w:tcPr>
            <w:tcW w:type="dxa" w:w="209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</w:tr>
      <w:tr>
        <w:tc>
          <w:tcPr>
            <w:tcW w:type="dxa" w:w="3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Boîte noire (JUnit)</w:t>
            </w:r>
          </w:p>
        </w:tc>
        <w:tc>
          <w:tcPr>
            <w:tcW w:type="dxa" w:w="16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9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Automatisé</w:t>
            </w:r>
          </w:p>
        </w:tc>
      </w:tr>
      <w:tr>
        <w:tc>
          <w:tcPr>
            <w:tcW w:type="dxa" w:w="3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Boîte blanche (JUnit)</w:t>
            </w:r>
          </w:p>
        </w:tc>
        <w:tc>
          <w:tcPr>
            <w:tcW w:type="dxa" w:w="16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09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Automatisé</w:t>
            </w:r>
          </w:p>
        </w:tc>
      </w:tr>
      <w:tr>
        <w:tc>
          <w:tcPr>
            <w:tcW w:type="dxa" w:w="3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Unitaire chatbot (JUnit)</w:t>
            </w:r>
          </w:p>
        </w:tc>
        <w:tc>
          <w:tcPr>
            <w:tcW w:type="dxa" w:w="16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9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Automatisé</w:t>
            </w:r>
          </w:p>
        </w:tc>
      </w:tr>
      <w:tr>
        <w:tc>
          <w:tcPr>
            <w:tcW w:type="dxa" w:w="3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Intégration (JUnit)</w:t>
            </w:r>
          </w:p>
        </w:tc>
        <w:tc>
          <w:tcPr>
            <w:tcW w:type="dxa" w:w="16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9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Automatisé</w:t>
            </w:r>
          </w:p>
        </w:tc>
      </w:tr>
      <w:tr>
        <w:tc>
          <w:tcPr>
            <w:tcW w:type="dxa" w:w="3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Système E2E (vérifications)</w:t>
            </w:r>
          </w:p>
        </w:tc>
        <w:tc>
          <w:tcPr>
            <w:tcW w:type="dxa" w:w="16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09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Automatisé</w:t>
            </w:r>
          </w:p>
        </w:tc>
      </w:tr>
      <w:tr>
        <w:tc>
          <w:tcPr>
            <w:tcW w:type="dxa" w:w="3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Exploratoires</w:t>
            </w:r>
          </w:p>
        </w:tc>
        <w:tc>
          <w:tcPr>
            <w:tcW w:type="dxa" w:w="16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9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Manuel</w:t>
            </w:r>
          </w:p>
        </w:tc>
      </w:tr>
      <w:tr>
        <w:tc>
          <w:tcPr>
            <w:tcW w:type="dxa" w:w="3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SQL anonymat</w:t>
            </w:r>
          </w:p>
        </w:tc>
        <w:tc>
          <w:tcPr>
            <w:tcW w:type="dxa" w:w="16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9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Manuel</w:t>
            </w:r>
          </w:p>
        </w:tc>
      </w:tr>
      <w:tr>
        <w:tc>
          <w:tcPr>
            <w:tcW w:type="dxa" w:w="3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Revue + analyse statique</w:t>
            </w:r>
          </w:p>
        </w:tc>
        <w:tc>
          <w:tcPr>
            <w:tcW w:type="dxa" w:w="16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points + 3 outils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défauts</w:t>
            </w:r>
          </w:p>
        </w:tc>
        <w:tc>
          <w:tcPr>
            <w:tcW w:type="dxa" w:w="209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Manuel + outillé</w:t>
            </w:r>
          </w:p>
        </w:tc>
      </w:tr>
      <w:tr>
        <w:tc>
          <w:tcPr>
            <w:tcW w:type="dxa" w:w="3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Acceptation</w:t>
            </w:r>
          </w:p>
        </w:tc>
        <w:tc>
          <w:tcPr>
            <w:tcW w:type="dxa" w:w="167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5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96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Manuel, à exécuter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1" w:id="31"/>
      <w:r>
        <w:t xml:space="preserve">11.1 Fiches de défauts</w:t>
      </w:r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1352"/>
        <w:gridCol w:w="4227"/>
        <w:gridCol w:w="1352"/>
        <w:gridCol w:w="1693"/>
      </w:tblGrid>
      <w:tr>
        <w:trPr>
          <w:tblHeader/>
        </w:trPr>
        <w:tc>
          <w:tcPr>
            <w:tcW w:type="dxa" w:w="10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422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169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Détecté par</w:t>
            </w:r>
          </w:p>
        </w:tc>
      </w:tr>
      <w:tr>
        <w:tc>
          <w:tcPr>
            <w:tcW w:type="dxa" w:w="10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DEF-00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91C1C"/>
                <w:sz w:val="18"/>
                <w:szCs w:val="18"/>
              </w:rPr>
              <w:t xml:space="preserve">Critique</w:t>
            </w:r>
          </w:p>
        </w:tc>
        <w:tc>
          <w:tcPr>
            <w:tcW w:type="dxa" w:w="422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 vote est ré-identifiable par jointure sur token_hash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CDC §4.4.2</w:t>
            </w:r>
          </w:p>
        </w:tc>
        <w:tc>
          <w:tcPr>
            <w:tcW w:type="dxa" w:w="169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IT-04 + SQL</w:t>
            </w:r>
          </w:p>
        </w:tc>
      </w:tr>
      <w:tr>
        <w:tc>
          <w:tcPr>
            <w:tcW w:type="dxa" w:w="10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DEF-05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Majeure</w:t>
            </w:r>
          </w:p>
        </w:tc>
        <w:tc>
          <w:tcPr>
            <w:tcW w:type="dxa" w:w="422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L'administrateur peut voter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CDC §6.1</w:t>
            </w:r>
          </w:p>
        </w:tc>
        <w:tc>
          <w:tcPr>
            <w:tcW w:type="dxa" w:w="169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Revue + EX-3</w:t>
            </w:r>
          </w:p>
        </w:tc>
      </w:tr>
      <w:tr>
        <w:tc>
          <w:tcPr>
            <w:tcW w:type="dxa" w:w="10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DEF-06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Majeure</w:t>
            </w:r>
          </w:p>
        </w:tc>
        <w:tc>
          <w:tcPr>
            <w:tcW w:type="dxa" w:w="422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Access token JWT valide 24 h au lieu de 1 h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CDC §4.4.1</w:t>
            </w:r>
          </w:p>
        </w:tc>
        <w:tc>
          <w:tcPr>
            <w:tcW w:type="dxa" w:w="169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Revue</w:t>
            </w:r>
          </w:p>
        </w:tc>
      </w:tr>
      <w:tr>
        <w:tc>
          <w:tcPr>
            <w:tcW w:type="dxa" w:w="10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DEF-02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Majeure</w:t>
            </w:r>
          </w:p>
        </w:tc>
        <w:tc>
          <w:tcPr>
            <w:tcW w:type="dxa" w:w="422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Rôle CANDIDATE attribué avant validation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CDC §3.1.2</w:t>
            </w:r>
          </w:p>
        </w:tc>
        <w:tc>
          <w:tcPr>
            <w:tcW w:type="dxa" w:w="169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Revue + EX-2</w:t>
            </w:r>
          </w:p>
        </w:tc>
      </w:tr>
      <w:tr>
        <w:tc>
          <w:tcPr>
            <w:tcW w:type="dxa" w:w="10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DEF-03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Majeure</w:t>
            </w:r>
          </w:p>
        </w:tc>
        <w:tc>
          <w:tcPr>
            <w:tcW w:type="dxa" w:w="422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Candidature acceptée sur une élection DRAFT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CDC §3.1.2</w:t>
            </w:r>
          </w:p>
        </w:tc>
        <w:tc>
          <w:tcPr>
            <w:tcW w:type="dxa" w:w="169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Revue + EX-1</w:t>
            </w:r>
          </w:p>
        </w:tc>
      </w:tr>
      <w:tr>
        <w:tc>
          <w:tcPr>
            <w:tcW w:type="dxa" w:w="10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DEF-01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Mineure</w:t>
            </w:r>
          </w:p>
        </w:tc>
        <w:tc>
          <w:tcPr>
            <w:tcW w:type="dxa" w:w="422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Photo de 5 Mo exactement rejetée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CDC §3.1.2</w:t>
            </w:r>
          </w:p>
        </w:tc>
        <w:tc>
          <w:tcPr>
            <w:tcW w:type="dxa" w:w="169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VL-03</w:t>
            </w:r>
          </w:p>
        </w:tc>
      </w:tr>
      <w:tr>
        <w:tc>
          <w:tcPr>
            <w:tcW w:type="dxa" w:w="10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DEF-04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Mineure</w:t>
            </w:r>
          </w:p>
        </w:tc>
        <w:tc>
          <w:tcPr>
            <w:tcW w:type="dxa" w:w="422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Mauvaise réponse à « Comment devenir candidat ? »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CDC §3.3.1</w:t>
            </w:r>
          </w:p>
        </w:tc>
        <w:tc>
          <w:tcPr>
            <w:tcW w:type="dxa" w:w="169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UT-CB3</w:t>
            </w:r>
          </w:p>
        </w:tc>
      </w:tr>
      <w:tr>
        <w:tc>
          <w:tcPr>
            <w:tcW w:type="dxa" w:w="1014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DEF-07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Mineure (latent)</w:t>
            </w:r>
          </w:p>
        </w:tc>
        <w:tc>
          <w:tcPr>
            <w:tcW w:type="dxa" w:w="4227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Hooks React après un return conditionnel</w:t>
            </w:r>
          </w:p>
        </w:tc>
        <w:tc>
          <w:tcPr>
            <w:tcW w:type="dxa" w:w="1352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CDC §5.3</w:t>
            </w:r>
          </w:p>
        </w:tc>
        <w:tc>
          <w:tcPr>
            <w:tcW w:type="dxa" w:w="1693"/>
            <w:tcBorders>
              <w:top w:val="single" w:color="C7CAD6" w:sz="4"/>
              <w:left w:val="single" w:color="C7CAD6" w:sz="4"/>
              <w:bottom w:val="single" w:color="C7CAD6" w:sz="4"/>
              <w:right w:val="single" w:color="C7CAD6" w:sz="4"/>
            </w:tcBorders>
            <w:shd w:fill="F8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ESLint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Chaque défaut est saisi dans Kiwi TCMS comme *Bug* et lié au cas de test qui l'a révélé.</w:t>
      </w:r>
    </w:p>
    <w:p>
      <w:pPr>
        <w:pStyle w:val="Heading2"/>
      </w:pPr>
      <w:bookmarkStart w:name="_Toc32" w:id="32"/>
      <w:r>
        <w:t xml:space="preserve">11.2 Tests de régression et de maintenance</w:t>
      </w:r>
      <w:bookmarkEnd w:id="32"/>
    </w:p>
    <w:p>
      <w:pPr>
        <w:spacing w:after="120"/>
      </w:pPr>
      <w:r>
        <w:t xml:space="preserve">La suite est </w:t>
      </w:r>
      <w:r>
        <w:rPr>
          <w:b/>
          <w:bCs/>
        </w:rPr>
        <w:t xml:space="preserve">entièrement rejouable</w:t>
      </w:r>
      <w: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.\tests\lancer-tests.ps1</w:t>
      </w:r>
      <w:r>
        <w:t xml:space="preserve"> (JUnit + couverture, sans base) puis </w:t>
      </w:r>
      <w:r>
        <w:rPr>
          <w:rFonts w:ascii="Consolas" w:cs="Consolas" w:eastAsia="Consolas" w:hAnsi="Consolas"/>
          <w:sz w:val="19"/>
          <w:szCs w:val="19"/>
        </w:rPr>
        <w:t xml:space="preserve">node tests/system-tests.mjs</w:t>
      </w:r>
      <w:r>
        <w:t xml:space="preserve"> (E2E). Après correction d'un défaut, le test qui échouait doit passer (</w:t>
      </w:r>
      <w:r>
        <w:rPr>
          <w:b/>
          <w:bCs/>
        </w:rPr>
        <w:t xml:space="preserve">test de confirmation</w:t>
      </w:r>
      <w:r>
        <w:t xml:space="preserve">) et tous les autres doivent rester verts (</w:t>
      </w:r>
      <w:r>
        <w:rPr>
          <w:b/>
          <w:bCs/>
        </w:rPr>
        <w:t xml:space="preserve">test de non-régression</w:t>
      </w:r>
      <w:r>
        <w:t xml:space="preserve">). Le renforcement d'IT-04 illustre aussi la </w:t>
      </w:r>
      <w:r>
        <w:rPr>
          <w:b/>
          <w:bCs/>
        </w:rPr>
        <w:t xml:space="preserve">maintenance des tests</w:t>
      </w:r>
      <w:r>
        <w:t xml:space="preserve"> : un test insuffisant a été corrigé quand l'analyse a montré qu'il ne vérifiait pas réellement l'exigence.</w:t>
      </w:r>
    </w:p>
    <w:p>
      <w:pPr>
        <w:pStyle w:val="Heading1"/>
        <w:pageBreakBefore/>
      </w:pPr>
      <w:bookmarkStart w:name="_Toc33" w:id="33"/>
      <w:r>
        <w:t xml:space="preserve">12. Conclusion</w:t>
      </w:r>
      <w:bookmarkEnd w:id="33"/>
    </w:p>
    <w:p>
      <w:pPr>
        <w:spacing w:after="120"/>
      </w:pPr>
      <w:r>
        <w:t xml:space="preserve">Cette campagne montre que les techniques sont </w:t>
      </w:r>
      <w:r>
        <w:rPr>
          <w:b/>
          <w:bCs/>
        </w:rPr>
        <w:t xml:space="preserve">complémentaires</w:t>
      </w:r>
      <w:r>
        <w:t xml:space="preserve"> : aucune n'aurait trouvé seule les 8 défauts.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</w:t>
      </w:r>
      <w:r>
        <w:rPr>
          <w:b/>
          <w:bCs/>
        </w:rPr>
        <w:t xml:space="preserve">valeurs limites</w:t>
      </w:r>
      <w:r>
        <w:t xml:space="preserve"> ont trouvé un défaut de frontière (DEF-01) invisible avec des valeurs moyennes.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 xml:space="preserve">revue technique</w:t>
      </w:r>
      <w:r>
        <w:t xml:space="preserve"> a trouvé des écarts au CDC que le code exécuté ne signale jamais (DEF-06) et a orienté les tests exploratoires.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</w:t>
      </w:r>
      <w:r>
        <w:rPr>
          <w:b/>
          <w:bCs/>
        </w:rPr>
        <w:t xml:space="preserve">analyse statique</w:t>
      </w:r>
      <w:r>
        <w:t xml:space="preserve"> a trouvé un défaut latent qu'aucun test dynamique ne déclenche (DEF-07).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</w:t>
      </w:r>
      <w:r>
        <w:rPr>
          <w:b/>
          <w:bCs/>
        </w:rPr>
        <w:t xml:space="preserve">tests d'intégration</w:t>
      </w:r>
      <w:r>
        <w:t xml:space="preserve"> ont révélé, une fois correctement écrits, le défaut le plus grave (DEF-00).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techniques </w:t>
      </w:r>
      <w:r>
        <w:rPr>
          <w:b/>
          <w:bCs/>
        </w:rPr>
        <w:t xml:space="preserve">boîte blanche</w:t>
      </w:r>
      <w:r>
        <w:t xml:space="preserve"> ont prouvé, mesures à l'appui, la solidité du cœur cryptographique (100 % des branches de la génération des jetons).</w:t>
      </w:r>
    </w:p>
    <w:p>
      <w:pPr>
        <w:spacing w:after="120"/>
      </w:pPr>
      <w:r>
        <w:t xml:space="preserve">Le scénario de démonstration du CDC fonctionne de bout en bout (12/12), ce qui satisfait le critère de réussite fonctionnel. En revanche, le critère technique « l'anonymat du vote est cryptographiquement vérifiable » </w:t>
      </w:r>
      <w:r>
        <w:rPr>
          <w:b/>
          <w:bCs/>
        </w:rPr>
        <w:t xml:space="preserve">n'est pas atteint</w:t>
      </w:r>
      <w:r>
        <w:t xml:space="preserve"> tant que DEF-00 n'est pas corrigé : c'est la priorité absolue avant toute mise en production.</w:t>
      </w:r>
    </w:p>
    <w:p>
      <w:pPr>
        <w:pStyle w:val="Heading2"/>
      </w:pPr>
      <w:bookmarkStart w:name="_Toc34" w:id="34"/>
      <w:r>
        <w:t xml:space="preserve">Recommandations</w:t>
      </w:r>
      <w:bookmarkEnd w:id="34"/>
    </w:p>
    <w:p>
      <w:pPr>
        <w:pStyle w:val="ListParagraph"/>
        <w:numPr>
          <w:ilvl w:val="0"/>
          <w:numId w:val="2"/>
        </w:numPr>
        <w:spacing w:after="60"/>
      </w:pPr>
      <w:r>
        <w:t xml:space="preserve">Corriger DEF-00 en priorité, puis DEF-05 et DEF-06 (sécurité).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Découper </w:t>
      </w:r>
      <w:r>
        <w:rPr>
          <w:rFonts w:ascii="Consolas" w:cs="Consolas" w:eastAsia="Consolas" w:hAnsi="Consolas"/>
          <w:sz w:val="19"/>
          <w:szCs w:val="19"/>
        </w:rPr>
        <w:t xml:space="preserve">castVote()</w:t>
      </w:r>
      <w:r>
        <w:t xml:space="preserve"> (V(G) = 12) pour faciliter le test et la maintenance.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Exécuter la suite automatiquement à chaque pull request (intégration continue GitHub Actions).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Étendre progressivement la couverture aux modules non testés (commentaires, notifications, PDF).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EasyVote — Rapport de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4F46E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293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EasyVote — Rapport de Test</dc:title>
  <dc:creator>Talel Mejri, Rawen Zgarni, Issra Elakrout</dc:creator>
  <cp:lastModifiedBy>Un-named</cp:lastModifiedBy>
  <cp:revision>1</cp:revision>
  <dcterms:created xsi:type="dcterms:W3CDTF">2026-10-19T20:36:31.414Z</dcterms:created>
  <dcterms:modified xsi:type="dcterms:W3CDTF">2026-10-19T20:36:31.415Z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