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198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published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Fifty-three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forty-five tests covers the rule-based document reader, which reads an uploaded resume into structured fields without a language model. Six of them were written from a five-page curriculum vitae the reader had misread on the live system, and each names the damage rather than the pattern that repairs it: a wrapped sentence whose last word was a heading word must not begin a section, the section names a curriculum vitae uses must be recognised, a section that is not employment must end the one before it, a doctorate must read as the top of the education scale, a surname split by a stray hyphen must still be read as a name, and a banner reading "PERSONAL INFORMATION" must NOT be treated as a section, because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 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 One hundred and ninety-eight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stated 50 / 25 / 25 formula.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