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(none, high school, vocational, associate, college level, bachelor, master), because the score compares it on a ladder. And experience is a number of months the score adds up: the recruiter states the requirement in years, the applicant enters months, and the two meet as months underneath.</w:t>
      </w:r>
    </w:p>
    <w:p>
      <w:pPr>
        <w:spacing w:after="120"/>
      </w:pPr>
      <w:r>
        <w:rPr>
          <w:b w:val="0"/>
          <w:i w:val="0"/>
        </w:rPr>
        <w:t>Saying where you used each skill</w:t>
      </w:r>
    </w:p>
    <w:p>
      <w:pPr>
        <w:spacing w:after="120"/>
      </w:pPr>
      <w:r>
        <w:rPr>
          <w:b w:val="0"/>
          <w:i w:val="0"/>
        </w:rPr>
        <w:t>Adding a skill is only half the question. The builder also asks where it was learned, and the answer must point at an entry already on the applicant’s own resume — a job, a project, a certification, a course, or the resume file they uploaded. Rather than a dropdown per skill, the step lists each job, school, project and certificate as a card and the applicant ticks the skills they learned there; a skill can be ticked under more than one. The source is always something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 The uploaded file is on the list of sources for a reason worth stating: a resume read out of a document carries skills that belong to no single entry, so without it an applicant who uploaded would have scored below one who typed the same resume.</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experience, entered in years — zero is allowed and common for graduate roles. It is stored as months underneath, so half a year is fine.</w:t>
      </w:r>
    </w:p>
    <w:p>
      <w:pPr>
        <w:spacing w:after="120"/>
      </w:pPr>
      <w:r>
        <w:rPr>
          <w:b w:val="0"/>
          <w:i w:val="0"/>
        </w:rPr>
        <w:t>Weights — optionally override the default split (skills 50, education 25, experience 25) for this opening alone, and optionally give a share to certificates, which score nothing until asked for. The default is a starting point, not a fixed rule; each opening can set its own.</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or entries, they pointed at — “Work experience — Web Development Intern, Clark Outsourcing” — and marks the rest “no source given”. A skill whose source is the uploaded file shows that file’s name, and the recruiter can open it from the same screen.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Ten statuses, matching the partner's own pipeline: Applied, For scheduling, For initial interview, For testing, Shortlisted, Final interview &amp; selection, Job offer, Hired/onboarding, Not selected, and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ten values — the eight pipeline stages (Applied, For scheduling, For initial interview, For testing, Shortlisted, Final interview &amp; selection, Job offer, Hired/onboarding), plus Not selected and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five kinds — experience, project, certification, education, or the file the applicant uploaded.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222 automated tests across ten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10 suites, 222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56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222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the recruiter's ten-status pipeline,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ten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ten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