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 xml:space="preserve">The eleven substantive changes</w:t>
      </w:r>
    </w:p>
    <w:tbl>
      <w:tblPr>
        <w:tblW w:type="pct" w:w="100%"/>
        <w:tblBorders>
          <w:top w:val="single" w:color="C9C2B6" w:sz="4"/>
          <w:left w:val="single" w:color="C9C2B6" w:sz="4"/>
          <w:bottom w:val="single" w:color="C9C2B6" w:sz="4"/>
          <w:right w:val="single" w:color="C9C2B6" w:sz="4"/>
          <w:insideH w:val="single" w:color="DDD6C9" w:sz="2"/>
          <w:insideV w:val="single" w:color="DDD6C9" w:sz="2"/>
        </w:tblBorders>
      </w:tblPr>
      <w:tblGrid>
        <w:gridCol w:w="100"/>
        <w:gridCol w:w="100"/>
        <w:gridCol w:w="100"/>
      </w:tblGrid>
      <w:tr>
        <w:trPr>
          <w:tblHeader/>
        </w:trPr>
        <w:tc>
          <w:tcPr>
            <w:tcW w:type="pct" w:w="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pct" w:w="42%"/>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pct" w:w="5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eight parser-safe visual designs the applicant chooses from.</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the structured resume, which is the only thing scored, and an optional file uploaded in the applicant's own format, which is forwarded to the recruiter but never parsed and can never lower a score.</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automated suites also run on every code change: 29 matching-engine tests and 16 API integration tests, under a continuous-integration workflow.</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pct" w:w="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pct" w:w="5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1 — Introduction</w:t>
            </w:r>
          </w:p>
          <w:p>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eight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IT applicants reach the IT recruiter and food and beverage applicants reach the food and beverage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never parsed for scoring and can never lower a score; it is forwarded to the recruiter untouched, so that nothing an applicant chose to say about themselves is lost to a parser. Alongside these, the proposed web application includes learning materials that explain resume best practices and ATS formatting, eight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2 — Conceptual Framework</w:t>
            </w:r>
          </w:p>
          <w:p>
            <w:r>
              <w:rPr>
                <w:rFonts w:ascii="Arial" w:cs="Arial" w:eastAsia="Arial" w:hAnsi="Arial"/>
                <w:color w:val="6B6B6B"/>
                <w:sz w:val="18"/>
                <w:szCs w:val="18"/>
              </w:rPr>
              <w:t xml:space="preserve">Replace the entire Conceptual Framework section (pages 25–28), from the heading "Conceptual Framework" through the Figure 1 caption.</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three-formats-times-eight-designs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eight visual designs (Classic, Modern, Minimal, Executive, Banner, Split, Bar, and Categorised). All eight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and the application programming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eight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3 — Objectives of the Study</w:t>
            </w:r>
          </w:p>
          <w:p>
            <w:r>
              <w:rPr>
                <w:rFonts w:ascii="Arial" w:cs="Arial" w:eastAsia="Arial" w:hAnsi="Arial"/>
                <w:color w:val="6B6B6B"/>
                <w:sz w:val="18"/>
                <w:szCs w:val="18"/>
              </w:rPr>
              <w:t xml:space="preserve">Replace the entire Objectives of the Study section (pages 27–30), including the numbered list.</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eight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for the matching engine and the application programming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4 — Scope and Delimitations</w:t>
            </w:r>
          </w:p>
          <w:p>
            <w:r>
              <w:rPr>
                <w:rFonts w:ascii="Arial" w:cs="Arial" w:eastAsia="Arial" w:hAnsi="Arial"/>
                <w:color w:val="6B6B6B"/>
                <w:sz w:val="18"/>
                <w:szCs w:val="18"/>
              </w:rPr>
              <w:t xml:space="preserve">Replace the entire Scope and Delimitations section (pages 29–33), including both bullet lists.</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Royce Hotel and Casino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eight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scoring, and an optional file uploaded by the applicant in their own format, which is forwarded to the recruiter in full but is never parsed and never affects a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and the application programming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Royce Hotel and Casino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5 — Method (opening) and Requirement Analysis</w:t>
            </w:r>
          </w:p>
          <w:p>
            <w:r>
              <w:rPr>
                <w:rFonts w:ascii="Arial" w:cs="Arial" w:eastAsia="Arial" w:hAnsi="Arial"/>
                <w:color w:val="6B6B6B"/>
                <w:sz w:val="18"/>
                <w:szCs w:val="18"/>
              </w:rPr>
              <w:t xml:space="preserve">Replace the Method opening paragraph and the whole Requirement Analysis subsection (pages 32–35).</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6 — Requirement Documentation</w:t>
            </w:r>
          </w:p>
          <w:p>
            <w:r>
              <w:rPr>
                <w:rFonts w:ascii="Arial" w:cs="Arial" w:eastAsia="Arial" w:hAnsi="Arial"/>
                <w:color w:val="6B6B6B"/>
                <w:sz w:val="18"/>
                <w:szCs w:val="18"/>
              </w:rPr>
              <w:t xml:space="preserve">Replace the whole Requirement Documentation subsection (pages 34–36).</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7 — Design of Software, System, Product and Process</w:t>
            </w:r>
          </w:p>
          <w:p>
            <w:r>
              <w:rPr>
                <w:rFonts w:ascii="Arial" w:cs="Arial" w:eastAsia="Arial" w:hAnsi="Arial"/>
                <w:color w:val="6B6B6B"/>
                <w:sz w:val="18"/>
                <w:szCs w:val="18"/>
              </w:rPr>
              <w:t xml:space="preserve">Replace the whole subsection (pages 35–38), up to and including the Figure 2 caption.</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8 — Development and Testing</w:t>
            </w:r>
          </w:p>
          <w:p>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only one of them is scored. The structured resume built inside the system is the sole input to the matching module, because its fields are unambiguous. The optional file that an applicant uploads in their own format is stored, forwarded to the recruiter, and displayed beside the structured resume, but it is never opened by the scoring code and therefore cannot raise or lower a score.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First, an automated regression suite of 29 tests covers the matching engine. It checks the weighting of each component, the boundaries of the three tiers, the treatment of unspecified requirements, and the rounding rule; it includes a randomised sweep of 500 generated resume-and-posting pairs confirming that the browser implementation and the server implementation of the scoring function agree exactly; and it includes tests confirming that the skill vocabulary never equates two genuinely different skills. Second, an automated integration suite of 16 tests starts the real server against a temporary PostgreSQL database and drives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an applicant's uploaded file never takes part in producing a score. Both suites run automatically on every change to the source code through a continuous integration workflow that also builds the front end and type-checks the server, so that a regression is detected before it can reach the deployed system. Third, the completed system is evaluated with actual users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9 — Sample and Setting</w:t>
            </w:r>
          </w:p>
          <w:p>
            <w:r>
              <w:rPr>
                <w:rFonts w:ascii="Arial" w:cs="Arial" w:eastAsia="Arial" w:hAnsi="Arial"/>
                <w:color w:val="6B6B6B"/>
                <w:sz w:val="18"/>
                <w:szCs w:val="18"/>
              </w:rPr>
              <w:t xml:space="preserve">Replace the whole Sample and Setting subsection (pages 41–43).</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Royce Hotel and Casino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Royce Hotel and Casino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10 — Instrument / Simulation Tool</w:t>
            </w:r>
          </w:p>
          <w:p>
            <w:r>
              <w:rPr>
                <w:rFonts w:ascii="Arial" w:cs="Arial" w:eastAsia="Arial" w:hAnsi="Arial"/>
                <w:color w:val="6B6B6B"/>
                <w:sz w:val="18"/>
                <w:szCs w:val="18"/>
              </w:rPr>
              <w:t xml:space="preserve">Replace the whole Instrument / Simulation Tool subsection (pages 42–45), including the Likert scale and interpretation lists.</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11 — Ethical Consideration</w:t>
            </w:r>
          </w:p>
          <w:p>
            <w:r>
              <w:rPr>
                <w:rFonts w:ascii="Arial" w:cs="Arial" w:eastAsia="Arial" w:hAnsi="Arial"/>
                <w:color w:val="6B6B6B"/>
                <w:sz w:val="18"/>
                <w:szCs w:val="18"/>
              </w:rPr>
              <w:t xml:space="preserve">Replace the whole Ethical Consideration subsection (pages 44–47).</w:t>
            </w:r>
          </w:p>
        </w:tc>
      </w:tr>
    </w:tbl>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tbl>
      <w:tblPr>
        <w:tblW w:type="pct" w:w="100%"/>
        <w:tblBorders>
          <w:top w:val="single" w:color="8C2A2A" w:sz="12"/>
          <w:left w:val="single" w:color="8C2A2A" w:sz="12"/>
          <w:bottom w:val="single" w:color="8C2A2A" w:sz="12"/>
          <w:right w:val="single" w:color="8C2A2A" w:sz="12"/>
          <w:insideH w:val="none" w:color="FFFFFF" w:sz="0"/>
          <w:insideV w:val="none" w:color="FFFFFF" w:sz="0"/>
        </w:tblBorders>
      </w:tblPr>
      <w:tblGrid>
        <w:gridCol w:w="100"/>
      </w:tblGrid>
      <w:tr>
        <w:tc>
          <w:tcPr>
            <w:shd w:fill="F2EFE9" w:val="clear"/>
            <w:tcMar>
              <w:top w:type="dxa" w:w="140"/>
              <w:left w:type="dxa" w:w="160"/>
              <w:bottom w:type="dxa" w:w="140"/>
              <w:right w:type="dxa" w:w="160"/>
            </w:tcMar>
          </w:tcPr>
          <w:p>
            <w:pPr>
              <w:spacing w:after="40"/>
            </w:pPr>
            <w:r>
              <w:rPr>
                <w:rFonts w:ascii="Arial" w:cs="Arial" w:eastAsia="Arial" w:hAnsi="Arial"/>
                <w:b/>
                <w:bCs/>
                <w:color w:val="8C2A2A"/>
                <w:sz w:val="22"/>
                <w:szCs w:val="22"/>
              </w:rPr>
              <w:t xml:space="preserve">REPLACEMENT 12 — Small edits elsewhere</w:t>
            </w:r>
          </w:p>
          <w:p>
            <w:r>
              <w:rPr>
                <w:rFonts w:ascii="Arial" w:cs="Arial" w:eastAsia="Arial" w:hAnsi="Arial"/>
                <w:color w:val="6B6B6B"/>
                <w:sz w:val="18"/>
                <w:szCs w:val="18"/>
              </w:rPr>
              <w:t xml:space="preserve">These are single-line changes; they are not worth replacing a whole section for.</w:t>
            </w:r>
          </w:p>
        </w:tc>
      </w:tr>
    </w:tbl>
    <w:p>
      <w:pPr>
        <w:spacing w:after="120" w:line="280"/>
      </w:pPr>
      <w:r>
        <w:rPr>
          <w:rFonts w:ascii="Arial" w:cs="Arial" w:eastAsia="Arial" w:hAnsi="Arial"/>
          <w:b w:val="false"/>
          <w:bCs w:val="false"/>
          <w:color w:val="1A1A1A"/>
          <w:sz w:val="19"/>
          <w:szCs w:val="19"/>
        </w:rPr>
        <w:t xml:space="preserve"/>
      </w:r>
    </w:p>
    <w:tbl>
      <w:tblPr>
        <w:tblW w:type="pct" w:w="100%"/>
        <w:tblBorders>
          <w:top w:val="single" w:color="C9C2B6" w:sz="4"/>
          <w:left w:val="single" w:color="C9C2B6" w:sz="4"/>
          <w:bottom w:val="single" w:color="C9C2B6" w:sz="4"/>
          <w:right w:val="single" w:color="C9C2B6" w:sz="4"/>
          <w:insideH w:val="single" w:color="DDD6C9" w:sz="2"/>
          <w:insideV w:val="single" w:color="DDD6C9" w:sz="2"/>
        </w:tblBorders>
      </w:tblPr>
      <w:tblGrid>
        <w:gridCol w:w="100"/>
        <w:gridCol w:w="100"/>
        <w:gridCol w:w="100"/>
      </w:tblGrid>
      <w:tr>
        <w:trPr>
          <w:tblHeader/>
        </w:trPr>
        <w:tc>
          <w:tcPr>
            <w:tcW w:type="pct" w:w="1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pct" w:w="40%"/>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pct" w:w="42%"/>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pct" w:w="1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pct" w:w="40%"/>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pct" w:w="42%"/>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2026-07-27T09:15:59.803Z</dcterms:created>
  <dcterms:modified xsi:type="dcterms:W3CDTF">2026-07-27T09:15:59.804Z</dcterms:modified>
</cp:coreProperties>
</file>

<file path=docProps/custom.xml><?xml version="1.0" encoding="utf-8"?>
<Properties xmlns="http://schemas.openxmlformats.org/officeDocument/2006/custom-properties" xmlns:vt="http://schemas.openxmlformats.org/officeDocument/2006/docPropsVTypes"/>
</file>