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 xml:space="preserve">Part 1 is the study itself: the whole paper section by section, with the numbers, sources and commitments each one contains. Parts 2 to 8 carry 120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Q89 – Q112e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xml:space="preserve">· Four rules → four decisions  </w:t>
      </w:r>
      <w:r>
        <w:rPr>
          <w:rFonts w:ascii="Arial" w:cs="Arial" w:eastAsia="Arial" w:hAnsi="Arial"/>
          <w:color w:val="333333"/>
          <w:sz w:val="17"/>
          <w:szCs w:val="17"/>
        </w:rPr>
        <w:t xml:space="preserve">consistency → a deterministic score · job relatedness → computed only from stated posting criteria · explanation → published weights and named missing skills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xml:space="preserve">· New job seekers  </w:t>
      </w:r>
      <w:r>
        <w:rPr>
          <w:rFonts w:ascii="Arial" w:cs="Arial" w:eastAsia="Arial" w:hAnsi="Arial"/>
          <w:color w:val="333333"/>
          <w:sz w:val="17"/>
          <w:szCs w:val="17"/>
        </w:rPr>
        <w:t xml:space="preserve">a free guided builder, and the same score the recruiter sees with missing skills named.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 xml:space="preserve">Vocabulary coverage  </w:t>
      </w:r>
      <w:r>
        <w:rPr>
          <w:rFonts w:ascii="Arial" w:cs="Arial" w:eastAsia="Arial" w:hAnsi="Arial"/>
          <w:color w:val="333333"/>
          <w:sz w:val="17"/>
          <w:szCs w:val="17"/>
        </w:rPr>
        <w:t xml:space="preserve">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xml:space="preserve">· The line that governs the chapter  </w:t>
      </w:r>
      <w:r>
        <w:rPr>
          <w:rFonts w:ascii="Arial" w:cs="Arial" w:eastAsia="Arial" w:hAnsi="Arial"/>
          <w:color w:val="333333"/>
          <w:sz w:val="17"/>
          <w:szCs w:val="17"/>
        </w:rPr>
        <w:t xml:space="preserve">Agile governs how the system is built; instruments, respondents, items and themes govern how the study investigates.</w:t>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 xml:space="preserve">The trap  </w:t>
      </w:r>
      <w:r>
        <w:rPr>
          <w:rFonts w:ascii="Arial" w:cs="Arial" w:eastAsia="Arial" w:hAnsi="Arial"/>
          <w:color w:val="333333"/>
          <w:sz w:val="17"/>
          <w:szCs w:val="17"/>
        </w:rPr>
        <w:t xml:space="preserve">being pushed into calling Agile your research design. Blur the two and the panel concludes you have no design at all.</w:t>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 xml:space="preserve">Agile over Waterfall, and the technical choices as decisions rather than defaults.</w:t>
      </w:r>
    </w:p>
    <w:p>
      <w:pPr>
        <w:spacing w:after="52" w:line="280"/>
        <w:ind w:left="300" w:hanging="300"/>
      </w:pPr>
      <w:r>
        <w:rPr>
          <w:rFonts w:ascii="Arial" w:cs="Arial" w:eastAsia="Arial" w:hAnsi="Arial"/>
          <w:b/>
          <w:bCs/>
          <w:color w:val="1A1A1A"/>
          <w:sz w:val="17"/>
          <w:szCs w:val="17"/>
        </w:rPr>
        <w:t xml:space="preserve">· Why Agile  </w:t>
      </w:r>
      <w:r>
        <w:rPr>
          <w:rFonts w:ascii="Arial" w:cs="Arial" w:eastAsia="Arial" w:hAnsi="Arial"/>
          <w:color w:val="333333"/>
          <w:sz w:val="17"/>
          <w:szCs w:val="17"/>
        </w:rPr>
        <w:t xml:space="preserve">two user groups pulling in different directions, and matching behaviour that had to be tuned against test resumes rather than specified up front — which is why the weights are configuration.</w:t>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Three levels  automated regression across six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Fifty-five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five formerly untraceable entries now REMOVED from the paper entirely · one replaced and the replacement verified · one still unconfirmed.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one still open  </w:t>
      </w:r>
      <w:r>
        <w:rPr>
          <w:rFonts w:ascii="Arial" w:cs="Arial" w:eastAsia="Arial" w:hAnsi="Arial"/>
          <w:color w:val="333333"/>
          <w:sz w:val="17"/>
          <w:szCs w:val="17"/>
        </w:rPr>
        <w:t xml:space="preserve">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pBdr>
          <w:left w:val="single" w:color="8A6A1F" w:sz="10" w:space="6"/>
        </w:pBdr>
        <w:spacing w:after="52" w:line="280"/>
        <w:ind w:left="300" w:hanging="300"/>
      </w:pPr>
      <w:r>
        <w:rPr>
          <w:rFonts w:ascii="Arial" w:cs="Arial" w:eastAsia="Arial" w:hAnsi="Arial"/>
          <w:b/>
          <w:bCs/>
          <w:color w:val="7A5B1E"/>
          <w:sz w:val="17"/>
          <w:szCs w:val="17"/>
        </w:rPr>
        <w:t xml:space="preserve">Verified this run  </w:t>
      </w:r>
      <w:r>
        <w:rPr>
          <w:rFonts w:ascii="Arial" w:cs="Arial" w:eastAsia="Arial" w:hAnsi="Arial"/>
          <w:color w:val="333333"/>
          <w:sz w:val="17"/>
          <w:szCs w:val="17"/>
        </w:rPr>
        <w:t xml:space="preserve">Dascălu et al. (2023) is real at exactly the venue your entry gives — Issues in Information Systems 24(3), 71–82. It replaced an entry that named the wrong journal.</w:t>
      </w:r>
    </w:p>
    <w:p>
      <w:pPr>
        <w:pBdr>
          <w:left w:val="single" w:color="8A6A1F" w:sz="10" w:space="6"/>
        </w:pBdr>
        <w:spacing w:after="52" w:line="280"/>
        <w:ind w:left="300" w:hanging="300"/>
      </w:pPr>
      <w:r>
        <w:rPr>
          <w:rFonts w:ascii="Arial" w:cs="Arial" w:eastAsia="Arial" w:hAnsi="Arial"/>
          <w:b/>
          <w:bCs/>
          <w:color w:val="7A5B1E"/>
          <w:sz w:val="17"/>
          <w:szCs w:val="17"/>
        </w:rPr>
        <w:t xml:space="preserve">Removed, not outstanding  </w:t>
      </w:r>
      <w:r>
        <w:rPr>
          <w:rFonts w:ascii="Arial" w:cs="Arial" w:eastAsia="Arial" w:hAnsi="Arial"/>
          <w:color w:val="333333"/>
          <w:sz w:val="17"/>
          <w:szCs w:val="17"/>
        </w:rPr>
        <w:t xml:space="preserve">the five entries the audit could not trace — Miller &amp; Zhang, Stevenson et al., Kumar et al., Nielsen Norman Group, Albert et al. — are gone from the manuscript: no entry, no in-text citation. Do not walk in ready to concede a problem you already fixed.</w:t>
      </w:r>
    </w:p>
    <w:p>
      <w:pPr>
        <w:pBdr>
          <w:left w:val="single" w:color="8A6A1F" w:sz="10" w:space="6"/>
        </w:pBdr>
        <w:spacing w:after="52" w:line="280"/>
        <w:ind w:left="300" w:hanging="300"/>
      </w:pPr>
      <w:r>
        <w:rPr>
          <w:rFonts w:ascii="Arial" w:cs="Arial" w:eastAsia="Arial" w:hAnsi="Arial"/>
          <w:b/>
          <w:bCs/>
          <w:color w:val="7A5B1E"/>
          <w:sz w:val="17"/>
          <w:szCs w:val="17"/>
        </w:rPr>
        <w:t xml:space="preserve">A number that was not in its source  </w:t>
      </w:r>
      <w:r>
        <w:rPr>
          <w:rFonts w:ascii="Arial" w:cs="Arial" w:eastAsia="Arial" w:hAnsi="Arial"/>
          <w:color w:val="333333"/>
          <w:sz w:val="17"/>
          <w:szCs w:val="17"/>
        </w:rPr>
        <w:t xml:space="preserve">“40% more viewing time” was credited to TheLadders (2018), which does not report it. Removed. The 7.4 seconds in the same sentence IS correct and is confirmed.</w:t>
      </w:r>
    </w:p>
    <w:p>
      <w:pPr>
        <w:pBdr>
          <w:left w:val="single" w:color="8A6A1F" w:sz="10" w:space="6"/>
        </w:pBdr>
        <w:spacing w:after="52" w:line="280"/>
        <w:ind w:left="300" w:hanging="300"/>
      </w:pPr>
      <w:r>
        <w:rPr>
          <w:rFonts w:ascii="Arial" w:cs="Arial" w:eastAsia="Arial" w:hAnsi="Arial"/>
          <w:b/>
          <w:bCs/>
          <w:color w:val="7A5B1E"/>
          <w:sz w:val="17"/>
          <w:szCs w:val="17"/>
        </w:rPr>
        <w:t xml:space="preserve">What “verified” means here  </w:t>
      </w:r>
      <w:r>
        <w:rPr>
          <w:rFonts w:ascii="Arial" w:cs="Arial" w:eastAsia="Arial" w:hAnsi="Arial"/>
          <w:color w:val="333333"/>
          <w:sz w:val="17"/>
          <w:szCs w:val="17"/>
        </w:rPr>
        <w:t xml:space="preserve">that the work exists at the venue, volume and pages given. NOT that anyone has read it. Those are different claims and only the second one holds up when a panelist has read the paper.</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 xml:space="preserve">“Our system is a free web platform that does two jobs at once. On the applicant side it walks a first-time job seeker through building a resume step by step, and it comes out in a single-column, parser-safe layout so an automated screener can actually read it. On the company side, our partner is the HR department of Clark Outsourcing, a BPO in Clark Freeport Zone; they post an opening with the skills, education level, and months of experience they need. The part in the middle is our matching engine: when someone applies we compare their structured resume against the posting and compute one compatibility score. What makes us different is that we show the applicant the same number the recruiter sees, and we name the required skills they were missing.”</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 xml:space="preserve">“We started from a problem all three of us are about to have, because we graduate into this job market. What made us commit was realising it has two sides. Applicants cannot get read, and local HR departments cannot afford the screening tools that would find them. We had access to a partner HR department willing to work with us, so we could build for a real recruiter rather than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 xml:space="preserve">“It comes from the fourth Philippine Graduate Tracer Study by Tutor, Orbeta and Miraflor, published by PIDS in 2021, which surveyed 11,547 graduates of academic years 2008–09 through 2010–11. Among graduates of programmes requiring a professional licence, only 49 percent were employed in work matching their degree. I should be clear that those are older cohorts, so we present it as the most recent national tracer study rather than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 xml:space="preserve">“They were removed. Four figures in our Requirement Documentation had no source, and our requirement analysis was a desk exercise that surveyed nobody, so no method in the paper could have produced them. Rather than find a source that happened to agree, we deleted the claims. The points they were making are still made, using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 xml:space="preserve">“Two things neither of those gives. The first is that a template does not know what the job wants — it will happily let you send the same document to every posting, and the applicant never learns why nothing came back. We compare the resume against a specific posting and name the required skills that are missing, so the feedback is about that job. The second is structure. A Canva layout is built to look good, and the visual features that make it look good — columns, text boxes, icons, graphics — are the features that break automated parsing. Our output is single-column and plain-text-safe by construction, so the applicant does not have to know that trade-off exists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 xml:space="preserve">“The literature treats resume creation and job matching as separate problems. There are studies on resume quality and ATS parsing, and separate studies on job recommendation systems, but very little that closes the loop by using the same structured data an applicant entered to build their resume as the input to matching them, and then explaining the result back to them. That combination, in a Philippine single-company setting,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 xml:space="preserve">“It is the Hidden Workers study from Harvard Business School and Accenture, surveying 8,000 workers and 2,250 executives. Eighty-eight percent of employers say their own applicant tracking system filters out qualified, high-skilled candidates because the resume does not match the exact criteria in the job description, rising to ninety-four percent for middle-skills roles. It matters because it is employers describing the failure in their own systems, which is far stronger evidence for our premise than a resume company’s blog post.”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 xml:space="preserve">“It complicates it, and we say so in the review rather than hiding it. Wiles and colleagues, in a field experiment with nearly half a million jobseekers, found that applicants given algorithmic writing assistance were hired eight percent more often with no drop in employer satisfaction. Our reason for not generating content is therefore not that assistance has been shown to be harmful. It is that our system’s purpose is to explain how an application is assessed, and a system that writes someone’s resume for them is asserting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 xml:space="preserve">“It does, and the review says so directly. A system that computes and displays a compatibility score is an algorithm-driven procedure, and nothing in that evidence gives us a reason to assume applicants will regard ours as fair just because it is free or the formula is simple. What the evidence gives us is a location for the objection: Hilliard and colleagues place it in behavioural control, the sense of being unable to influence the outcome. Naming the missing skills responds to that specific finding, and whether it works is something our evaluation asks about rather than assumes.”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 xml:space="preserve">“They are solving a harder problem than we are and they solve it better. A semantic model can tell that “client account support” and “customer service” are close without anyone writing that down, and our system cannot — ours only knows the synonyms we listed. So on pure matching accuracy we lose. What we get in exchange is that every score can be taken apart in front of the person who received it. We can point to the three components, the weights, and the exact required skills that were not found. A similarity model gives a number that neither the applicant nor the recruiter can interrogate, and our whole claim is about the applicant being able to interrogate it. We are trading accuracy for explainability, deliberately, and I would rather state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 xml:space="preserve">“Organisational justice theory as it applies to personnel selection, and specifically the model advanced by Gilliland in 1993. It proposes that applicants judge the fairness of a selection system by a set of procedural rules — among them whether the basis of the decision is related to the job, whether they are given adequate information and explanation about how they are being assessed, and whether the procedure is applied consistently — rather than solely by whether they were chosen.”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 xml:space="preserve">“TAM asks whether people will adopt a system. Our research questions ask how people experience being assessed by one, and what an explanation does to that experience. Gilliland’s model is about exactly that, and it is the theory the fairness literature we cite is built on. 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 xml:space="preserve">“Four ways, and each maps onto a procedural rule. Consistency is addressed by a deterministic rule-based score, so the same resume and posting always give the same result. Job relatedness is addressed by computing the score only from criteria the recruiter stated in the posting. Explanation is addressed by publishing the weights and showing the applicant the same score with the missing skills named. And the capacity to respond is addressed by leaving every application visible to a human recruiter and never rejecting anyone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 xml:space="preserve">“I can name the ones our design responds to — job relatedness, the provision of information and explanation, and consistency of administration — and I would not want to recite the full set from memory and get one wrong. The framework in our paper uses those three because they are the ones our system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 xml:space="preserve">“The difficulty facing new job seekers is not only that they cannot produce a well-formed resume, but that they cannot see how their application is judged — and addressing both together produces effects that addressing either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 xml:space="preserve">“Unstructured input and opaque assessment. Unstructured input means a resume written without guidance, in a layout automated screening reads poorly, so the information the applicant does hold fails to reach the recruiter intact. Opaque assessment means screening that returns an outcome without a reason, so the applicant learns neither why they were unsuccessful nor what would change it. Structured input makes the applicant’s content legible to software and to the recruiter; an explained score makes the assessment legible to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 xml:space="preserve">“The framework is the proposition and the relationships I just described, and it is stated in the text before the figure. Figure 1 shows how those relationships are operationalised — what the system takes in, how it is developed and computes, and what it produces for each group. I accept that a diagram alone would not be a conceptual framework, which is why the concepts are stated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 xml:space="preserve">“Most of the frameworks in our review run in one direction — a resume goes in, a ranking comes out, and the diagram ends at the recruiter. Ours has a second output arrow going back to the applicant, carrying the same score and the named gaps. That is the only structural difference, and it is the whole study. It is why our research questions ask how applicants describe being scored rather than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 xml:space="preserve">“Six. The first three ask how job seekers describe creating a resume, how they decide whether they qualify for an opening, and how HR personnel describe screening and what they weigh for entry-level roles. Questions four and five ask how each group describes using the system, in terms of functional suitability, usability and reliability. The sixth asks how HR personnel describe the correspondence between the system’s ranking and the order they would arrive at themselves.”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 xml:space="preserve">“Because for five of the six questions we are describing how a defined group rates something, not measuring an improvement against a baseline. “Does it improve” would promise a controlled comparison our design cannot deliver. I should be precise about the exception, though: four items ARE asked before and after the same respondent uses the system, and that block does measure a change within one group. It is a one-group pretest-posttest, which Campbell and Stanley class as pre-experimental — no control group, no random assignment — so it tells us the answers moved, not that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 xml:space="preserve">“There is one, and it belongs to one part of the study. The four items asked both before and after use are tested with the Wilcoxon signed-rank test, whose null hypothesis is that the before-and-after differences are symmetric about zero — that no systematic change occurred. It is applied two-sided, because we do not predict the direction in advance. Everything else in the study is descriptive and carries no hypothesis, because we are reporting how this group rated these statements and making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 xml:space="preserve">“Questions one and two come from Instrument A, the job seeker requirement survey. Question three comes from Instrument B, the HR requirement survey, with items 15 to 17 carrying the weighting evidence specifically. Question four comes from Instrument C, the job seeker evaluation. Question five comes from Instrument D, the recruiter evaluation. Question six is the one to be careful about, because two instruments touch it and they do different things: Instrument D item 10 records what the recruiter BELIEVES about how close the order was, and Instrument E MEASURES it, by having them rank five résumés and computing Spearman’s rho against the system’s order. Where belief and measurement diverge we report both rather than resolve it.”</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 xml:space="preserve">“To design, develop and evaluate a free web-based resume builder and ATS-inspired job matching system that helps new Filipino job seekers produce parser-safe resumes and understand how their applications are assessed, while giving the HR department of a partner company structured, ranked and explainable applications.”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 xml:space="preserve">“The essential ones are the resume builder, the matching feature, account and data protection, and the evaluation — without those there is no system and no study. The learning materials, the three account types as separate objectives, accessibility, and the recommendation behaviour are all built and working, but they elaborate the core rather than constitute it. If we had been forced to cut, we would have cut breadth of designs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 xml:space="preserve">“There is no ISO questionnaire — the standard defines quality characteristics and publishes no survey instrument. ISO 25010 is the framework that determines what our evaluation asks about. Each rated item in the two post-use instruments is written against one of three characteristics and is labelled with it in Appendix A, so the mean we report for functional suitability is computed from items a reader can check belong to it. What we cannot claim is that our numbers are comparable to anyone else’s, because the instrument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 xml:space="preserve">“Five groups. New job seekers get a free guided builder and an explanation of how they are assessed. HR personnel and the partner company get structured, ranked applications and a record of how each was handled. Clark Outsourcing specifically gets a system fitted to an organisation hiring across several departments. The School of Computing gets a documented system and the reasoning behind it. And future researchers get a stated baseline — the weights, the thresholds, and the cases where we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 xml:space="preserve">“No, and the paper says so in three places. We evaluate the quality of the system, not employment outcomes. Measuring whether anyone was hired because of it would need to follow applicants for months past the end of our study, and we have no such data. What we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 xml:space="preserve">“Fourteen, all single-column and free of tables, text boxes, multiple columns and graphics. Three content formats — chronological, functional and combination — determine the order sections appear in, and the design changes only the appearance.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 xml:space="preserve">“Because a scraped posting has no verified requirements behind it and no recruiter accountable for it. Our matching depends on a recruiter stating the required skills, an education level and a minimum experience, and on that same recruiter reading the ranked list afterwards. A JobStreet listing gives us neither. It also keeps the study within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 xml:space="preserve">“Gemini does one thing: it converts an uploaded document into fields. It never computes, weights, ranks or recommends. Every score in the system, including the score of an uploaded file, comes from the same rule-based formula. The separation is enforced in code and tested — one of the extraction tests asserts that no score is ever returned from that route, because extraction and scoring are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Q31  </w:t>
      </w:r>
      <w:r>
        <w:rPr>
          <w:rFonts w:ascii="Arial" w:cs="Arial" w:eastAsia="Arial" w:hAnsi="Arial"/>
          <w:b/>
          <w:bCs/>
          <w:color w:val="1A1A1A"/>
          <w:sz w:val="19"/>
          <w:szCs w:val="19"/>
        </w:rPr>
        <w:t xml:space="preserve">You tell applicants exactly which skills they are missing,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 xml:space="preserve">“Nothing in the system prevents it, and the paper says so. An applicant could read the missing-skills list and add skills they do not hold, and neither we nor a commercial applicant tracking system operating on the same unverified information could detect it. What the design does is bound the consequence — the score orders a list and never rejects anyone, the recruiter still reads the resume and still interviews, and the decision rests with a named person. Whether transparency changes what applicants write is an empirical question we do not answer and have recorded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 xml:space="preserve">“They are job boards and we are not one, and I want to be exact about the difference rather than claim we beat them. They carry thousands of live openings across the country; we carry the postings of the partner companies we have agreements with, which right now is one BPO. On reach they win completely. Where we differ is what happens after the apply button. On a job board the applicant sends the document and gets silence, and any percentage shown is not the employer’s screening result. In ours the applicant sees the same score the recruiter sees on the same posting, with the missing required skills listed. We are not competing with them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 xml:space="preserve">“Delimitations are boundaries we chose — the single partner company, the three scoring components, the decision not to generate content. Limitations are constraints we did not choose and cannot remove: that we built the system we are evaluating, that the HR group is ten people so one respondent moves a mean, that a single session cannot evidence reliability over time, and that we measure system quality rather than employment outcomes.”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 xml:space="preserve">“You should treat that as a real threat, and we do. Three procedures constrain it: respondents complete the tasks alone with no researcher beside them, all three of us code the responses independently and reconcile our codes, and a summary of the themes goes back to respondents who agreed to be contacted so they can say whether it reflects what they meant. None of that eliminates the effect, and the Limitations section says the residual possibility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 xml:space="preserve">“It is our own term and we define it operationally. It describes a system that adopts the structured screening and ranking behaviour of an applicant tracking system while deliberately omitting its automatic rejection of applicants. We produce a ranked list and an explanation of each score, but no applicant is ever filtered out by the software. Calling it an ATS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 xml:space="preserve">“It is the category the system assigns to a score so a recruiter can read a ranked list quickly: strong at eighty and above, possible from fifty to seventy-nine, related below fifty. We set those thresholds. They are conventional cut-offs chosen so the three tiers describe meaningfully different situations, and they are stored as configuration values rather than fixed in code.”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 xml:space="preserve">“No, and the similarity is the reason we define ours carefully. A job board’s percentage is generated by that platform for the applicant’s benefit; the employer does not necessarily see it, and it plays no part in who gets called. Ours is the number the recruiter is ranking by. It is the same value on both screens, and that is the definitional point — we define it as the single figure produced by comparing one resume to one posting, shown identically to both sides. 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 xml:space="preserve">“A quantitative descriptive design. We describe how a defined group rates a defined set of statements: how difficult job seekers find each part of writing a resume, how recruiters distribute importance across skills, education and experience, and how both groups rate the system against three ISO 25010 characteristics. Descriptive, not experimental — there is no control group, nothing is withheld from anyone, and we make no causal claim.”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 xml:space="preserve">“Descriptive is the honest label, and yes — averages and distributions are exactly what we report. We are not correlational, because we test no relationship between variables; we are not experimental, because we manipulate nothing. We compute a weighted mean per item and per quality characteristic, report it against an interpretation scale fixed before any data was collected, and show the distribution alongside every mean so that agreement is never confused with two opposed groups averaging out. Claiming anything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Q40  </w:t>
      </w:r>
      <w:r>
        <w:rPr>
          <w:rFonts w:ascii="Arial" w:cs="Arial" w:eastAsia="Arial" w:hAnsi="Arial"/>
          <w:b/>
          <w:bCs/>
          <w:color w:val="1A1A1A"/>
          <w:sz w:val="19"/>
          <w:szCs w:val="19"/>
        </w:rPr>
        <w:t xml:space="preserve">You built software. Is Agile your research design?</w:t>
      </w:r>
    </w:p>
    <w:p>
      <w:pPr>
        <w:pBdr>
          <w:left w:val="single" w:color="2F5D3A" w:sz="14" w:space="8"/>
        </w:pBdr>
        <w:spacing w:after="110" w:line="292"/>
        <w:ind w:left="480" w:right="140"/>
      </w:pPr>
      <w:r>
        <w:rPr>
          <w:rFonts w:ascii="Arial" w:cs="Arial" w:eastAsia="Arial" w:hAnsi="Arial"/>
          <w:color w:val="1F3D2B"/>
          <w:sz w:val="18"/>
          <w:szCs w:val="18"/>
        </w:rPr>
        <w:t xml:space="preserve">“No, and the paper draws that distinction explicitly. Agile is a software development methodology and governs how the system is built; it does not govern how the study investigates. The rule in our Method is that where the document refers to phases, sprints or iterations it is describing construction, and where it refers to instruments, respondents, items and means it is describing research. 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 xml:space="preserve">“We use both, and for different jobs. Our research questions ask about three ISO 25010 characteristics, not one, and several items are about this system specifically — whether the score breakdown explained the number, whether the skills reported as missing were genuinely missing, whether the ranked order matched the recruiter’s own. No published instrument asks those, so those items had to be written. But a researcher-made instrument has no norms, which means every number it produces can only be compared with itself. So the System Usability Scale is included in Instrument C, all ten items, unaltered, scored on its own nought-to-one-hundred scale and never averaged with our ISO items. It is the one figure in the study that can be read against something outside this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We benchmark against approximately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 xml:space="preserve">“Using the 5W1H framework, examining who is involved, what job seekers and recruiters currently do, where and when they do it, how the work is performed, and why the current arrangements persist. It is a desk-based analysis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 xml:space="preserve">“For the version of the paper you are reading, that is a fair description, and it is why the requirement-analysis instruments exist. Instruments 1 and 2 are administered before the system is complete and ask job seekers and HR personnel directly about their current practice. What we could not do was let those responses shape features that were already built, which is a sequencing limitation we state rather than disguise.”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 xml:space="preserve">“Interviews would have been better and I will not argue otherwise. They would have told us what this particular HR department actually struggles with, which features they would never use, and what vocabulary they use for skills — and that last one is exactly where our system is weakest. What the literature gave us instead is a defensible reason for each feature that does not depend on our own guessing, and a set of requirements we could start building against immediately, which mattered given the timeline. The trade shows in our results: our first primary data about real needs arrives from the before-instruments, after the requirements were already fixed. That ordering is a weakness in our design, not a choice we would defend as superior.”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 xml:space="preserve">“The gaps identified in the analysis, each mapped to the feature that addresses it, so that no feature in the system is there without a stated reason. 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 xml:space="preserve">“Every feature traces back through the documentation to a gap, and every gap traces to something in the review or to the partner department’s practice. The two-resume design, for instance, exists because parsing failure is documented as a reason capable applicants are screened out, and our answer is to rank from structured fields the applicant can correct while still forwarding their own document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Q47  </w:t>
      </w:r>
      <w:r>
        <w:rPr>
          <w:rFonts w:ascii="Arial" w:cs="Arial" w:eastAsia="Arial" w:hAnsi="Arial"/>
          <w:b/>
          <w:bCs/>
          <w:color w:val="1A1A1A"/>
          <w:sz w:val="19"/>
          <w:szCs w:val="19"/>
        </w:rPr>
        <w:t xml:space="preserve">Why Agile rather than Waterfall?</w:t>
      </w:r>
    </w:p>
    <w:p>
      <w:pPr>
        <w:pBdr>
          <w:left w:val="single" w:color="2F5D3A" w:sz="14" w:space="8"/>
        </w:pBdr>
        <w:spacing w:after="60" w:line="292"/>
        <w:ind w:left="480" w:right="140"/>
      </w:pPr>
      <w:r>
        <w:rPr>
          <w:rFonts w:ascii="Arial" w:cs="Arial" w:eastAsia="Arial" w:hAnsi="Arial"/>
          <w:color w:val="1F3D2B"/>
          <w:sz w:val="18"/>
          <w:szCs w:val="18"/>
        </w:rPr>
        <w:t xml:space="preserve">“Two properties of the project. We build for two user groups whose needs pull in different directions — what a job seeker wants from the score is an explanation, what a recruiter wants is a ranking — so we needed to build, show it to both, and adjust. And the matching feature had to be tuned repeatedly against test resumes and postings; we could not have specified the right behaviour up front.”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the evidence of iteration. Which sprint changed what?” The iteration is visible in the version history of the codebase, not in the manuscript. Say that rather than inventing a sprint log.</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 xml:space="preserve">“The builder needed a live preview that updates as you type, across a seven-step wizard with fourteen designs the user can switch between instantly — that is a state-heavy interface, which is what Angular is built for. Node with TypeScript on the server meant the scoring function could be written once in one language and mirrored exactly on both sides, and twelve automated tests assert the browser and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 xml:space="preserve">“Three reasons, all in the paper. PostgreSQL lets us put a CHECK constraint on the application status column, so an invalid status cannot enter the database even if application code has a bug — and status is what our audit trail depends on. It applies schema changes transactionally, so a failed migration cannot leave the database half-updated. And Supabase gave us a managed free tier appropriate to a capstone. We changed during system design, before development, which is when a change like that should happen.”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does Figure 2 still say MySQL?” Concede it. The figure is stale and is being regenerated.</w:t>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 xml:space="preserve">“The text is the intended schedule and the chart image is an older version that was not regenerated. That is on us and it is being corrected. I would rather say that than try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“Three levels. Automated regression tests across six suites — the matching engine, the API driven over HTTP, email delivery, the extraction feature, the rule-based document reader, and browser-versus-server parity. Browser walkthroughs driving the complete interface the way a user would, including at a 390-pixel phone width. And the evaluation with respondents, which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 xml:space="preserve">“No, and the section says so before the number appears. Software verification establishes that the system behaves as specified; it is engineering evidence we produced ourselves, and the test counts are a record of development work rather than findings of the study. The research data comes from the respondents.”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 xml:space="preserve">“They prove the formula is implemented faithfully and identically on both sides — the browser and the server agree across a five-hundred-pair randomised sweep. They do not validate the formula against recruiter judgement. That is what research question six is for, and it is why the recruiter instrument asks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 xml:space="preserve">“Two groups, fifty respondents in total. Forty job seekers — students preparing to apply, recent graduates, and others looking for entry-level work — and all the HR personnel the partner department is able to release, expected to be ten. Sampling is purposive: a job seeker must be actively preparing to apply or looking, and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Q55  </w:t>
      </w:r>
      <w:r>
        <w:rPr>
          <w:rFonts w:ascii="Arial" w:cs="Arial" w:eastAsia="Arial" w:hAnsi="Arial"/>
          <w:b/>
          <w:bCs/>
          <w:color w:val="1A1A1A"/>
          <w:sz w:val="19"/>
          <w:szCs w:val="19"/>
        </w:rPr>
        <w:t xml:space="preserve">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 xml:space="preserve">“There is no power calculation and we do not offer one, because we test no hypothesis and make no inferential claim. Forty is a practical minimum for a single-site descriptive study: enough that a five-point item can be reported as a mean with a distribution worth showing, and small enough that we can actually recruit it through one school. It is fixed in advance rather than decided as responses arrive, because a mean has to be computed over a known number of respondents. The achieved number is reported with the findings, and any shortfall is reported as a shortfall rather than absorbed.”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number is arbitrary.” It is a judgement, not an arbitrary one, and it is stated as a judgement in the paper. Do not invent a statistical justification you cannot defend.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 xml:space="preserve">“That is exactly right, and it is why we do not report the HR means on their own. The HR group is a purposive census rather than a sample — the department employs a small fixed number of people who screen applicants and all of them are invited, so there is no respondent eleven to recruit. For that group we print the distribution beside every mean, so a panel can see whether a 4.1 came from ten people agreeing or from six agreeing and four disagreeing. We report how many participated out of how many were available, and we make no claim that ten people represent recruiters beyond that department. It is recorded under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 xml:space="preserve">“Several companies would have given us variation — different industries screen differently, and we would have learned whether our findings hold outside outsourcing. What one department gives us instead is depth and a shared context. All ten respondents screen for the same organisation, against the same kinds of openings, so when they disagree about the score we know the disagreement is about the system and not about their industries. It also lets us take the whole department rather than a sample of volunteers from many, which is why we call it a purposive census. The cost is generalisability, and we say so — our findings describe how one BPO HR department rated our system, and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 xml:space="preserve">“Five instruments, one hundred and seventeen items in total, every one of them closed — one-choice, tick-all-that-apply, a five-point agreement scale, or one ranking task. Nobody is asked to write anything. Two are administered before the system is complete, as requirement analysis: Instrument A for job seekers, twenty-three items, and Instrument B for HR, twenty-two. Two are administered after use: Instrument C, thirty-nine items, and Instrument D, twenty-eight. Then Instrument E, five items — a task rather than a questionnaire. The recruiter puts five résumés in the order they would read them, and we compute Spearman's rank correlation between their order and the system's. That is the only place we MEASURE research question 6; Instrument D asks them whether they think the order matched, E finds out. They are delivered through Google Forms and responses are anonymous. One thing to be accurate about: we say researcher-developed, and that is true of a hundred and seven items. Ten of Instrument C’s thirty-nine are the System Usability Scale, reproduced from Brooke unaltered, and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 xml:space="preserve">“There is no ISO 25010 questionnaire — the standard defines quality characteristics and publishes no survey. Our instruments are researcher-developed and the paper says so. ISO 25010 is used as the framework determining what the post-use instruments ask about, in three of its eight characteristics, so each item is written against a named characteristic, and Appendix A prints that label next to every rated item so you can check it yourself. Content validity is established by adviser review against the characteristic each item is written for, following Lawshe, and internal consistency is reported as Cronbach’s alpha per characteristic once responses are in. The instruments are pilot-tested with three to five people outside the sample before administration.”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 xml:space="preserve">“Because those three are the ones our respondents can assess from use. Functional suitability, usability and reliability are things a person who has built a resume, applied to a posting and read a score can describe. Security is verified by system testing rather than by questionnaire, because a respondent cannot assess whether passwords are hashed. Maintainability and portability are not user-facing at all.”</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 xml:space="preserve">“It does not, and the Instrument section says the three characteristics are not evidenced equally by this design. Reliability concerns behaviour over time. The reliability items ask respondents what happened when something went wrong during their own use, and those accounts are reported as reliability as experienced within a single session, not as an assessment of the system in service. Reliability over time is addressed through the automated regression testing and the browser walkthroughs.”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 xml:space="preserve">“A single after-instrument would tell us what they thought of the system, and that is all. It could not tell us what they expected before they saw it, so we would have no way of knowing whether the system changed anything or whether they always felt that way. The before-instrument is what lets an applicant say what they currently do when an application goes unanswered, and lets a recruiter say how they screen now — and then the after-instrument asks about the same ground. The comparison across the pair is our evidence, not the after-responses on their own. The cost is that the first instrument can prime them for the second, which is a real threat and one we name in the Validity and Reliability section.”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 xml:space="preserve">“Each respondent is first given a task sheet listing the activities they carry out themselves — for job seekers, building and exporting a resume, browsing, applying and reading the resulting score; for HR, creating a posting, reviewing the ranked applicants and updating a status. No member of the team demonstrates the system or sits beside them. Once the tasks are done they get the link and answer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 xml:space="preserve">“Because Instrument 2 asks them what they weigh when screening, and if we told them skills carry fifty percent first, their answer would be an echo of ours. The paper commits to withholding the weights until after they answer, so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 xml:space="preserve">“We report it as a finding. The weights are fixed for the duration of the study and will not be adjusted in response to the requirement-analysis results, because a system altered partway through would mean the respondents in the evaluation were not describing the same system. Any divergence between recruiter judgement and our published weighting is reported in the recruiters’ own terms, and it is the principal evidence this study offers on whether the weighting reflects how screening is actually done. The weights are configuration values, so retuning them is available to a partner company or a later study, and that is recorded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 xml:space="preserve">“Job seekers are invited through an open announcement circulated by the School of Computing, which states the inclusion criteria and asks interested people to contact us; no respondent is individually solicited by a researcher who knows them. HR respondents are invited through the head of the partner department, who forwards it to eligible staff. The invitation does not identify which researcher built which part of the system, and it says explicitly that critical accounts are as useful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 xml:space="preserve">“Descriptive statistics in seven steps, with one inferential test inside them. Prepare — export from Google Forms into a spreadsheet and number each response. Distributions — counts and percentages for every choice and checklist item, per group. Weighted mean per item — each scale point times the number who chose it, summed, divided by the number who answered, with the standard deviation beside it. Weighted mean per ISO characteristic — the items belonging to functional suitability, usability and reliability averaged into one figure each. Then the three that are not means at all: Wilcoxon signed-rank on the four paired items, the System Usability Scale scored by its own published procedure, and Spearman’s rho between each recruiter’s ordering and the system’s. 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 xml:space="preserve">“There is no interpretation step to disagree about — a respondent selected a point on a scale and we averaged it. What can go wrong is arithmetic, so all three of us compute the means for one instrument independently and compare before the full analysis proceeds. The interpretation scale is fixed and published before any data is collected, so we cannot choose the bands that flatter the result. Every percentage is printed with the count it came from, and the spreadsheet formulas are kept with the data so any figure can be traced back to the responses.”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 xml:space="preserve">“That is correct and it is stated in our Limitations in those words. The instrument measures how strongly respondents agree with statements we wrote; it cannot surface a problem no item asks about. The pilot test is the only stage at which an unanticipated issue can still enter the instrument, and anything arising after distribution is lost to this study. What we get in exchange is a figure that can be computed the same way by anyone, compared across the two respondent groups, and checked against the interpretation scale we published in advance. We are not claiming that is a better trade in general — only that it is the trade this study made,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 xml:space="preserve">“The median is defensible and some reviewers prefer it for ordinal data, because the distance between "agree" and "strongly agree" is not truly the same as between "disagree" and "neither". We use the weighted mean because it is the convention for ISO 25010 evaluation in this kind of study and it lets us average items into a characteristic, which a median cannot do sensibly. We print the distribution beside every mean so a reader who disagrees with treating the scale as interval can read the distribution instead. Where we DO treat the data as strictly ordinal is the paired block: Wilcoxon signed-rank works on ranked differences and assumes no distribution, which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 xml:space="preserve">“Three things. Content validity — the adviser reviews every item against the research question or ISO characteristic it is written for, and items judged not essential are reworded or dropped, following Lawshe. Internal consistency — Cronbach’s alpha computed per characteristic once responses are collected, and reported as it stands even if it comes out below 0.70. Conditions of administration — anonymous responses, no researcher present while people answer, and an invitation that says low ratings are as useful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 xml:space="preserve">“We report it as it stands, together with the items that caused it. What we do not do is drop items after the fact until alpha looks acceptable and then report the improved figure, because that figure would describe an instrument nobody ever answered. A low alpha on a characteristic means the items in it are not measuring one thing, and that is a finding about our instrument that the next study should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 xml:space="preserve">“It influences it, and we say so under Validity and Reliability rather than leaving it to be found. The study is deliberately paired: a job seeker asked to rate how difficult they find each part of writing a resume has been made to attend to those difficulties before they ever open the system, and an HR respondent asked to allocate weight across skills, education and experience has been prompted to think about weighting before meeting a system that weights. We treat the post-use ratings as coming from informed rather than naive users and report them as such. Recruiting separate groups would remove the priming but would also remove the ability to compare the same person’s account of the problem with their rating of the solution, which is the comparison this study is most interested in.”</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 xml:space="preserve">“Consent is given before any question is shown. Responses carry no name or email address and are identified only by number. Participation is voluntary and a respondent may stop at any point, in which case their partial responses are deleted rather than retained. Raw responses are held in an access-restricted folder and destroyed after the study is approved. We cite Republic Act 10173 and the system provides data export and account deletion.”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 xml:space="preserve">“It is credible for the response itself and we do not overstate it. No name or email address is collected and each response carries only a number, so we cannot tell who answered what. What anonymity cannot do in a department of ten is hide a distinctive combination of background answers — a job title, a length of service, and a set of departments screened could in principle single somebody out. So for the HR group we report background items as counts over the whole group and never cross-tabulate one background item against another, and we never report an individual response. That is stated in the consent form as well,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 xml:space="preserve">“That is a question our paper does not yet answer well, and I would rather say so than invent a name. Our delimitation states that no maintenance happens after the project ends. Applicants can export their data and delete their account from inside the system at any time. For the deployment itself we intend to hand the codebase and database to the department and coordinate with the partner company on retention, and naming a controller formally is something we need to settle before the final manuscript.”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 xml:space="preserve">“Seven steps. One, prepare — export from Forms, number every response, exclude and report anyone who did not complete the rated items. Two, frequency distributions for the choice and checklist items, per group, with checklist percentages taken out of respondents rather than ticks. Three, a weighted mean and standard deviation for every rated item. Four, average the ISO-labelled items into one mean per characteristic — seventeen items in Instrument C, fourteen in D. Five, Wilcoxon signed-rank on the four items we asked before and after. Six, the System Usability Scale scored by its own published procedure. Seven, Spearman’s rho between each recruiter’s ordering of five résumés and the system’s. Only step five yields a p-value.”</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 xml:space="preserve">“It is in the Method, fixed before any data is collected, and that is the reason it is stated there rather than in the findings. The bands are the conventional five-point equal-interval split used in this kind of evaluation. We are not claiming we derived them — they are a convention we adopted and published in advance, and publishing them in advance is what stops us choosing the bands that flatter whatever we get. If we had computed a 3.4 and then decided that "good" starts at 3.4, the scale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 xml:space="preserve">“Because they are the four where the system could plausibly change something a respondent believes, and where we had a before-answer worth comparing to. Whether they can tell if a company’s software will read their resume; whether they can tell from a posting if they are qualified; whether they know what happens after they send it; and whether they would trust a match score that showed its working. Those four are the claims our system makes. The rest of Instrument A is about the difficulty of writing a resume, which the system also addresses but which we did not pair, because a single twenty-minute session is not enough to change how hard someone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 xml:space="preserve">“It would have been more data and we considered it. Two reasons against. First, most of Instrument A asks about what the respondent did in the past — how they made their last resume, how long it took — and re-asking those after twenty minutes with our system would produce no change and would look like padding. Second, every item repeated is an item where the respondent may remember their earlier answer and simply reproduce it, which is the testing threat we already carry. Four is what we could justify. It is thin, and that is stated in Limitations rather than argued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 xml:space="preserve">“Because a t-test assumes the differences are drawn from a roughly normal distribution and that the scale is interval. Our data is five-point ordinal — the gap between "agree" and "strongly agree" is not guaranteed to be the same size as the gap between "disagree" and "neither" — and with forty respondents on a five-point item the differences are lumpy, taking only the values −4 through +4. Wilcoxon works on the ranks of the differences and assumes no distribution at all, which is exactly the assumption we are able to make. It is also worth saying that this is the one place in the study where we treat the scale as strictly ordinal, and we are aware that we treat it as interval when we compute the means.”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 xml:space="preserve">“That the answers moved, and that the movement is unlikely to be chance within this group. It does not tell us the system caused it, and the paper says so in those words. This is a one-group pretest-posttest, which Campbell and Stanley classify as pre-experimental precisely because it cannot rule out the alternatives — the respondent may have learned something between the two sittings, or may have been prompted by the first questionnaire, or may simply be answering the second one differently because they have seen it before. We name those threats in Limitations rather than waiting to be told about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spacing w:after="110" w:before="260" w:line="290"/>
      </w:pPr>
      <w:r>
        <w:rPr>
          <w:rFonts w:ascii="Arial" w:cs="Arial" w:eastAsia="Arial" w:hAnsi="Arial"/>
          <w:b/>
          <w:bCs/>
          <w:i w:val="false"/>
          <w:iCs w:val="false"/>
          <w:color w:val="1A1A1A"/>
          <w:sz w:val="22"/>
          <w:szCs w:val="22"/>
        </w:rPr>
        <w:t xml:space="preserve">The benchmark, and exactly how far it goes</w:t>
      </w:r>
    </w:p>
    <w:p>
      <w:pPr>
        <w:spacing w:after="110" w:before="0" w:line="285"/>
      </w:pP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Your Method now names one and cites it.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4118"/>
        <w:gridCol w:w="243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Source</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gives you</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(2008), IJHCI 24(6), 574–594</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of approximately 70 across 2,324 individual administrations. This is the benchmark your Method reports against.</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reference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(2009), Journal of Usability Studies 4(3), 114–123</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adjective rating scale, so a single score can be described in words rather than only as a number.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and freely readable at uxpajournal.org — so read this one first.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Lewis (2018), IJHCI 34(7), 577–590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review of the scale from the 1980s to now, including what is known about its norms and its factor structure.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Sauro (2011)</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figure of 68 with an SD of 12.5, which is the number quoted almost everywhere online.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NOT CITED — a self-published practitioner guide, not peer-reviewed. Do not quote 68.</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Two qualifications to volunteer before you are asked</w:t>
      </w:r>
      <w:r>
        <w:br/>
      </w:r>
      <w:r>
        <w:rPr>
          <w:rFonts w:ascii="Arial" w:cs="Arial" w:eastAsia="Arial" w:hAnsi="Arial"/>
          <w:b w:val="false"/>
          <w:bCs w:val="false"/>
          <w:i w:val="false"/>
          <w:iCs w:val="false"/>
          <w:color w:val="1A1A1A"/>
          <w:sz w:val="19"/>
          <w:szCs w:val="19"/>
        </w:rPr>
        <w:t xml:space="preserve">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 xml:space="preserve">“Because our own usability items produce a number that can only be compared with itself. Every instrument in this study except this one was written by us, so a usability mean of 4.2 is meaningful within our paper and meaningless outside it — there is nothing to hold it against. SUS is a published instrument with published norms, so it is the one figure a reader outside this study can situate. It costs ten items and it is not folded into any of our means, precisely because mixing a 0-to-100 published scale with our five-point ISO items would produce a figure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 xml:space="preserve">“It is deliberate and it is a property of the instrument rather than a flaw in it. The alternation is what defeats straight-lining: a respondent who ticks 5 all the way down scores 50, not 100, because half the items are reverse-scored. We did not alter it, and altering it is the one thing we must not do — the moment you reword a SUS item you forfeit exactly the comparability the scale was added for, and you are back to a researcher-made questionnaire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 xml:space="preserve">“We report it, and it is one of the more useful results the study could produce. A low correlation means the ordering our published weighting produces is not the ordering experienced recruiters arrive at, which is direct evidence on the question items 15 to 17 of Instrument B ask them in the abstract. It would not invalidate the system — the system never rejects anyone and the recruiter decides — but it would be a finding about the default weights, and the paper commits in advance to reporting it whichever way it falls.”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 xml:space="preserve">“We report both and we do not resolve it. That divergence is itself a finding, and it is the more interesting outcome of the two: a recruiter who says the ranking matched their judgement while their own ordering correlates weakly with it is telling us something about how a published score influences the person reading it. Our Method commits to reporting the measurement and the belief side by side rather than picking whichever supports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 xml:space="preserve">“Not yet — no responses have been collected. Alpha is computed from the data, so there is nothing to compute it from until the instruments are administered. What we have committed to in the Method is how it will be reported: per ISO characteristic, and as it stands,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 xml:space="preserve">“Content validity, and it is a separate procedure — expert review by the adviser, who judges each item against the ISO characteristic or research question it was written for, with items judged not essential reworded or removed, following Lawshe. That is the only thing in our design that addresses whether the items measure the right thing, and it rests on one reviewer. We are not claiming construct validation; we did not run a factor analysis and we do not have the sample size for one. Appendix A prints the characteristic beside every rated item so that a reader can judge the mapping for themselves, which is the most we can offer.”</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“Score equals S times nought point five, plus E times nought point two five, plus X times nought point two five, all times one hundred. S is the proportion of the posting’s required skills the resume lists — with one refinement: a matched skill the applicant named no source for counts as a half rather than a whole, so S is matched minus unsourced-times-a-half, over the number required. E is the applicant’s highest education rank divided by the required rank, capped at one. X is total months of experience over the required months, also capped at one. It is 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 xml:space="preserve">“The direction comes from the literature on weighting skills more heavily than domain for early-career applicants. The specific split is our design decision: skills carry half because that is what a posting actually lists as required, and education and experience are equal because for fresh graduates neither reliably dominates. I want to be straight that we did not derive fifty empirically. That is why the weights are configuration values rather than code, and why Instrument 2 asks recruiters what they weigh —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 xml:space="preserve">“Fifty percent, and the system labels that a possible match. That follows from our rule that an unspecified requirement is not held against the applicant — both unspecified components pay out in full while their weight stays in the total. A posting that specifies nothing at all gives everyone one hundred. I accept that renormalising over the components the posting actually specified would be the more defensible design, and this is named in our delimitations rather than left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 xml:space="preserve">“Eighty percent, which the system labels a strong match. Education is a quarter of the score and the ranks are divided as though the intervals were equal, so one fifth of the education component still leaves a strong skills match carrying the total over the threshold. The recruiter does see the education line reading below the requirement, so the information is not hidden — but I accept the tier label is doing the wrong work there.”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 xml:space="preserve">“We assign each level a rank — high school one, vocational two, associate three, bachelor four, master five — and take the applicant’s highest over the required, capped at one. The intent is partial credit: someone one level short scores better than someone three levels short rather than both scoring zero. I accept that this treats an ordinal scale as if the intervals were equal, which is a real simplification, and the effect is bounded because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 xml:space="preserve">“No. It is a sum of total months compared against the minimum the posting states, and it assesses neither whether that experience is in a related field nor how recently it was gained. Twenty-four months as a call-centre agent and twenty-four months in a bookkeeping role score identically against a support posting. That is stated in our delimitations, and it is also why skills carry half the weight — of the three components, skills is the only one compared item by item against what the posting asks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 xml:space="preserve">“It contains fifty-two entries resolving to twenty-five canonical forms. Measured against the twenty-five distinct skill terms seeded in the catalogue — which are the terms our postings draw on — eighteen, or seventy-two percent, have at least one catalogued synonym. The remaining seven are Git, Windows, Canva, Copywriting, Organization, Recruitment and Scheduling, and those are matched only when an applicant writes them exactly as the posting does. So an applicant writing “GitHub” against a posting requiring “Git” gets no credit, and neither does the British spelling of “Organisation”. We re-measured after the partner company changed and coverage rose, from 63.6 percent to 72.0 — not because outsourcing is easier to describe, but because the retarget dropped hospitality terms that had no synonyms written for them.”</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 xml:space="preserve">“An uncatalogued synonym costs an applicant credit they have earned, which is a false negative. Equating related-but-different terms would credit an applicant with a skill they never claimed and put them in front of a recruiter on a false basis. We chose the first failure deliberately, and we make it visible: the applicant is shown which skills were counted missing and can correct their resume. A commercial system does not show them.”</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 xml:space="preserve">“A similarity method would compare the whole resume against the whole posting as text and give one number. It would catch wording we never anticipated, which is our biggest weakness. But it would also mix everything together: a long resume that repeats the posting’s language scores well without having the education or the experience, because similarity cannot tell a requirement from a description. Our three components are separated on purpose, so the system can say “you have eight of the ten skills, you meet the education, you are four months short.” That sentence is not producible from a cosine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 xml:space="preserve">“The structured resume built inside the platform is the only input to ranking, because its fields are unambiguous and the applicant can correct them. The optional uploaded file is forwarded to the recruiter untouched, so nothing the applicant chose to say is lost to a parser, and it is separately read into the same fields and scored by the same formula. That second score is never used to order anyone.”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 xml:space="preserve">“Its purpose is to show the applicant how much of what they wrote survived being read automatically. If the structured resume scores eighty-five and their own PDF scores forty, the gap tells them their document is not reading well and they can act on it before sending it somewhere with no such safeguard. Keeping it out of ranking is what makes it safe to show — a badly parsed document cannot lower anyone’s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 xml:space="preserve">“No, and the paper no longer says that. It says the comparison is illustrative rather than a measurement of any particular commercial system. A low score on an uploaded file may reflect either the formatting of the document or a failure of the extraction step, and the system cannot distinguish the two. What we report to the applicant is an indication of how their document reads to software,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 xml:space="preserve">“No score, and the reason. Zero is a claim and “no score” is an admission. A zero would say we read the document and it matched nothing; if extraction failed we did not read it, and printing zero would tell the applicant something false about their own resume. It is the same principle as a new education entry starting at “not stated yet” rather than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 xml:space="preserve">“From the built resume we get fields — a list of skills, an education level, a number of months. Those go straight into the formula with nothing in between, so if the score is wrong we can point at a field. From an uploaded file we get text, and turning text into those fields means extraction, which can be wrong in ways nobody sees: a missed skill looks exactly like a skill the applicant does not have. If we ranked on the uploaded file, every score would carry that uncertainty and we could not tell an applicant why they scored low without hedging. So the built resume is what we rank on, and the file score exists to show the applicant the gap between the two — which is the one thing the file is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 xml:space="preserve">“A Job Seeker builds resumes, picks among fourteen designs and three formats, exports, browses partner-company openings, gets recommendations, applies, tracks across six statuses and withdraws. A Recruiter manages the company profile, posts openings with required skills, minimum education, minimum months and a closing date, receives scored and ranked applications, sees the structured resume beside any attached file, filters, updates statuses and emails an interview invitation. The Administrator is held by our team: it approves recruiter access so only verified partner staff can post, assigns departments, and produces the anonymous aggregated metrics.”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 xml:space="preserve">“The administrator is a governance role held by the research team, not an external user, so there is no population to sample. Its functions are verified by system testing instead — recruiter approval, department assignment and the metrics export are covered by the API tests. The paper states this rather than leaving it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 xml:space="preserve">“No. There are six statuses and withdrawn is deliberately absent from a recruiter’s picker — only the applicant can withdraw their own application. Every other status change is recorded against the recruiter who made it and the time it was made.”</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 xml:space="preserve">“Not entirely, and I should say so before you find it. The public link is a self-contained demonstration build that runs in the browser with seeded sample data, so it opens without a server. It does not use the Express server, PostgreSQL, Supabase or the extraction service. The full system — with hashed passwords, role-based access control and the extraction feature — is the API build, and that is what our automated tests run against. No real applicant data exists in the demo.”</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 xml:space="preserve">“It is true of the API build, which uses bcrypt with a timing equaliser on failed logins. It is not true of the demonstration build, where seeded sample account passwords are plain strings in browser storage. Those are sample accounts we created, not user data, but the manuscript should distinguish the two builds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 xml:space="preserve">“They share the same interface and the same scoring code — the formula, the weights, the thresholds and the skill vocabulary are one file used by both, so a score computed on either is the same score. What differs is everything behind it. The demonstration build keeps its data in the browser and has no server, so there is no PostgreSQL, no password hashing, no email, and no extraction call — the seeded accounts are there so the flow can be shown without a running backend. The API build is the one the Method describes: Express, PostgreSQL on Supabase, hashed passwords, and the Gemini extraction. Our evaluation is on the API build, because the security and privacy claims in the paper are only true there. If you open our public link you are on the demonstration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 xml:space="preserve">“Building a resume from scratch is our strongest flow — let them watch the live preview update, and pause on the Skills step to say that half of every score comes from that one list. Switching designs is safe and pre-empts the design-count question. Exporting to PDF is fast and undeniable. Applying to a prepared posting and reading the breakdown aloud is the heart of it. Showing the same score in a recruiter window is the differentiator made visible. And the unreadable-file case is a win.”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 xml:space="preserve">“Three. A posting with no requirements, because that is the fifty-percent case. A high-school applicant against a master’s posting, because that reads as a strong match at eighty. And anything that assumes a server — the database, or a real extraction call — on the demo build. I would rather answer the design question about any of those than run it and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 xml:space="preserve">“A commercial applicant tracking system shows the applicant a confirmation and then, in most cases, nothing — the ranking exists, but it lives on the recruiter’s side and the applicant never learns their position or why. Ours shows the applicant the score itself, the tier, and the named required skills that were not found on their resume. That is the entire contribution of this study stated in one comparison. I should be careful about one thing: I am describing commercial systems from the literature we reviewed and from published accounts, not from having operated one, so I would put that as what those systems are reported to do rather than as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pPr>
        <w:pBdr>
          <w:bottom w:val="single" w:color="B9B1A4" w:sz="8" w:space="5"/>
        </w:pBdr>
        <w:spacing w:after="120" w:before="340" w:line="290"/>
      </w:pPr>
      <w:r>
        <w:rPr>
          <w:rFonts w:ascii="Arial" w:cs="Arial" w:eastAsia="Arial" w:hAnsi="Arial"/>
          <w:b/>
          <w:bCs/>
          <w:color w:val="1A1A1A"/>
          <w:sz w:val="23"/>
          <w:szCs w:val="23"/>
        </w:rPr>
        <w:t>3.6  Where a skill came from, and what a rejected applicant is told</w:t>
      </w:r>
    </w:p>
    <w:p>
      <w:pPr>
        <w:spacing w:after="70" w:line="285"/>
        <w:ind w:left="300" w:hanging="300"/>
      </w:pPr>
      <w:r>
        <w:rPr>
          <w:rFonts w:ascii="Arial" w:cs="Arial" w:eastAsia="Arial" w:hAnsi="Arial"/>
          <w:b/>
          <w:bCs/>
          <w:color w:val="1A1A1A"/>
          <w:sz w:val="18"/>
          <w:szCs w:val="18"/>
        </w:rPr>
        <w:t>BASIC</w:t>
      </w:r>
    </w:p>
    <w:p>
      <w:pPr>
        <w:spacing w:after="70" w:line="285"/>
        <w:ind w:left="420" w:hanging="420"/>
      </w:pPr>
      <w:r>
        <w:rPr>
          <w:rFonts w:ascii="Arial" w:cs="Arial" w:eastAsia="Arial" w:hAnsi="Arial"/>
          <w:b/>
          <w:bCs/>
          <w:color w:val="8C2A2A"/>
          <w:sz w:val="19"/>
          <w:szCs w:val="19"/>
        </w:rPr>
        <w:t>Q112a  What does the builder ask beyond the name of a skill?</w:t>
      </w:r>
    </w:p>
    <w:p>
      <w:pPr>
        <w:pBdr>
          <w:left w:val="single" w:color="2F5D3A" w:sz="14" w:space="8"/>
        </w:pBdr>
        <w:spacing w:after="110" w:line="292"/>
        <w:ind w:left="480" w:right="140"/>
      </w:pPr>
      <w:r>
        <w:rPr>
          <w:rFonts w:ascii="Arial" w:cs="Arial" w:eastAsia="Arial" w:hAnsi="Arial"/>
          <w:color w:val="1F3D2B"/>
          <w:sz w:val="18"/>
          <w:szCs w:val="18"/>
        </w:rPr>
        <w:t>“Where the applicant used it. The answer has to point at an entry already on their own resume — a job, a project, a certification or a course — so it is a dropdown built from what they have already written, never a free text box. A matched skill with a source counts in full; one without still counts, at half.”</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Q112b  Your postings publish the skills they require. What stops an applicant from simply copying that list into their resume?</w:t>
      </w:r>
    </w:p>
    <w:p>
      <w:pPr>
        <w:pBdr>
          <w:left w:val="single" w:color="2F5D3A" w:sz="14" w:space="8"/>
        </w:pBdr>
        <w:spacing w:after="110" w:line="292"/>
        <w:ind w:left="480" w:right="140"/>
      </w:pPr>
      <w:r>
        <w:rPr>
          <w:rFonts w:ascii="Arial" w:cs="Arial" w:eastAsia="Arial" w:hAnsi="Arial"/>
          <w:color w:val="1F3D2B"/>
          <w:sz w:val="18"/>
          <w:szCs w:val="18"/>
        </w:rPr>
        <w:t>“Nothing stops them, and hiding the required skills would be worse — the applicant seeing what is being asked of them is the point of the study. What we changed is the price. A skill with no source counts half, so an applicant with one real skill out of four who types in the other three reaches eighty-one rather than one hundred. And the score the recruiter ranks on is the one recorded when the application was sent, so improving a resume afterwards never reorders a shortlist that has already been worked. I want to be exact about what that does: it makes padding cost points and makes it visible to the recruiter. It does not prevent it, and we do not claim it does.”</w:t>
      </w:r>
    </w:p>
    <w:p>
      <w:pPr>
        <w:spacing w:after="110" w:line="285"/>
        <w:ind w:left="480"/>
      </w:pPr>
      <w:r>
        <w:rPr>
          <w:rFonts w:ascii="Arial" w:cs="Arial" w:eastAsia="Arial" w:hAnsi="Arial"/>
          <w:b/>
          <w:bCs/>
          <w:color w:val="8C2A2A"/>
          <w:sz w:val="16"/>
          <w:szCs w:val="16"/>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w:t>
      </w:r>
    </w:p>
    <w:p>
      <w:pPr>
        <w:spacing w:after="70" w:line="285"/>
        <w:ind w:left="300" w:hanging="300"/>
      </w:pPr>
      <w:r>
        <w:rPr>
          <w:rFonts w:ascii="Arial" w:cs="Arial" w:eastAsia="Arial" w:hAnsi="Arial"/>
          <w:b/>
          <w:bCs/>
          <w:color w:val="1A1A1A"/>
          <w:sz w:val="18"/>
          <w:szCs w:val="18"/>
        </w:rPr>
        <w:t>ANALYTICAL — WHY</w:t>
      </w:r>
    </w:p>
    <w:p>
      <w:pPr>
        <w:spacing w:after="70" w:line="285"/>
        <w:ind w:left="420" w:hanging="420"/>
      </w:pPr>
      <w:r>
        <w:rPr>
          <w:rFonts w:ascii="Arial" w:cs="Arial" w:eastAsia="Arial" w:hAnsi="Arial"/>
          <w:b/>
          <w:bCs/>
          <w:color w:val="8C2A2A"/>
          <w:sz w:val="19"/>
          <w:szCs w:val="19"/>
        </w:rPr>
        <w:t>Q112c  Why half, and not nothing?</w:t>
      </w:r>
    </w:p>
    <w:p>
      <w:pPr>
        <w:pBdr>
          <w:left w:val="single" w:color="2F5D3A" w:sz="14" w:space="8"/>
        </w:pBdr>
        <w:spacing w:after="110" w:line="292"/>
        <w:ind w:left="480" w:right="140"/>
      </w:pPr>
      <w:r>
        <w:rPr>
          <w:rFonts w:ascii="Arial" w:cs="Arial" w:eastAsia="Arial" w:hAnsi="Arial"/>
          <w:color w:val="1F3D2B"/>
          <w:sz w:val="18"/>
          <w:szCs w:val="18"/>
        </w:rPr>
        <w:t>“Because a skill somebody cannot point at is not a lie. Plenty of real skills are self-taught, or come from work too small to put on a resume, and scoring those at zero would penalise exactly the applicants this study exists to help. Half is also a value we can state in one sentence to an applicant: a skill you can point to evidence for counts fully, one you cannot counts half. I should be clear that nought point five is a reasoned choice, not a finding — no data in this study says it is the right number.”</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Q112d  Does this put the applicant’s employer on their resume?</w:t>
      </w:r>
    </w:p>
    <w:p>
      <w:pPr>
        <w:pBdr>
          <w:left w:val="single" w:color="2F5D3A" w:sz="14" w:space="8"/>
        </w:pBdr>
        <w:spacing w:after="110" w:line="292"/>
        <w:ind w:left="480" w:right="140"/>
      </w:pPr>
      <w:r>
        <w:rPr>
          <w:rFonts w:ascii="Arial" w:cs="Arial" w:eastAsia="Arial" w:hAnsi="Arial"/>
          <w:color w:val="1F3D2B"/>
          <w:sz w:val="18"/>
          <w:szCs w:val="18"/>
        </w:rPr>
        <w:t>“No, and that was a deliberate constraint rather than an oversight. The resume the applicant downloads is a plain list of skills exactly as it was before, so none of the fourteen designs changed and nothing new reaches an employer’s own screening software — welding a company name onto every skill would break the parsing this whole study is about. The source is stored beside the skill and shown in one place only: the recruiter’s view of that application, in a panel tinted so it cannot be mistaken for part of the document. There is an automated test asserting no employer name reaches the printed skills list.”</w:t>
      </w:r>
    </w:p>
    <w:p>
      <w:pPr>
        <w:spacing w:after="70" w:line="285"/>
        <w:ind w:left="300" w:hanging="300"/>
      </w:pPr>
      <w:r>
        <w:rPr>
          <w:rFonts w:ascii="Arial" w:cs="Arial" w:eastAsia="Arial" w:hAnsi="Arial"/>
          <w:b/>
          <w:bCs/>
          <w:color w:val="1A1A1A"/>
          <w:sz w:val="18"/>
          <w:szCs w:val="18"/>
        </w:rPr>
        <w:t>COMPARISON</w:t>
      </w:r>
    </w:p>
    <w:p>
      <w:pPr>
        <w:spacing w:after="70" w:line="285"/>
        <w:ind w:left="420" w:hanging="420"/>
      </w:pPr>
      <w:r>
        <w:rPr>
          <w:rFonts w:ascii="Arial" w:cs="Arial" w:eastAsia="Arial" w:hAnsi="Arial"/>
          <w:b/>
          <w:bCs/>
          <w:color w:val="8C2A2A"/>
          <w:sz w:val="19"/>
          <w:szCs w:val="19"/>
        </w:rPr>
        <w:t>Q112e  A commercial system rejects an applicant and says nothing. What does yours say?</w:t>
      </w:r>
    </w:p>
    <w:p>
      <w:pPr>
        <w:pBdr>
          <w:left w:val="single" w:color="2F5D3A" w:sz="14" w:space="8"/>
        </w:pBdr>
        <w:spacing w:after="110" w:line="292"/>
        <w:ind w:left="480" w:right="140"/>
      </w:pPr>
      <w:r>
        <w:rPr>
          <w:rFonts w:ascii="Arial" w:cs="Arial" w:eastAsia="Arial" w:hAnsi="Arial"/>
          <w:color w:val="1F3D2B"/>
          <w:sz w:val="18"/>
          <w:szCs w:val="18"/>
        </w:rPr>
        <w:t>“On a rejection the recruiter may pick a reason from a closed list of eight, and the applicant is shown it — in wording written for them rather than for the file. “The employer tried to reach you and could not. Check the phone number and email on your resume.” What they are not shown is which member of staff decided; the applicant learns what was decided, not who decided it. We built this the other way round first, keeping the reason internal, and the argument for that was real: a code its subject will read is a code some recruiters will soften. We reversed it because our own Chapter 1 says the problem is applicants who apply and hear nothing at all, and recording the reason and then withholding it from the person whose plans depend on it would be arguing against our own premise.”</w:t>
      </w:r>
    </w:p>
    <w:p>
      <w:pPr>
        <w:spacing w:after="110" w:line="285"/>
        <w:ind w:left="480"/>
      </w:pPr>
      <w:r>
        <w:rPr>
          <w:rFonts w:ascii="Arial" w:cs="Arial" w:eastAsia="Arial" w:hAnsi="Arial"/>
          <w:b/>
          <w:bCs/>
          <w:color w:val="8C2A2A"/>
          <w:sz w:val="16"/>
          <w:szCs w:val="16"/>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rejected, hired,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aliases → 25 canonical forms; 72.0% coverage of the 25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160 across six suites — engine 49, API 52, reader 26, parity 13, email 10, extraction 10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Credit for an unsourced skill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half — 0.5, published as part of the formula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Rejection reasons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8 codes; the applicant reads the reason, never the staff name</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Reciting the skills component as matched-over-required. It has a second term now — a skill with no named source counts half — and the manuscript’s Chapter 3 still prints the old version.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Correct the scoring formula printed in Chapter 3. It reads matched over required and should read matched minus unsourced-times-a-half, over required. As it stands, a panelist reproducing a score by hand from the paper alone gets a different number from the one on the screen.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72.0% measured, rose from 63.6% at the partner change,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 Agile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twenty-one entities with primary and foreign keys, generated from the schema file</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the named missing skills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 xml:space="preserve">“It is an addition and I would rather say so than pretend it is standard. Our framework claims that the problem is produced by two conditions together, and that the second one — the applicant cannot see how the application is judged — is only addressed if something goes back to them. A strictly linear diagram would show a system that ends at the recruiter, which is the design we are arguing against. If the panel prefers a conventional IPO we can remove the band, because the proposition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 xml:space="preserve">“Input component five, the matching criteria, alongside the canonical skill vocabulary and the tier thresholds. They are inputs to the process rather than outputs of it, which is the honest placement — we set them, the system did not derive them. 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 xml:space="preserve">8.2  Figure 2 · Agile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development methodology. Its job at a defense is to demonstrate that Agile governs construction — not your research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 xml:space="preserve">“Your text gives the example itself: if the matching scores do not align with how recruiters would actually rank the same applicants, the team goes back, adjusts the design, and runs through the cycle again rather than leaving the problem unresolved. I should add one qualification. That loop describes how the software was built. It does not apply during the evaluation, because the weights are frozen for the duration of the study — a system altered partway through would mean our respondents were not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 xml:space="preserve">“The text was right and the chart was an older image that was not regenerated. It has been rebuilt from the timeline paragraph, so every span in it is read off what the text says. I would rather tell you that than try to reconcile two figures that cannot both be correct. All five figures were regenerated for the same reason, and I can say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 xml:space="preserve">“Because no user invokes it. It runs when an application is submitted and when an applicant previews a posting, and it supports the use cases that are actor-facing — viewing the ranked list, and viewing your own score and missing skills. Drawing it as something a recruiter does would suggest they can trigger, retune or override a score, and they cannot. 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 xml:space="preserve">“It is an actor in the diagram because it is a distinct account type with permissions no other role has — approving recruiter access, assigning departments, and producing the aggregated metrics. It is not a respondent group, because it is a governance role we operate rather than an external user, and its functions are verified through system testing instead of through the evaluation. The paper states that rather than leaving it unexplained. If a real company adopted this, the role would have to sit inside that organisation,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 xml:space="preserve">“Descriptive columns are omitted so the relationships stay readable — resumes alone has over twenty. Every primary key and every foreign key is shown, because those are what the diagram is for. The complete column definitions are in the schema file, and the figure note says so, so the omission is not mistaken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 xml:space="preserve">“match_settings, at the edge of the diagram with no foreign keys into it. It holds the weights and the thresholds as rows, and the server reads them at startup. That is why the claim in our Scope is structural rather than a promise: the numbers are data, and a partner company or a later study can change them without touching the scoring code. What we do not do is change them during this study, and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2026-08-11T12:05:15.895Z</dcterms:created>
  <dcterms:modified xsi:type="dcterms:W3CDTF">2026-08-11T12:05:15.911Z</dcterms:modified>
</cp:coreProperties>
</file>

<file path=docProps/custom.xml><?xml version="1.0" encoding="utf-8"?>
<Properties xmlns="http://schemas.openxmlformats.org/officeDocument/2006/custom-properties" xmlns:vt="http://schemas.openxmlformats.org/officeDocument/2006/docPropsVTypes"/>
</file>