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walks through every page of the website and what it does. It assumes you have read the plain-language document first.</w:t>
      </w:r>
    </w:p>
    <w:p>
      <w:pPr>
        <w:spacing w:after="260"/>
        <w:ind w:left="900" w:right="900"/>
        <w:jc w:val="center"/>
      </w:pPr>
      <w:r>
        <w:rPr>
          <w:sz w:val="20"/>
          <w:szCs w:val="20"/>
        </w:rPr>
        <w:t>If any of it stops making sense — a word, a number, why something works the way it does — open ResumeMatch-PH-Explained-Simply.docx. It covers the same system with no jargon and has a word list at the back for every term you will meet here.</w:t>
      </w:r>
    </w:p>
    <w:p>
      <w:pPr>
        <w:spacing w:after="260"/>
        <w:ind w:left="900" w:right="900"/>
        <w:jc w:val="center"/>
      </w:pPr>
      <w:r>
        <w:rPr>
          <w:sz w:val="20"/>
          <w:szCs w:val="20"/>
        </w:rPr>
        <w:t>The one thing to hold on to while reading: the score is arithmetic, the AI only reads documents, and nothing in the system rejects anybody.</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 xml:space="preserve">ResumeMatch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The public Vercel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The public link deploys the demo build. Anything you do there stays in your own browser and never reaches the database. This is deliberate — Vercel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The score is not just a number — each card names the required skills the seeker has, and counts the ones they do not.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