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default weights are skills 50 %, education 25 %, experience 25 %, which a recruiter may rebalance per opening;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Eight automated suites (209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weights that default to skills 50 percent, education 25 percent, and experience 25 percent, which a recruiter may rebalance for an individual opening; the weighting an opening uses is shown to every applicant it scores.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default scoring weights (skills 50 percent, education 25 percent, experience 25 percent), adjustable per opening,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Two objectives are new — the administrator account and data protection — and the matching objective now states the default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default weights of 50 percent for skills, 25 percent for education, and 25 percent for experience, which a recruiter may rebalance for an individual opening,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matching feature is ATS-inspired and rule-based. It compares structured resume data against structured posting requirements using a fixed, transparent,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coefficients 0.50, 0.25 and 0.25 are the default balance; a recruiter may set a different one for an individual opening, provided the three total 100 percent and none falls below 10 percent, and each applicant is scored on the weighting the opening they applied to actually uses.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eight areas and runs in full on every change to the source code. Fifty-nine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Fifty-six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default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