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designed, developed and evaluated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employed a quantitative descriptive design. Data were gathered through five researcher-developed instruments composed entirely of closed items: multiple choice, checklists, and five-point agreement scales. Two were administered before the system was completed, and three after respondents had used it. Respondents were job seekers recruited through the School of Computing, Human Resources personnel of Clark Outsourcing, and a small group of IT experts who examined the system and its source code, all selected by purposive sampling. The ISO/IEC 25010 quality model frames the post-use instruments: job seekers and recruiters rated functional suitability, usability and reliability from their own use, and the IT experts additionally rated security and maintainability from inspection. Rated items were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Fonts w:ascii="Times New Roman" w:cs="Times New Roman" w:eastAsia="Times New Roman" w:hAnsi="Times New Roman"/>
        <w:fldChar w:fldCharType="begin" w:dirty="true"/>
      </w:r>
      <w:r>
        <w:rFonts w:ascii="Times New Roman" w:cs="Times New Roman" w:eastAsia="Times New Roman" w:hAnsi="Times New Roman"/>
        <w:instrText xml:space="preserve"> TOC \o "1-3" \h \z \u </w:instrText>
      </w:r>
      <w:r>
        <w:rFonts w:ascii="Times New Roman" w:cs="Times New Roman" w:eastAsia="Times New Roman" w:hAnsi="Times New Roman"/>
        <w:fldChar w:fldCharType="separate"/>
      </w:r>
      <w:r>
        <w:rFonts w:ascii="Times New Roman" w:cs="Times New Roman" w:eastAsia="Times New Roman" w:hAnsi="Times New Roman"/>
        <w:t xml:space="preserve">Right-click here and choose "Update Field" (or press F9) to generate the Table of Contents.</w:t>
      </w:r>
      <w:r>
        <w:rFonts w:ascii="Times New Roman" w:cs="Times New Roman" w:eastAsia="Times New Roman" w:hAnsi="Times New Roman"/>
        <w:fldChar w:fldCharType="end"/>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developed Linaw PH, a web-based resume builder and ATS-inspired job matching system that connects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web-based resume builder and ATS-inspired job matching system developed for this study fills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2900362"/>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290036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recruiters' own impression, gathered directly from its HR staff, of how closely the system's ranking of applicants matched the order they would have chosen themselves.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used a quantitative descriptive research approach to design, develop, and evaluate a web-based resume builder and ATS-inspired job matching system for job seekers and a partner company in the Philippines. The research went through several phases including requirement analysis, system design, development, testing, and evaluation to arrive at a working and easy-to-use web-based system. Descriptive data were collected from both groups of target users (job seekers and HR personnel) through closed-item questionnaires, and were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used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the partner company. Supporting both is an administrator role held by the research team, which verifies that a person requesting recruiter access belongs to the partner company and assigns each recruiter the department whose applications they should receive. What they did before the system existed: job seekers used online templates, Microsoft Word or Google Docs, or commercial builders that charge for most features. Some used AI tools that generate generic content; others paid professional writers. Many also struggled to identify which openings match their qualifications, and applied to positions that are too advanced or unrelated to what they studied. Recruiters received applications by email and job board as unstructured documents and screened them manually, which is slow and inconsistent; in a company organised into departments, an application also had to reach the right person before it could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persisted: affordable, locally oriented alternatives were lacking. No free platform made for the Philippine setting combined guided resume creation with ATS-inspired matching against the openings of a partner company.</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identified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addresses the job seeker problems by providing a guided step-by-step resume creation process, ready-made ATS-friendly formats and designs, built-in resume writing tips, and resume-based job recommendations with application tracking. It addresses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addresses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also addresses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232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Pr>
        <w:br/>
      </w:r>
      <w:r>
        <w:rPr>
          <w:rFonts w:ascii="Times New Roman" w:cs="Times New Roman" w:eastAsia="Times New Roman" w:hAnsi="Times New Roman"/>
          <w:i w:val="1"/>
          <w:iCs w:val="1"/>
          <w:sz w:val="24"/>
          <w:szCs w:val="24"/>
          <w:rtl w:val="0"/>
        </w:rPr>
        <w:t xml:space="preserve">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pPr>
        <w:sectPr>
          <w:headerReference r:id="rId12" w:type="default"/>
          <w:headerReference r:id="rId13" w:type="first"/>
          <w:footerReference r:id="rId14" w:type="default"/>
          <w:footerReference r:id="rId15" w:type="first"/>
          <w:pgSz w:h="15840" w:w="12240" w:orient="portrait"/>
          <w:pgMar w:bottom="1440" w:top="1710" w:left="1800" w:right="1440" w:header="720" w:footer="720"/>
        </w:sectPr>
      </w:pP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Use Case Diagram of the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7863840" cy="4201757"/>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863840" cy="4201757"/>
                    </a:xfrm>
                    <a:prstGeom prst="rect"/>
                    <a:ln/>
                  </pic:spPr>
                </pic:pic>
              </a:graphicData>
            </a:graphic>
          </wp:inline>
        </w:drawing>
      </w:r>
      <w:r w:rsidDel="00000000" w:rsidR="00000000" w:rsidRPr="00000000">
        <w:rPr>
          <w:rtl w:val="0"/>
        </w:rPr>
      </w:r>
    </w:p>
    <w:p>
      <w:pPr>
        <w:sectPr>
          <w:headerReference r:id="rId12" w:type="default"/>
          <w:headerReference r:id="rId13" w:type="first"/>
          <w:footerReference r:id="rId14" w:type="default"/>
          <w:footerReference r:id="rId15" w:type="first"/>
          <w:pgSz w:h="12240" w:w="15840" w:orient="landscape"/>
          <w:pgMar w:bottom="1440" w:top="1440" w:left="1800" w:right="1440" w:header="720" w:footer="720"/>
        </w:sectPr>
      </w:pP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Entity Relationship Diagram of the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154135"/>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15413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The study was conducted at Holy Angel University in Angeles City, Pampanga, and at Clark Outsourcing in Clark Freeport Zone, Pampanga. The researchers chose the university because they are based there and had easy access to the job seeker respondents, while the partner company provided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The HR group is a purposive census rather than a sample. The partner department employs a small and fixed number of people who screen applicants as part of their work, and all of them were invited to take part. The researchers reported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The researchers used purposive sampling. This means participants were intentionally chosen because they met specific criteria rather than because they were selected at random. To be included, a job seeker respondent had to be currently preparing to apply for work or actively looking for it, and willing to complete the questionnaire themselves. To be included, an HR respondent had to screen job applicants as part of their actual work. Respondents who did not meet these criteria were not included, because the study depends on accounts from people who have genuinely done the thing being asked about. Job seeker respondents under eighteen years of age were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would show. Job seekers describe the resume builder, the job recommendation feature, and the application process. The HR respondents describe the job posting, applicant management, and matching features. The IT experts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five researcher-developed instruments composed entirely of closed items. They were written for this study and are not taken from a published questionnaire. Three item formats are used: multiple choice, where the respondent selects one option; checklists, where they may select any number; and a five-point agreement scale from 1, strongly disagree, to 5, strongly agree.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were reviewed for content validity by the research adviser. The adviser judged each item against the research question or quality characteristic it is written for. Items judged not essential to what the instrument claims to measure were reworded or removed (Lawshe, 1975). The instruments were then pilot-tested with three to five respondents who were not part of the sample. Any item that pilot respondents misread, or whose options did not contain an answer they wanted to give, was reworded before distribution. Internal consistency was computed as Cronbach's alpha for each group of rated items belonging to one quality characteristic (Cronbach, 1951), and is reported with the findings for each instrument below; values below 0.70 are reported as they stand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Before any data was gathered, the researchers secured written permission from the Human Resources department of Clark Outsourcing for the participation of its staff, and obtained approval from the School of Computing for the conduct of the study. Every respondent was given an information sheet describing the purpose of the study and indicated their consent at the start of the form before any question was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The two requirement-analysis instruments were distributed while the system was still in development. Respondents answered them without seeing the system, so that their answers recorded their existing experience rather than their reaction to what the researchers had built. In particular, HR respondents were not shown the scoring weights used by the matching feature before they answered, so that their description of what they weigh when screening was their own and was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Where a respondent was unable to complete a task, this was recorded rather than treated as a missing response, because an activity that a user could not complete is itself a finding about the system. Responses were exported from Google Forms into a spreadsheet for analysis, and the file was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analysed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did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proceeded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Preparation. Responses were exported from Google Forms into a spreadsheet, and each response given a number. Responses from a respondent who did not complete the rated items were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Frequency distributions. Multiple-choice and checklist items were reported as counts and percentages of respondents selecting each option, computed separately for each respondent group. Percentages for checklist items were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was summarised by its weighted mean: each scale point is multiplied by the number of respondents who selected it, the products are summed, and the total is divided by the number of respondents who answered that item. The sample standard deviation, computed with n − 1 in the denominator, was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were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was interpreted against a fixed scale, stated here in advance so that it could 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are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are reported separately, as findings about the problem the system is intended to address. The allocation recruiters selected in item 16 of Instrument B is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Computation was carried out in a spreadsheet, and the formulas used were retained with the data so that any figure reported can be traced to the responses it came from. All three researchers computed the means for one instrument independently and compared results before the full analysis proceeded, so that an error in a formula was caught rather than carried into the findings. No statistical software beyond a spreadsheet was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was computed for each group of rated items belonging to one quality characteristic, from the responses each instrument actually collected, and is reported with the findings below (Cronbach, 1951). A value below 0.70 is reported as it stands, together with the items that pulled it down, rather than omitted or corrected by dropping items after the fact: dropping an item because it lowered alpha, without saying so, would make the reported figure describe an instrument that was never administered. For Instrument E, alpha carries a further caution stated where it is reported: with three respondents, most items were rated identically by all three, leaving several with no variance to compute a correlation from, and alpha estimated on so few observations is not a stable statistic.</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The researchers followed the ethical standards required when conducting research involving people. Before collecting data, all participants were asked to give their consent and were informed about the purpose of the study. They were also told that they could stop participating at any time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was kept private and was used only for this study. No personal data was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researchers made sure that no participant was harmed or made to feel uncomfortable during the study. Everyone was treated with respect throughout the entire process. The researchers also made sure that all sources used in the study are properly cited to avoid plagiarism. No data was fabricated or falsified. The study followed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Respondents could withdraw at any point, and a respondent who withdrew had their responses deleted rather than retained in anonymised form. Raw responses were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Internal consistency, computed as Cronbach's alpha across the respondents to this instrument, is 0.73 for functional suitability, 0.85 for usability and 0.78 for reliability — all above the 0.70 threshold the Validity and Reliability section sets in advance. Every item's correlation with the rest of its group is positive, so no item works against the characteristic it is grouped under.</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0.85</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782 ratings, 525 (67.1%) are 4, 238 (30.4%) are 5 and 19 (2.4%) are 3, with none below 3. No characteristic reaches the 4.50 the top band requires. α is Cronbach's alpha, computed per characteristic and discussed in the text.</w:t>
      </w:r>
      <w:r>
        <w:rPr>
          <w:rFonts w:ascii="Times New Roman" w:cs="Times New Roman" w:eastAsia="Times New Roman" w:hAnsi="Times New Roman"/>
          <w:color w:val="1a1a1a"/>
          <w:sz w:val="22"/>
          <w:szCs w:val="22"/>
          <w:rtl w:val="0"/>
        </w:rPr>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Internal consistency is 0.52 for functional suitability, 0.83 for usability and 0.70 for reliability. The functional suitability figure falls below the 0.70 threshold, and it is reported rather than adjusted away. Every one of its six items still correlates positively with the rest of the group, so the low figure is not evidence of items measuring different things; it reflects how narrowly the ten respondents agreed with several of them, which restricts the variance alpha depends on. That the applicants shown for a posting were the ones who had applied to it and that a score was worked out from what the posting actually asked for carry the strongest correlation with the rest of the group; the remaining four correlate more weakly, and a larger sample would be needed to say whether that reflects the items themselves or the size of this one.</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 α is Cronbach's alpha, computed per characteristic and discussed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Internal consistency was also computed, and is reported with a caution specific to this instrument. Cronbach's alpha is 0.51 for functional suitability, 0.38 for usability, 0.67 for reliability, 0.60 for security and 0.80 for maintainability. With only three respondents, most items were rated identically by all three experts, leaving several with no variance from which a correlation can be computed; alpha estimated on so few observations is not a stable statistic, and these values are reported for completeness rather than as a dependable indication of reliability. The two lowest figures, for functional suitability and usability, each trace to a single item rated differently by one of the three experts: whether the matching engine computes scores according to the stated formula, and whether the purpose of each screen is clear without explanation. Every other item in both groups was rated identically by all three respondents.</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0.67</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 α is Cronbach's alpha; at three respondents it is unstable and is discussed with that caution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Study title: 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